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272734" w14:textId="77777777" w:rsidR="00FD7B0C" w:rsidRPr="001847AD" w:rsidRDefault="00FD7B0C" w:rsidP="00FD7B0C">
      <w:pPr>
        <w:spacing w:line="480" w:lineRule="auto"/>
        <w:rPr>
          <w:rFonts w:ascii="Times New Roman" w:hAnsi="Times New Roman" w:hint="eastAsia"/>
          <w:b/>
          <w:bCs/>
          <w:sz w:val="28"/>
          <w:szCs w:val="28"/>
        </w:rPr>
      </w:pPr>
      <w:r w:rsidRPr="001847AD">
        <w:rPr>
          <w:rFonts w:ascii="Times New Roman" w:hAnsi="Times New Roman"/>
          <w:b/>
          <w:bCs/>
          <w:sz w:val="28"/>
          <w:szCs w:val="28"/>
        </w:rPr>
        <w:t>Figure supplementary legend</w:t>
      </w:r>
    </w:p>
    <w:p w14:paraId="2F17CE15" w14:textId="278F740A" w:rsidR="00FD7B0C" w:rsidRDefault="00FD7B0C" w:rsidP="00FD7B0C">
      <w:pPr>
        <w:spacing w:line="480" w:lineRule="auto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noProof/>
          <w:sz w:val="22"/>
          <w:szCs w:val="22"/>
        </w:rPr>
        <w:drawing>
          <wp:inline distT="0" distB="0" distL="0" distR="0" wp14:anchorId="7ADCF430" wp14:editId="1F12994A">
            <wp:extent cx="5257800" cy="36957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69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49CD73" w14:textId="77777777" w:rsidR="00FD7B0C" w:rsidRDefault="00FD7B0C" w:rsidP="00FD7B0C">
      <w:pPr>
        <w:spacing w:line="480" w:lineRule="auto"/>
        <w:rPr>
          <w:rFonts w:ascii="Times New Roman" w:hAnsi="Times New Roman"/>
          <w:bCs/>
          <w:sz w:val="20"/>
          <w:szCs w:val="20"/>
        </w:rPr>
      </w:pPr>
      <w:r w:rsidRPr="001C70B7">
        <w:rPr>
          <w:rFonts w:ascii="Times New Roman" w:hAnsi="Times New Roman"/>
          <w:bCs/>
          <w:sz w:val="20"/>
          <w:szCs w:val="20"/>
        </w:rPr>
        <w:t xml:space="preserve">Figure S1. K-M analysis of different-risk groups. (a-c) </w:t>
      </w:r>
      <w:r w:rsidRPr="001C70B7">
        <w:rPr>
          <w:rFonts w:ascii="Times New Roman" w:hAnsi="Times New Roman" w:hint="eastAsia"/>
          <w:bCs/>
          <w:sz w:val="20"/>
          <w:szCs w:val="20"/>
        </w:rPr>
        <w:t xml:space="preserve">K-M analysis </w:t>
      </w:r>
      <w:r w:rsidRPr="001C70B7">
        <w:rPr>
          <w:rFonts w:ascii="Times New Roman" w:hAnsi="Times New Roman"/>
          <w:bCs/>
          <w:sz w:val="20"/>
          <w:szCs w:val="20"/>
        </w:rPr>
        <w:t xml:space="preserve">of </w:t>
      </w:r>
      <w:r w:rsidRPr="001C70B7">
        <w:rPr>
          <w:rFonts w:ascii="Times New Roman" w:hAnsi="Times New Roman" w:hint="eastAsia"/>
          <w:bCs/>
          <w:sz w:val="20"/>
          <w:szCs w:val="20"/>
        </w:rPr>
        <w:t xml:space="preserve">PFS </w:t>
      </w:r>
      <w:r w:rsidRPr="001C70B7">
        <w:rPr>
          <w:rFonts w:ascii="Times New Roman" w:hAnsi="Times New Roman"/>
          <w:bCs/>
          <w:sz w:val="20"/>
          <w:szCs w:val="20"/>
        </w:rPr>
        <w:t>of</w:t>
      </w:r>
      <w:r w:rsidRPr="001C70B7">
        <w:rPr>
          <w:rFonts w:ascii="Times New Roman" w:hAnsi="Times New Roman" w:hint="eastAsia"/>
          <w:bCs/>
          <w:sz w:val="20"/>
          <w:szCs w:val="20"/>
        </w:rPr>
        <w:t xml:space="preserve"> </w:t>
      </w:r>
      <w:r w:rsidRPr="001C70B7">
        <w:rPr>
          <w:rFonts w:ascii="Times New Roman" w:hAnsi="Times New Roman"/>
          <w:bCs/>
          <w:sz w:val="20"/>
          <w:szCs w:val="20"/>
        </w:rPr>
        <w:t>different</w:t>
      </w:r>
      <w:r w:rsidRPr="001C70B7">
        <w:rPr>
          <w:rFonts w:ascii="Times New Roman" w:hAnsi="Times New Roman" w:hint="eastAsia"/>
          <w:bCs/>
          <w:sz w:val="20"/>
          <w:szCs w:val="20"/>
        </w:rPr>
        <w:t xml:space="preserve">-risk </w:t>
      </w:r>
      <w:r w:rsidRPr="001C70B7">
        <w:rPr>
          <w:rFonts w:ascii="Times New Roman" w:hAnsi="Times New Roman"/>
          <w:bCs/>
          <w:sz w:val="20"/>
          <w:szCs w:val="20"/>
        </w:rPr>
        <w:t>groups</w:t>
      </w:r>
      <w:r w:rsidRPr="001C70B7">
        <w:rPr>
          <w:rFonts w:ascii="Times New Roman" w:hAnsi="Times New Roman" w:hint="eastAsia"/>
          <w:bCs/>
          <w:sz w:val="20"/>
          <w:szCs w:val="20"/>
        </w:rPr>
        <w:t xml:space="preserve"> in TCGA-KIRC</w:t>
      </w:r>
      <w:r w:rsidRPr="001C70B7">
        <w:rPr>
          <w:rFonts w:ascii="Times New Roman" w:hAnsi="Times New Roman"/>
          <w:bCs/>
          <w:sz w:val="20"/>
          <w:szCs w:val="20"/>
        </w:rPr>
        <w:t xml:space="preserve"> train, test, total </w:t>
      </w:r>
      <w:r w:rsidRPr="001C70B7">
        <w:rPr>
          <w:rFonts w:ascii="Times New Roman" w:hAnsi="Times New Roman" w:hint="eastAsia"/>
          <w:bCs/>
          <w:sz w:val="20"/>
          <w:szCs w:val="20"/>
        </w:rPr>
        <w:t>cohort</w:t>
      </w:r>
      <w:r w:rsidRPr="001C70B7">
        <w:rPr>
          <w:rFonts w:ascii="Times New Roman" w:hAnsi="Times New Roman"/>
          <w:bCs/>
          <w:sz w:val="20"/>
          <w:szCs w:val="20"/>
        </w:rPr>
        <w:t>.</w:t>
      </w:r>
      <w:r w:rsidRPr="001C70B7">
        <w:rPr>
          <w:bCs/>
          <w:sz w:val="20"/>
          <w:szCs w:val="20"/>
        </w:rPr>
        <w:t xml:space="preserve"> (d-e) </w:t>
      </w:r>
      <w:r w:rsidRPr="001C70B7">
        <w:rPr>
          <w:rFonts w:ascii="Times New Roman" w:hAnsi="Times New Roman"/>
          <w:bCs/>
          <w:sz w:val="20"/>
          <w:szCs w:val="20"/>
        </w:rPr>
        <w:t>K-M analysis of different-risk groups of OS in Checkmate-total and everolimus</w:t>
      </w:r>
      <w:r w:rsidRPr="001C70B7">
        <w:rPr>
          <w:bCs/>
          <w:sz w:val="20"/>
          <w:szCs w:val="20"/>
        </w:rPr>
        <w:t xml:space="preserve"> </w:t>
      </w:r>
      <w:r w:rsidRPr="001C70B7">
        <w:rPr>
          <w:rFonts w:ascii="Times New Roman" w:hAnsi="Times New Roman"/>
          <w:bCs/>
          <w:sz w:val="20"/>
          <w:szCs w:val="20"/>
        </w:rPr>
        <w:t>cohort.</w:t>
      </w:r>
    </w:p>
    <w:p w14:paraId="0D5B9C1B" w14:textId="51313950" w:rsidR="00FD7B0C" w:rsidRDefault="00FD7B0C" w:rsidP="00FD7B0C">
      <w:pPr>
        <w:spacing w:line="480" w:lineRule="auto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noProof/>
          <w:sz w:val="20"/>
          <w:szCs w:val="20"/>
        </w:rPr>
        <w:lastRenderedPageBreak/>
        <w:drawing>
          <wp:inline distT="0" distB="0" distL="0" distR="0" wp14:anchorId="0990E022" wp14:editId="66832BB9">
            <wp:extent cx="5274310" cy="737806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378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807DCC" w14:textId="77777777" w:rsidR="00FD7B0C" w:rsidRDefault="00FD7B0C" w:rsidP="00FD7B0C">
      <w:pPr>
        <w:spacing w:line="480" w:lineRule="auto"/>
        <w:rPr>
          <w:rFonts w:ascii="Times New Roman" w:hAnsi="Times New Roman"/>
          <w:bCs/>
          <w:sz w:val="20"/>
          <w:szCs w:val="20"/>
        </w:rPr>
      </w:pPr>
    </w:p>
    <w:p w14:paraId="7266A13F" w14:textId="77777777" w:rsidR="00FD7B0C" w:rsidRPr="001C70B7" w:rsidRDefault="00FD7B0C" w:rsidP="00FD7B0C">
      <w:pPr>
        <w:spacing w:line="480" w:lineRule="auto"/>
        <w:rPr>
          <w:rFonts w:ascii="Times New Roman" w:hAnsi="Times New Roman" w:hint="eastAsia"/>
          <w:bCs/>
          <w:sz w:val="20"/>
          <w:szCs w:val="20"/>
        </w:rPr>
      </w:pPr>
    </w:p>
    <w:p w14:paraId="6644D92F" w14:textId="77777777" w:rsidR="00FD7B0C" w:rsidRDefault="00FD7B0C" w:rsidP="00FD7B0C">
      <w:pPr>
        <w:spacing w:line="480" w:lineRule="auto"/>
        <w:rPr>
          <w:rFonts w:ascii="Times New Roman" w:hAnsi="Times New Roman"/>
          <w:sz w:val="20"/>
          <w:szCs w:val="20"/>
        </w:rPr>
      </w:pPr>
      <w:r w:rsidRPr="003868DD">
        <w:rPr>
          <w:rFonts w:ascii="Times New Roman" w:hAnsi="Times New Roman"/>
          <w:bCs/>
          <w:sz w:val="20"/>
          <w:szCs w:val="20"/>
        </w:rPr>
        <w:t xml:space="preserve">Figure S2. TME cell composition and fraction of individual immune cell types in three Immune-related </w:t>
      </w:r>
      <w:r w:rsidRPr="003868DD">
        <w:rPr>
          <w:rFonts w:ascii="Times New Roman" w:hAnsi="Times New Roman"/>
          <w:bCs/>
          <w:sz w:val="20"/>
          <w:szCs w:val="20"/>
        </w:rPr>
        <w:lastRenderedPageBreak/>
        <w:t>cohorts</w:t>
      </w:r>
      <w:r w:rsidRPr="003868DD">
        <w:rPr>
          <w:rFonts w:ascii="Times New Roman" w:hAnsi="Times New Roman"/>
          <w:sz w:val="20"/>
          <w:szCs w:val="20"/>
        </w:rPr>
        <w:t>. (a)CheckMate-025. (b)IMmotion150. (c)IMmotion151.</w:t>
      </w:r>
    </w:p>
    <w:p w14:paraId="7A4CBE1B" w14:textId="77777777" w:rsidR="00FD7B0C" w:rsidRDefault="00FD7B0C" w:rsidP="00FD7B0C">
      <w:pPr>
        <w:spacing w:line="480" w:lineRule="auto"/>
        <w:rPr>
          <w:rFonts w:ascii="Times New Roman" w:hAnsi="Times New Roman"/>
          <w:sz w:val="20"/>
          <w:szCs w:val="20"/>
        </w:rPr>
      </w:pPr>
    </w:p>
    <w:p w14:paraId="6D26106F" w14:textId="77777777" w:rsidR="00FD7B0C" w:rsidRDefault="00FD7B0C" w:rsidP="00FD7B0C">
      <w:pPr>
        <w:spacing w:line="480" w:lineRule="auto"/>
        <w:rPr>
          <w:rFonts w:ascii="Times New Roman" w:hAnsi="Times New Roman"/>
          <w:sz w:val="20"/>
          <w:szCs w:val="20"/>
        </w:rPr>
      </w:pPr>
    </w:p>
    <w:p w14:paraId="685171A0" w14:textId="77777777" w:rsidR="00FD7B0C" w:rsidRDefault="00FD7B0C" w:rsidP="00FD7B0C">
      <w:pPr>
        <w:spacing w:line="480" w:lineRule="auto"/>
        <w:rPr>
          <w:rFonts w:ascii="Times New Roman" w:hAnsi="Times New Roman"/>
          <w:sz w:val="20"/>
          <w:szCs w:val="20"/>
        </w:rPr>
      </w:pPr>
    </w:p>
    <w:p w14:paraId="1780F858" w14:textId="658807DD" w:rsidR="00FD7B0C" w:rsidRDefault="00FD7B0C" w:rsidP="00FD7B0C">
      <w:pPr>
        <w:spacing w:line="48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lastRenderedPageBreak/>
        <w:drawing>
          <wp:inline distT="0" distB="0" distL="0" distR="0" wp14:anchorId="15F33439" wp14:editId="206533FC">
            <wp:extent cx="5267325" cy="80200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802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C40D0D" w14:textId="77777777" w:rsidR="00FD7B0C" w:rsidRPr="003868DD" w:rsidRDefault="00FD7B0C" w:rsidP="00FD7B0C">
      <w:pPr>
        <w:spacing w:line="480" w:lineRule="auto"/>
        <w:rPr>
          <w:rFonts w:ascii="Times New Roman" w:hAnsi="Times New Roman"/>
          <w:sz w:val="20"/>
          <w:szCs w:val="20"/>
        </w:rPr>
      </w:pPr>
      <w:r w:rsidRPr="003868DD">
        <w:rPr>
          <w:rFonts w:ascii="Times New Roman" w:hAnsi="Times New Roman"/>
          <w:sz w:val="20"/>
          <w:szCs w:val="20"/>
        </w:rPr>
        <w:t>Figure S</w:t>
      </w:r>
      <w:r>
        <w:rPr>
          <w:rFonts w:ascii="Times New Roman" w:hAnsi="Times New Roman"/>
          <w:sz w:val="20"/>
          <w:szCs w:val="20"/>
        </w:rPr>
        <w:t>3</w:t>
      </w:r>
      <w:r w:rsidRPr="003868DD">
        <w:rPr>
          <w:rFonts w:ascii="Times New Roman" w:hAnsi="Times New Roman"/>
          <w:sz w:val="20"/>
          <w:szCs w:val="20"/>
        </w:rPr>
        <w:t xml:space="preserve">. </w:t>
      </w:r>
      <w:r>
        <w:rPr>
          <w:rFonts w:ascii="Times New Roman" w:hAnsi="Times New Roman"/>
          <w:sz w:val="20"/>
          <w:szCs w:val="20"/>
        </w:rPr>
        <w:t>T</w:t>
      </w:r>
      <w:r w:rsidRPr="003868DD">
        <w:rPr>
          <w:rFonts w:ascii="Times New Roman" w:hAnsi="Times New Roman"/>
          <w:sz w:val="20"/>
          <w:szCs w:val="20"/>
        </w:rPr>
        <w:t xml:space="preserve">he risk score of ccRCC cell lines through CCLE and drug sensitivity data in GDSC. </w:t>
      </w:r>
      <w:r>
        <w:rPr>
          <w:rFonts w:ascii="Times New Roman" w:hAnsi="Times New Roman"/>
          <w:sz w:val="20"/>
          <w:szCs w:val="20"/>
        </w:rPr>
        <w:t>(a)</w:t>
      </w:r>
      <w:r w:rsidRPr="003868DD">
        <w:rPr>
          <w:rFonts w:ascii="Times New Roman" w:hAnsi="Times New Roman"/>
          <w:sz w:val="20"/>
          <w:szCs w:val="20"/>
        </w:rPr>
        <w:t xml:space="preserve"> A498 had the highest risk score while BFTC-909 had the lowest risk score</w:t>
      </w:r>
      <w:r>
        <w:rPr>
          <w:rFonts w:ascii="Times New Roman" w:hAnsi="Times New Roman"/>
          <w:sz w:val="20"/>
          <w:szCs w:val="20"/>
        </w:rPr>
        <w:t>.</w:t>
      </w:r>
      <w:r w:rsidRPr="003868DD">
        <w:t xml:space="preserve"> (</w:t>
      </w:r>
      <w:r>
        <w:t>b</w:t>
      </w:r>
      <w:r w:rsidRPr="003868DD">
        <w:t xml:space="preserve">) </w:t>
      </w:r>
      <w:r>
        <w:rPr>
          <w:rFonts w:ascii="Times New Roman" w:hAnsi="Times New Roman"/>
          <w:sz w:val="20"/>
          <w:szCs w:val="20"/>
        </w:rPr>
        <w:t>T</w:t>
      </w:r>
      <w:r w:rsidRPr="003868DD">
        <w:rPr>
          <w:rFonts w:ascii="Times New Roman" w:hAnsi="Times New Roman"/>
          <w:sz w:val="20"/>
          <w:szCs w:val="20"/>
        </w:rPr>
        <w:t xml:space="preserve">he risk score had positive </w:t>
      </w:r>
      <w:r w:rsidRPr="003868DD">
        <w:rPr>
          <w:rFonts w:ascii="Times New Roman" w:hAnsi="Times New Roman"/>
          <w:sz w:val="20"/>
          <w:szCs w:val="20"/>
        </w:rPr>
        <w:lastRenderedPageBreak/>
        <w:t>correlation with IC50 of C-75 while was negatively correlated with IC50 of PD0325901</w:t>
      </w:r>
      <w:r>
        <w:rPr>
          <w:rFonts w:ascii="Times New Roman" w:hAnsi="Times New Roman"/>
          <w:sz w:val="20"/>
          <w:szCs w:val="20"/>
        </w:rPr>
        <w:t>.</w:t>
      </w:r>
    </w:p>
    <w:p w14:paraId="56B71184" w14:textId="77777777" w:rsidR="00CA67E5" w:rsidRDefault="00FD7B0C"/>
    <w:sectPr w:rsidR="00CA67E5" w:rsidSect="00857F24">
      <w:pgSz w:w="11906" w:h="16838"/>
      <w:pgMar w:top="1440" w:right="1800" w:bottom="1440" w:left="1800" w:header="851" w:footer="992" w:gutter="0"/>
      <w:lnNumType w:countBy="1" w:restart="continuous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B0C"/>
    <w:rsid w:val="00753CA0"/>
    <w:rsid w:val="00AC3DA1"/>
    <w:rsid w:val="00D07031"/>
    <w:rsid w:val="00FD7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232628"/>
  <w15:chartTrackingRefBased/>
  <w15:docId w15:val="{7659E28B-ABAC-4B82-A453-72141DADF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7B0C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FD7B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107</Words>
  <Characters>616</Characters>
  <Application>Microsoft Office Word</Application>
  <DocSecurity>0</DocSecurity>
  <Lines>5</Lines>
  <Paragraphs>1</Paragraphs>
  <ScaleCrop>false</ScaleCrop>
  <Company>Springer Nature</Company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2023-03-13T07:20:00Z</dcterms:created>
  <dcterms:modified xsi:type="dcterms:W3CDTF">2023-03-13T07:20:00Z</dcterms:modified>
</cp:coreProperties>
</file>