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DA31892" w14:textId="77777777" w:rsidR="000C67AA" w:rsidRDefault="000C67AA" w:rsidP="000C67AA">
      <w:pPr>
        <w:rPr>
          <w:color w:val="000000" w:themeColor="text1"/>
        </w:rPr>
      </w:pPr>
      <w:r>
        <w:rPr>
          <w:b/>
          <w:color w:val="000000" w:themeColor="text1"/>
        </w:rPr>
        <w:t>Online supplementary material</w:t>
      </w:r>
    </w:p>
    <w:p w14:paraId="64F25F78" w14:textId="77777777" w:rsidR="000C67AA" w:rsidRDefault="000C67AA" w:rsidP="000C67AA">
      <w:pPr>
        <w:autoSpaceDE w:val="0"/>
        <w:autoSpaceDN w:val="0"/>
        <w:adjustRightInd w:val="0"/>
        <w:spacing w:after="240" w:line="360" w:lineRule="auto"/>
        <w:jc w:val="both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 xml:space="preserve">Western blot analysis </w:t>
      </w:r>
    </w:p>
    <w:p w14:paraId="414574E8" w14:textId="77777777" w:rsidR="000C67AA" w:rsidRDefault="000C67AA" w:rsidP="000C67AA">
      <w:pPr>
        <w:autoSpaceDE w:val="0"/>
        <w:autoSpaceDN w:val="0"/>
        <w:adjustRightInd w:val="0"/>
        <w:spacing w:after="240" w:line="360" w:lineRule="auto"/>
        <w:jc w:val="both"/>
        <w:rPr>
          <w:color w:val="000000" w:themeColor="text1"/>
        </w:rPr>
      </w:pPr>
      <w:r>
        <w:rPr>
          <w:color w:val="000000" w:themeColor="text1"/>
        </w:rPr>
        <w:t xml:space="preserve">Western blot analysis followed our previous method (Wang et al. 2016). The protein expression of </w:t>
      </w:r>
      <w:proofErr w:type="spellStart"/>
      <w:r>
        <w:rPr>
          <w:color w:val="000000" w:themeColor="text1"/>
        </w:rPr>
        <w:t>Sirt6</w:t>
      </w:r>
      <w:proofErr w:type="spellEnd"/>
      <w:r>
        <w:rPr>
          <w:color w:val="000000" w:themeColor="text1"/>
        </w:rPr>
        <w:t xml:space="preserve">, </w:t>
      </w:r>
      <w:proofErr w:type="spellStart"/>
      <w:r>
        <w:rPr>
          <w:color w:val="000000" w:themeColor="text1"/>
        </w:rPr>
        <w:t>p53</w:t>
      </w:r>
      <w:proofErr w:type="spellEnd"/>
      <w:r>
        <w:rPr>
          <w:color w:val="000000" w:themeColor="text1"/>
        </w:rPr>
        <w:t xml:space="preserve"> (acetyl </w:t>
      </w:r>
      <w:proofErr w:type="spellStart"/>
      <w:r>
        <w:rPr>
          <w:color w:val="000000" w:themeColor="text1"/>
        </w:rPr>
        <w:t>K382</w:t>
      </w:r>
      <w:proofErr w:type="spellEnd"/>
      <w:r>
        <w:rPr>
          <w:color w:val="000000" w:themeColor="text1"/>
        </w:rPr>
        <w:t xml:space="preserve">), </w:t>
      </w:r>
      <w:proofErr w:type="spellStart"/>
      <w:r>
        <w:rPr>
          <w:color w:val="000000" w:themeColor="text1"/>
        </w:rPr>
        <w:t>p53</w:t>
      </w:r>
      <w:proofErr w:type="spellEnd"/>
      <w:r>
        <w:rPr>
          <w:color w:val="000000" w:themeColor="text1"/>
        </w:rPr>
        <w:t xml:space="preserve"> (phosphor </w:t>
      </w:r>
      <w:proofErr w:type="spellStart"/>
      <w:r>
        <w:rPr>
          <w:color w:val="000000" w:themeColor="text1"/>
        </w:rPr>
        <w:t>S392</w:t>
      </w:r>
      <w:proofErr w:type="spellEnd"/>
      <w:r>
        <w:rPr>
          <w:color w:val="000000" w:themeColor="text1"/>
        </w:rPr>
        <w:t xml:space="preserve">), </w:t>
      </w:r>
      <w:proofErr w:type="spellStart"/>
      <w:r>
        <w:rPr>
          <w:color w:val="000000" w:themeColor="text1"/>
        </w:rPr>
        <w:t>p53</w:t>
      </w:r>
      <w:proofErr w:type="spellEnd"/>
      <w:r>
        <w:rPr>
          <w:color w:val="000000" w:themeColor="text1"/>
        </w:rPr>
        <w:t xml:space="preserve"> and β-actin were determined in cardiomyocytes. </w:t>
      </w:r>
    </w:p>
    <w:p w14:paraId="20A2BADB" w14:textId="77777777" w:rsidR="000C67AA" w:rsidRDefault="000C67AA" w:rsidP="000C67AA">
      <w:pPr>
        <w:autoSpaceDE w:val="0"/>
        <w:autoSpaceDN w:val="0"/>
        <w:adjustRightInd w:val="0"/>
        <w:spacing w:beforeLines="50" w:before="120" w:afterLines="50" w:after="120" w:line="360" w:lineRule="auto"/>
        <w:jc w:val="both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Detection of lactate dehydrogenase (</w:t>
      </w:r>
      <w:proofErr w:type="spellStart"/>
      <w:r>
        <w:rPr>
          <w:b/>
          <w:bCs/>
          <w:color w:val="000000" w:themeColor="text1"/>
        </w:rPr>
        <w:t>LDH</w:t>
      </w:r>
      <w:proofErr w:type="spellEnd"/>
      <w:r>
        <w:rPr>
          <w:b/>
          <w:bCs/>
          <w:color w:val="000000" w:themeColor="text1"/>
        </w:rPr>
        <w:t>), creatine kinase (CK) and MB isoenzyme of CK (CK-MB) activities in plasma and cell culture supernatants</w:t>
      </w:r>
    </w:p>
    <w:p w14:paraId="1DE71D7B" w14:textId="77777777" w:rsidR="000C67AA" w:rsidRDefault="000C67AA" w:rsidP="000C67AA">
      <w:pPr>
        <w:autoSpaceDE w:val="0"/>
        <w:autoSpaceDN w:val="0"/>
        <w:adjustRightInd w:val="0"/>
        <w:spacing w:beforeLines="50" w:before="120" w:afterLines="50" w:after="120" w:line="360" w:lineRule="auto"/>
        <w:jc w:val="both"/>
        <w:rPr>
          <w:color w:val="000000" w:themeColor="text1"/>
        </w:rPr>
      </w:pPr>
      <w:r>
        <w:rPr>
          <w:color w:val="000000" w:themeColor="text1"/>
        </w:rPr>
        <w:t xml:space="preserve">Activity of </w:t>
      </w:r>
      <w:proofErr w:type="spellStart"/>
      <w:r>
        <w:rPr>
          <w:color w:val="000000" w:themeColor="text1"/>
        </w:rPr>
        <w:t>LDH</w:t>
      </w:r>
      <w:proofErr w:type="spellEnd"/>
      <w:r>
        <w:rPr>
          <w:color w:val="000000" w:themeColor="text1"/>
        </w:rPr>
        <w:t xml:space="preserve">, CK and CK-MB was measured in collected plasma and cell culture supernatants by using a Roche Cobas 8000 Automatic Biochemical Analyzer with clinical grade reagents at West China Hospital. </w:t>
      </w:r>
      <w:proofErr w:type="spellStart"/>
      <w:r>
        <w:rPr>
          <w:color w:val="000000" w:themeColor="text1"/>
        </w:rPr>
        <w:t>LDH</w:t>
      </w:r>
      <w:proofErr w:type="spellEnd"/>
      <w:r>
        <w:rPr>
          <w:color w:val="000000" w:themeColor="text1"/>
        </w:rPr>
        <w:t>, CK and CK-MB activity was presented as units per liter, respectively (Wang et al. 2016).</w:t>
      </w:r>
    </w:p>
    <w:p w14:paraId="4662BAD2" w14:textId="77777777" w:rsidR="000C67AA" w:rsidRDefault="000C67AA" w:rsidP="000C67AA">
      <w:pPr>
        <w:autoSpaceDE w:val="0"/>
        <w:autoSpaceDN w:val="0"/>
        <w:adjustRightInd w:val="0"/>
        <w:spacing w:beforeLines="50" w:before="120" w:afterLines="50" w:after="120" w:line="360" w:lineRule="auto"/>
        <w:jc w:val="both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 xml:space="preserve">RT-PCR and quantitative real-time PCR (qPCR) </w:t>
      </w:r>
    </w:p>
    <w:p w14:paraId="54A5DA89" w14:textId="77777777" w:rsidR="000C67AA" w:rsidRDefault="000C67AA" w:rsidP="000C67AA">
      <w:pPr>
        <w:autoSpaceDE w:val="0"/>
        <w:autoSpaceDN w:val="0"/>
        <w:adjustRightInd w:val="0"/>
        <w:spacing w:after="240" w:line="360" w:lineRule="auto"/>
        <w:jc w:val="both"/>
        <w:rPr>
          <w:color w:val="000000" w:themeColor="text1"/>
        </w:rPr>
      </w:pPr>
      <w:r>
        <w:rPr>
          <w:color w:val="000000" w:themeColor="text1"/>
        </w:rPr>
        <w:t xml:space="preserve">Total RNA was extracted from different mouse tissues and cardiomyocytes with </w:t>
      </w:r>
      <w:proofErr w:type="spellStart"/>
      <w:r>
        <w:rPr>
          <w:color w:val="000000" w:themeColor="text1"/>
        </w:rPr>
        <w:t>TRIzol</w:t>
      </w:r>
      <w:proofErr w:type="spellEnd"/>
      <w:r>
        <w:rPr>
          <w:color w:val="000000" w:themeColor="text1"/>
        </w:rPr>
        <w:t xml:space="preserve"> reagent (Invitrogen) following the phenol-chloroform extraction method, then 1 </w:t>
      </w:r>
      <w:proofErr w:type="spellStart"/>
      <w:r>
        <w:rPr>
          <w:color w:val="000000" w:themeColor="text1"/>
        </w:rPr>
        <w:t>μg</w:t>
      </w:r>
      <w:proofErr w:type="spellEnd"/>
      <w:r>
        <w:rPr>
          <w:color w:val="000000" w:themeColor="text1"/>
        </w:rPr>
        <w:t xml:space="preserve"> total RNA was reverse-transcribed into cDNA by using the </w:t>
      </w:r>
      <w:proofErr w:type="spellStart"/>
      <w:r>
        <w:rPr>
          <w:color w:val="000000" w:themeColor="text1"/>
        </w:rPr>
        <w:t>PrimeScript</w:t>
      </w:r>
      <w:proofErr w:type="spellEnd"/>
      <w:r>
        <w:rPr>
          <w:color w:val="000000" w:themeColor="text1"/>
        </w:rPr>
        <w:t xml:space="preserve"> RT reagent Kit with gDNA Eraser (Wang et al. 2016; Li et al. 2018). The DNA targets were amplified with use of primers (</w:t>
      </w:r>
      <w:r>
        <w:rPr>
          <w:bCs/>
          <w:color w:val="000000" w:themeColor="text1"/>
        </w:rPr>
        <w:t>Supplementary</w:t>
      </w:r>
      <w:r>
        <w:rPr>
          <w:color w:val="000000" w:themeColor="text1"/>
        </w:rPr>
        <w:t xml:space="preserve"> Table 1) and monitored by a </w:t>
      </w:r>
      <w:proofErr w:type="spellStart"/>
      <w:r>
        <w:rPr>
          <w:color w:val="000000" w:themeColor="text1"/>
        </w:rPr>
        <w:t>CFX96</w:t>
      </w:r>
      <w:proofErr w:type="spellEnd"/>
      <w:r>
        <w:rPr>
          <w:color w:val="000000" w:themeColor="text1"/>
        </w:rPr>
        <w:t xml:space="preserve"> Real-Time PCR Detection System (Bio-Rad Life Sciences). Peroxiredoxin 5 (</w:t>
      </w:r>
      <w:proofErr w:type="spellStart"/>
      <w:r>
        <w:rPr>
          <w:color w:val="000000" w:themeColor="text1"/>
        </w:rPr>
        <w:t>Prx5</w:t>
      </w:r>
      <w:proofErr w:type="spellEnd"/>
      <w:r>
        <w:rPr>
          <w:color w:val="000000" w:themeColor="text1"/>
        </w:rPr>
        <w:t>), glutathione peroxidase 1 (</w:t>
      </w:r>
      <w:proofErr w:type="spellStart"/>
      <w:r>
        <w:rPr>
          <w:color w:val="000000" w:themeColor="text1"/>
        </w:rPr>
        <w:t>Gpx1</w:t>
      </w:r>
      <w:proofErr w:type="spellEnd"/>
      <w:r>
        <w:rPr>
          <w:color w:val="000000" w:themeColor="text1"/>
        </w:rPr>
        <w:t>), catalase (CAT) and Mn-dependent superoxide dismutase 2 (</w:t>
      </w:r>
      <w:proofErr w:type="spellStart"/>
      <w:r>
        <w:rPr>
          <w:color w:val="000000" w:themeColor="text1"/>
        </w:rPr>
        <w:t>SOD2</w:t>
      </w:r>
      <w:proofErr w:type="spellEnd"/>
      <w:r>
        <w:rPr>
          <w:color w:val="000000" w:themeColor="text1"/>
        </w:rPr>
        <w:t>) mRNA levels were normalized to β-actin level. Mouse double minute 2 homolog (</w:t>
      </w:r>
      <w:proofErr w:type="spellStart"/>
      <w:r>
        <w:rPr>
          <w:color w:val="000000" w:themeColor="text1"/>
        </w:rPr>
        <w:t>Mdm2</w:t>
      </w:r>
      <w:proofErr w:type="spellEnd"/>
      <w:r>
        <w:rPr>
          <w:color w:val="000000" w:themeColor="text1"/>
        </w:rPr>
        <w:t xml:space="preserve">), cyclin-dependent kinase inhibitor </w:t>
      </w:r>
      <w:proofErr w:type="spellStart"/>
      <w:r>
        <w:rPr>
          <w:color w:val="000000" w:themeColor="text1"/>
        </w:rPr>
        <w:t>2A</w:t>
      </w:r>
      <w:proofErr w:type="spellEnd"/>
      <w:r>
        <w:rPr>
          <w:color w:val="000000" w:themeColor="text1"/>
        </w:rPr>
        <w:t xml:space="preserve"> (</w:t>
      </w:r>
      <w:proofErr w:type="spellStart"/>
      <w:r>
        <w:rPr>
          <w:color w:val="000000" w:themeColor="text1"/>
        </w:rPr>
        <w:t>Cdkn2a</w:t>
      </w:r>
      <w:proofErr w:type="spellEnd"/>
      <w:r>
        <w:rPr>
          <w:color w:val="000000" w:themeColor="text1"/>
        </w:rPr>
        <w:t xml:space="preserve">), </w:t>
      </w:r>
      <w:proofErr w:type="spellStart"/>
      <w:r>
        <w:rPr>
          <w:color w:val="000000" w:themeColor="text1"/>
        </w:rPr>
        <w:t>Bcl</w:t>
      </w:r>
      <w:proofErr w:type="spellEnd"/>
      <w:r>
        <w:rPr>
          <w:color w:val="000000" w:themeColor="text1"/>
        </w:rPr>
        <w:t>-2-associated protein X (</w:t>
      </w:r>
      <w:proofErr w:type="spellStart"/>
      <w:r>
        <w:rPr>
          <w:color w:val="000000" w:themeColor="text1"/>
        </w:rPr>
        <w:t>Bax</w:t>
      </w:r>
      <w:proofErr w:type="spellEnd"/>
      <w:r>
        <w:rPr>
          <w:color w:val="000000" w:themeColor="text1"/>
        </w:rPr>
        <w:t xml:space="preserve">), </w:t>
      </w:r>
      <w:proofErr w:type="spellStart"/>
      <w:r>
        <w:rPr>
          <w:color w:val="000000" w:themeColor="text1"/>
        </w:rPr>
        <w:t>Bcl</w:t>
      </w:r>
      <w:proofErr w:type="spellEnd"/>
      <w:r>
        <w:rPr>
          <w:color w:val="000000" w:themeColor="text1"/>
        </w:rPr>
        <w:t>-2 antagonist/killer (</w:t>
      </w:r>
      <w:proofErr w:type="spellStart"/>
      <w:r>
        <w:rPr>
          <w:color w:val="000000" w:themeColor="text1"/>
        </w:rPr>
        <w:t>Bak</w:t>
      </w:r>
      <w:proofErr w:type="spellEnd"/>
      <w:r>
        <w:rPr>
          <w:color w:val="000000" w:themeColor="text1"/>
        </w:rPr>
        <w:t>), TNF receptor superfamily member 6 (</w:t>
      </w:r>
      <w:proofErr w:type="spellStart"/>
      <w:r>
        <w:rPr>
          <w:color w:val="000000" w:themeColor="text1"/>
        </w:rPr>
        <w:t>Fas</w:t>
      </w:r>
      <w:proofErr w:type="spellEnd"/>
      <w:r>
        <w:rPr>
          <w:color w:val="000000" w:themeColor="text1"/>
        </w:rPr>
        <w:t xml:space="preserve">), </w:t>
      </w:r>
      <w:proofErr w:type="spellStart"/>
      <w:r>
        <w:rPr>
          <w:color w:val="000000" w:themeColor="text1"/>
        </w:rPr>
        <w:t>Fas</w:t>
      </w:r>
      <w:proofErr w:type="spellEnd"/>
      <w:r>
        <w:rPr>
          <w:color w:val="000000" w:themeColor="text1"/>
        </w:rPr>
        <w:t xml:space="preserve"> ligand (</w:t>
      </w:r>
      <w:proofErr w:type="spellStart"/>
      <w:r>
        <w:rPr>
          <w:color w:val="000000" w:themeColor="text1"/>
        </w:rPr>
        <w:t>FasL</w:t>
      </w:r>
      <w:proofErr w:type="spellEnd"/>
      <w:r>
        <w:rPr>
          <w:color w:val="000000" w:themeColor="text1"/>
        </w:rPr>
        <w:t>), phorbol-12-myristate-13-acetate-induced protein 1 (</w:t>
      </w:r>
      <w:proofErr w:type="spellStart"/>
      <w:r>
        <w:rPr>
          <w:color w:val="000000" w:themeColor="text1"/>
        </w:rPr>
        <w:t>Noxa</w:t>
      </w:r>
      <w:proofErr w:type="spellEnd"/>
      <w:r>
        <w:rPr>
          <w:color w:val="000000" w:themeColor="text1"/>
        </w:rPr>
        <w:t xml:space="preserve">) and </w:t>
      </w:r>
      <w:proofErr w:type="spellStart"/>
      <w:r>
        <w:rPr>
          <w:color w:val="000000" w:themeColor="text1"/>
        </w:rPr>
        <w:t>p53</w:t>
      </w:r>
      <w:proofErr w:type="spellEnd"/>
      <w:r>
        <w:rPr>
          <w:color w:val="000000" w:themeColor="text1"/>
        </w:rPr>
        <w:t xml:space="preserve"> upregulated modulator of apoptosis (Puma) mRNA levels were determined by RT-qPCR.</w:t>
      </w:r>
    </w:p>
    <w:p w14:paraId="79BDA836" w14:textId="77777777" w:rsidR="000C67AA" w:rsidRDefault="000C67AA" w:rsidP="000C67AA">
      <w:pPr>
        <w:spacing w:line="360" w:lineRule="auto"/>
        <w:jc w:val="both"/>
        <w:rPr>
          <w:color w:val="000000" w:themeColor="text1"/>
        </w:rPr>
      </w:pPr>
    </w:p>
    <w:p w14:paraId="7BEB15C7" w14:textId="77777777" w:rsidR="000C67AA" w:rsidRDefault="000C67AA" w:rsidP="000C67AA">
      <w:pPr>
        <w:spacing w:line="360" w:lineRule="auto"/>
        <w:jc w:val="both"/>
        <w:rPr>
          <w:color w:val="000000" w:themeColor="text1"/>
        </w:rPr>
      </w:pPr>
      <w:r>
        <w:rPr>
          <w:color w:val="000000" w:themeColor="text1"/>
        </w:rPr>
        <w:t>Reference:</w:t>
      </w:r>
    </w:p>
    <w:p w14:paraId="04AF5E5F" w14:textId="77777777" w:rsidR="000C67AA" w:rsidRDefault="000C67AA" w:rsidP="000C67AA">
      <w:pPr>
        <w:spacing w:beforeLines="50" w:before="120" w:afterLines="50" w:after="120"/>
        <w:ind w:left="220" w:hangingChars="100" w:hanging="220"/>
        <w:jc w:val="both"/>
        <w:rPr>
          <w:shd w:val="clear" w:color="auto" w:fill="FFFFFF"/>
        </w:rPr>
      </w:pPr>
      <w:r>
        <w:rPr>
          <w:color w:val="000000" w:themeColor="text1"/>
          <w:shd w:val="clear" w:color="auto" w:fill="FFFFFF"/>
        </w:rPr>
        <w:t xml:space="preserve">Li </w:t>
      </w:r>
      <w:proofErr w:type="spellStart"/>
      <w:r>
        <w:rPr>
          <w:color w:val="000000" w:themeColor="text1"/>
          <w:shd w:val="clear" w:color="auto" w:fill="FFFFFF"/>
        </w:rPr>
        <w:t>RL</w:t>
      </w:r>
      <w:proofErr w:type="spellEnd"/>
      <w:r>
        <w:rPr>
          <w:color w:val="000000" w:themeColor="text1"/>
          <w:shd w:val="clear" w:color="auto" w:fill="FFFFFF"/>
        </w:rPr>
        <w:t>, Wu SS, Wu Y, Wang XX, Chen HY, Xin JJ, et al. Irisin alleviates pressure overload-induced cardiac hypertrophy by inducing protective autophagy via mTOR-independent activation of the AMPK-</w:t>
      </w:r>
      <w:proofErr w:type="spellStart"/>
      <w:r>
        <w:rPr>
          <w:color w:val="000000" w:themeColor="text1"/>
          <w:shd w:val="clear" w:color="auto" w:fill="FFFFFF"/>
        </w:rPr>
        <w:t>ULK1</w:t>
      </w:r>
      <w:proofErr w:type="spellEnd"/>
      <w:r>
        <w:rPr>
          <w:color w:val="000000" w:themeColor="text1"/>
          <w:shd w:val="clear" w:color="auto" w:fill="FFFFFF"/>
        </w:rPr>
        <w:t xml:space="preserve"> pathway. J Mol Cell </w:t>
      </w:r>
      <w:proofErr w:type="spellStart"/>
      <w:r>
        <w:rPr>
          <w:color w:val="000000" w:themeColor="text1"/>
          <w:shd w:val="clear" w:color="auto" w:fill="FFFFFF"/>
        </w:rPr>
        <w:t>Cardiol</w:t>
      </w:r>
      <w:proofErr w:type="spellEnd"/>
      <w:r>
        <w:rPr>
          <w:color w:val="000000" w:themeColor="text1"/>
          <w:shd w:val="clear" w:color="auto" w:fill="FFFFFF"/>
        </w:rPr>
        <w:t>. 2018; 121:242-55.</w:t>
      </w:r>
      <w:r>
        <w:t xml:space="preserve"> </w:t>
      </w:r>
      <w:hyperlink r:id="rId4" w:history="1">
        <w:r>
          <w:rPr>
            <w:rStyle w:val="Hyperlink"/>
            <w:shd w:val="clear" w:color="auto" w:fill="FFFFFF"/>
          </w:rPr>
          <w:t>https://doi.org/10.1016/j.yjmcc.2018.07.250.</w:t>
        </w:r>
      </w:hyperlink>
    </w:p>
    <w:p w14:paraId="56C4055A" w14:textId="77777777" w:rsidR="000C67AA" w:rsidRDefault="000C67AA" w:rsidP="000C67AA">
      <w:pPr>
        <w:spacing w:beforeLines="50" w:before="120" w:afterLines="50" w:after="120"/>
        <w:ind w:left="330" w:hangingChars="150" w:hanging="330"/>
        <w:jc w:val="both"/>
        <w:rPr>
          <w:rStyle w:val="Hyperlink"/>
          <w:color w:val="000000" w:themeColor="text1"/>
        </w:rPr>
      </w:pPr>
      <w:r>
        <w:rPr>
          <w:color w:val="000000" w:themeColor="text1"/>
          <w:shd w:val="clear" w:color="auto" w:fill="FFFFFF"/>
        </w:rPr>
        <w:t xml:space="preserve">Wang XX, Wang XL, Tong MM, Gan L, Chen H, Wu SS, et al. </w:t>
      </w:r>
      <w:proofErr w:type="spellStart"/>
      <w:r>
        <w:rPr>
          <w:color w:val="000000" w:themeColor="text1"/>
          <w:shd w:val="clear" w:color="auto" w:fill="FFFFFF"/>
        </w:rPr>
        <w:t>SIRT6</w:t>
      </w:r>
      <w:proofErr w:type="spellEnd"/>
      <w:r>
        <w:rPr>
          <w:color w:val="000000" w:themeColor="text1"/>
          <w:shd w:val="clear" w:color="auto" w:fill="FFFFFF"/>
        </w:rPr>
        <w:t xml:space="preserve"> protects cardiomyocytes against ischemia/reperfusion injury by augmenting </w:t>
      </w:r>
      <w:proofErr w:type="spellStart"/>
      <w:r>
        <w:rPr>
          <w:color w:val="000000" w:themeColor="text1"/>
          <w:shd w:val="clear" w:color="auto" w:fill="FFFFFF"/>
        </w:rPr>
        <w:t>FoxO3</w:t>
      </w:r>
      <w:proofErr w:type="spellEnd"/>
      <w:r>
        <w:rPr>
          <w:color w:val="000000" w:themeColor="text1"/>
          <w:shd w:val="clear" w:color="auto" w:fill="FFFFFF"/>
        </w:rPr>
        <w:t xml:space="preserve">α-dependent antioxidant defense mechanisms. Basic Res </w:t>
      </w:r>
      <w:proofErr w:type="spellStart"/>
      <w:r>
        <w:rPr>
          <w:color w:val="000000" w:themeColor="text1"/>
          <w:shd w:val="clear" w:color="auto" w:fill="FFFFFF"/>
        </w:rPr>
        <w:t>Cardiol</w:t>
      </w:r>
      <w:proofErr w:type="spellEnd"/>
      <w:r>
        <w:rPr>
          <w:color w:val="000000" w:themeColor="text1"/>
          <w:shd w:val="clear" w:color="auto" w:fill="FFFFFF"/>
        </w:rPr>
        <w:t>. 2016; 111(2): 13.</w:t>
      </w:r>
      <w:r>
        <w:t xml:space="preserve"> </w:t>
      </w:r>
      <w:hyperlink r:id="rId5" w:history="1">
        <w:r>
          <w:rPr>
            <w:rStyle w:val="Hyperlink"/>
            <w:color w:val="000000" w:themeColor="text1"/>
            <w:shd w:val="clear" w:color="auto" w:fill="FFFFFF"/>
          </w:rPr>
          <w:t>https://doi.org/ 10.1007/</w:t>
        </w:r>
        <w:proofErr w:type="spellStart"/>
        <w:r>
          <w:rPr>
            <w:rStyle w:val="Hyperlink"/>
            <w:color w:val="000000" w:themeColor="text1"/>
            <w:shd w:val="clear" w:color="auto" w:fill="FFFFFF"/>
          </w:rPr>
          <w:t>s00395</w:t>
        </w:r>
        <w:proofErr w:type="spellEnd"/>
        <w:r>
          <w:rPr>
            <w:rStyle w:val="Hyperlink"/>
            <w:color w:val="000000" w:themeColor="text1"/>
            <w:shd w:val="clear" w:color="auto" w:fill="FFFFFF"/>
          </w:rPr>
          <w:t>-016-0531-z.</w:t>
        </w:r>
      </w:hyperlink>
    </w:p>
    <w:p w14:paraId="390E394B" w14:textId="77777777" w:rsidR="000C67AA" w:rsidRDefault="000C67AA" w:rsidP="000C67AA">
      <w:pPr>
        <w:spacing w:beforeLines="50" w:before="120" w:afterLines="50" w:after="120"/>
        <w:ind w:left="220" w:hangingChars="100" w:hanging="220"/>
        <w:jc w:val="both"/>
      </w:pPr>
    </w:p>
    <w:p w14:paraId="71B8C5CA" w14:textId="77777777" w:rsidR="000C67AA" w:rsidRDefault="000C67AA" w:rsidP="000C67AA">
      <w:pPr>
        <w:rPr>
          <w:color w:val="000000" w:themeColor="text1"/>
        </w:rPr>
      </w:pPr>
    </w:p>
    <w:p w14:paraId="5888C487" w14:textId="77777777" w:rsidR="000C67AA" w:rsidRDefault="000C67AA" w:rsidP="000C67AA">
      <w:pPr>
        <w:rPr>
          <w:color w:val="000000" w:themeColor="text1"/>
        </w:rPr>
      </w:pPr>
    </w:p>
    <w:p w14:paraId="11E8497C" w14:textId="77777777" w:rsidR="000C67AA" w:rsidRDefault="000C67AA" w:rsidP="000C67AA">
      <w:pPr>
        <w:rPr>
          <w:color w:val="000000" w:themeColor="text1"/>
        </w:rPr>
      </w:pPr>
    </w:p>
    <w:p w14:paraId="1757D6BE" w14:textId="77777777" w:rsidR="000C67AA" w:rsidRDefault="000C67AA" w:rsidP="000C67AA">
      <w:pPr>
        <w:rPr>
          <w:color w:val="000000" w:themeColor="text1"/>
        </w:rPr>
      </w:pPr>
    </w:p>
    <w:p w14:paraId="1FD5EF72" w14:textId="77777777" w:rsidR="000C67AA" w:rsidRDefault="000C67AA" w:rsidP="000C67AA">
      <w:pPr>
        <w:rPr>
          <w:color w:val="000000" w:themeColor="text1"/>
        </w:rPr>
      </w:pPr>
    </w:p>
    <w:p w14:paraId="6D4FB9A2" w14:textId="77777777" w:rsidR="000C67AA" w:rsidRDefault="000C67AA" w:rsidP="000C67AA">
      <w:pPr>
        <w:rPr>
          <w:color w:val="000000" w:themeColor="text1"/>
        </w:rPr>
      </w:pPr>
    </w:p>
    <w:p w14:paraId="26917829" w14:textId="77777777" w:rsidR="000C67AA" w:rsidRDefault="000C67AA" w:rsidP="000C67AA">
      <w:pPr>
        <w:rPr>
          <w:color w:val="000000" w:themeColor="text1"/>
        </w:rPr>
      </w:pPr>
    </w:p>
    <w:p w14:paraId="35BB7D8F" w14:textId="77777777" w:rsidR="000C67AA" w:rsidRDefault="000C67AA" w:rsidP="000C67AA">
      <w:pPr>
        <w:rPr>
          <w:color w:val="000000" w:themeColor="text1"/>
        </w:rPr>
      </w:pPr>
    </w:p>
    <w:p w14:paraId="74CCA76B" w14:textId="77777777" w:rsidR="000C67AA" w:rsidRDefault="000C67AA" w:rsidP="000C67AA">
      <w:pPr>
        <w:rPr>
          <w:color w:val="000000" w:themeColor="text1"/>
        </w:rPr>
      </w:pPr>
    </w:p>
    <w:p w14:paraId="6A3FB738" w14:textId="77777777" w:rsidR="000C67AA" w:rsidRDefault="000C67AA" w:rsidP="000C67AA">
      <w:pPr>
        <w:rPr>
          <w:color w:val="000000" w:themeColor="text1"/>
        </w:rPr>
      </w:pPr>
    </w:p>
    <w:p w14:paraId="2964C938" w14:textId="77777777" w:rsidR="000C67AA" w:rsidRDefault="000C67AA" w:rsidP="000C67AA">
      <w:pPr>
        <w:rPr>
          <w:color w:val="000000" w:themeColor="text1"/>
        </w:rPr>
      </w:pPr>
    </w:p>
    <w:p w14:paraId="1A883613" w14:textId="77777777" w:rsidR="000C67AA" w:rsidRDefault="000C67AA" w:rsidP="000C67AA">
      <w:pPr>
        <w:rPr>
          <w:color w:val="000000" w:themeColor="text1"/>
        </w:rPr>
      </w:pPr>
    </w:p>
    <w:p w14:paraId="768F2A60" w14:textId="77777777" w:rsidR="000C67AA" w:rsidRDefault="000C67AA" w:rsidP="000C67AA">
      <w:pPr>
        <w:rPr>
          <w:color w:val="000000" w:themeColor="text1"/>
        </w:rPr>
      </w:pPr>
    </w:p>
    <w:p w14:paraId="6D599CE8" w14:textId="77777777" w:rsidR="000C67AA" w:rsidRDefault="000C67AA" w:rsidP="000C67AA">
      <w:pPr>
        <w:rPr>
          <w:color w:val="000000" w:themeColor="text1"/>
        </w:rPr>
      </w:pPr>
    </w:p>
    <w:p w14:paraId="21E57030" w14:textId="77777777" w:rsidR="000C67AA" w:rsidRDefault="000C67AA" w:rsidP="000C67AA">
      <w:pPr>
        <w:rPr>
          <w:color w:val="000000" w:themeColor="text1"/>
        </w:rPr>
      </w:pPr>
    </w:p>
    <w:p w14:paraId="7A0D974F" w14:textId="77777777" w:rsidR="000C67AA" w:rsidRDefault="000C67AA" w:rsidP="000C67AA">
      <w:pPr>
        <w:rPr>
          <w:color w:val="000000" w:themeColor="text1"/>
        </w:rPr>
      </w:pPr>
    </w:p>
    <w:p w14:paraId="7672A28A" w14:textId="77777777" w:rsidR="000C67AA" w:rsidRDefault="000C67AA" w:rsidP="000C67AA">
      <w:pPr>
        <w:rPr>
          <w:color w:val="000000" w:themeColor="text1"/>
        </w:rPr>
      </w:pPr>
    </w:p>
    <w:p w14:paraId="26D27741" w14:textId="77777777" w:rsidR="000C67AA" w:rsidRDefault="000C67AA" w:rsidP="000C67AA">
      <w:pPr>
        <w:rPr>
          <w:color w:val="000000" w:themeColor="text1"/>
        </w:rPr>
      </w:pPr>
    </w:p>
    <w:p w14:paraId="7335BA79" w14:textId="77777777" w:rsidR="000C67AA" w:rsidRDefault="000C67AA" w:rsidP="000C67AA">
      <w:pPr>
        <w:rPr>
          <w:color w:val="000000" w:themeColor="text1"/>
        </w:rPr>
      </w:pPr>
    </w:p>
    <w:p w14:paraId="6F3FA732" w14:textId="77777777" w:rsidR="000C67AA" w:rsidRDefault="000C67AA" w:rsidP="000C67AA">
      <w:pPr>
        <w:rPr>
          <w:color w:val="000000" w:themeColor="text1"/>
        </w:rPr>
      </w:pPr>
    </w:p>
    <w:p w14:paraId="77FE1116" w14:textId="77777777" w:rsidR="000C67AA" w:rsidRDefault="000C67AA" w:rsidP="000C67AA">
      <w:pPr>
        <w:rPr>
          <w:color w:val="000000" w:themeColor="text1"/>
        </w:rPr>
      </w:pPr>
    </w:p>
    <w:p w14:paraId="68E276CB" w14:textId="77777777" w:rsidR="000C67AA" w:rsidRDefault="000C67AA" w:rsidP="000C67AA">
      <w:pPr>
        <w:rPr>
          <w:color w:val="000000" w:themeColor="text1"/>
        </w:rPr>
      </w:pPr>
    </w:p>
    <w:p w14:paraId="52F4490C" w14:textId="77777777" w:rsidR="000C67AA" w:rsidRDefault="000C67AA" w:rsidP="000C67AA">
      <w:pPr>
        <w:rPr>
          <w:color w:val="000000" w:themeColor="text1"/>
        </w:rPr>
      </w:pPr>
    </w:p>
    <w:p w14:paraId="00A34281" w14:textId="77777777" w:rsidR="000C67AA" w:rsidRDefault="000C67AA" w:rsidP="000C67AA">
      <w:pPr>
        <w:rPr>
          <w:color w:val="000000" w:themeColor="text1"/>
        </w:rPr>
      </w:pPr>
    </w:p>
    <w:p w14:paraId="123B0CFB" w14:textId="77777777" w:rsidR="000C67AA" w:rsidRDefault="000C67AA" w:rsidP="000C67AA">
      <w:pPr>
        <w:rPr>
          <w:color w:val="000000" w:themeColor="text1"/>
        </w:rPr>
      </w:pPr>
    </w:p>
    <w:p w14:paraId="7E6DC2E9" w14:textId="77777777" w:rsidR="000C67AA" w:rsidRDefault="000C67AA" w:rsidP="000C67AA">
      <w:pPr>
        <w:rPr>
          <w:color w:val="000000" w:themeColor="text1"/>
        </w:rPr>
      </w:pPr>
    </w:p>
    <w:p w14:paraId="53DB6628" w14:textId="77777777" w:rsidR="000C67AA" w:rsidRDefault="000C67AA" w:rsidP="000C67AA">
      <w:pPr>
        <w:rPr>
          <w:color w:val="000000" w:themeColor="text1"/>
        </w:rPr>
      </w:pPr>
    </w:p>
    <w:p w14:paraId="22EAF85B" w14:textId="77777777" w:rsidR="000C67AA" w:rsidRDefault="000C67AA" w:rsidP="000C67AA">
      <w:pPr>
        <w:rPr>
          <w:color w:val="000000" w:themeColor="text1"/>
        </w:rPr>
      </w:pPr>
    </w:p>
    <w:p w14:paraId="2B467D26" w14:textId="77777777" w:rsidR="000C67AA" w:rsidRDefault="000C67AA" w:rsidP="000C67AA">
      <w:pPr>
        <w:rPr>
          <w:color w:val="000000" w:themeColor="text1"/>
        </w:rPr>
      </w:pPr>
    </w:p>
    <w:p w14:paraId="4A3BD639" w14:textId="77777777" w:rsidR="000C67AA" w:rsidRDefault="000C67AA" w:rsidP="000C67AA">
      <w:pPr>
        <w:rPr>
          <w:color w:val="000000" w:themeColor="text1"/>
        </w:rPr>
      </w:pPr>
    </w:p>
    <w:p w14:paraId="7496241E" w14:textId="77777777" w:rsidR="000C67AA" w:rsidRDefault="000C67AA" w:rsidP="000C67AA">
      <w:pPr>
        <w:rPr>
          <w:color w:val="000000" w:themeColor="text1"/>
        </w:rPr>
      </w:pPr>
      <w:r>
        <w:rPr>
          <w:color w:val="000000" w:themeColor="text1"/>
        </w:rPr>
        <w:lastRenderedPageBreak/>
        <w:t>Legends for supplementary materials:</w:t>
      </w:r>
    </w:p>
    <w:p w14:paraId="3EF483D1" w14:textId="77777777" w:rsidR="000C67AA" w:rsidRDefault="000C67AA" w:rsidP="000C67AA">
      <w:pPr>
        <w:spacing w:line="360" w:lineRule="auto"/>
        <w:jc w:val="both"/>
        <w:rPr>
          <w:color w:val="000000" w:themeColor="text1"/>
        </w:rPr>
      </w:pPr>
    </w:p>
    <w:p w14:paraId="4571B893" w14:textId="77777777" w:rsidR="000C67AA" w:rsidRDefault="000C67AA" w:rsidP="000C67AA">
      <w:pPr>
        <w:spacing w:line="360" w:lineRule="auto"/>
        <w:jc w:val="both"/>
        <w:rPr>
          <w:rFonts w:eastAsia="Times New Roman"/>
          <w:color w:val="000000" w:themeColor="text1"/>
          <w:shd w:val="clear" w:color="auto" w:fill="FFFFFF"/>
        </w:rPr>
      </w:pPr>
      <w:r>
        <w:rPr>
          <w:b/>
          <w:color w:val="000000" w:themeColor="text1"/>
        </w:rPr>
        <w:t xml:space="preserve">Fig. </w:t>
      </w:r>
      <w:proofErr w:type="spellStart"/>
      <w:r>
        <w:rPr>
          <w:b/>
          <w:color w:val="000000" w:themeColor="text1"/>
        </w:rPr>
        <w:t>S1</w:t>
      </w:r>
      <w:proofErr w:type="spellEnd"/>
      <w:r>
        <w:rPr>
          <w:color w:val="000000" w:themeColor="text1"/>
        </w:rPr>
        <w:t xml:space="preserve"> </w:t>
      </w:r>
      <w:proofErr w:type="spellStart"/>
      <w:r>
        <w:rPr>
          <w:rFonts w:eastAsia="Times New Roman"/>
          <w:color w:val="000000" w:themeColor="text1"/>
          <w:shd w:val="clear" w:color="auto" w:fill="FFFFFF"/>
        </w:rPr>
        <w:t>Sirt6</w:t>
      </w:r>
      <w:proofErr w:type="spellEnd"/>
      <w:r>
        <w:rPr>
          <w:rFonts w:eastAsia="Times New Roman"/>
          <w:color w:val="000000" w:themeColor="text1"/>
          <w:shd w:val="clear" w:color="auto" w:fill="FFFFFF"/>
        </w:rPr>
        <w:t xml:space="preserve"> was overexpressed in </w:t>
      </w:r>
      <w:proofErr w:type="spellStart"/>
      <w:r>
        <w:rPr>
          <w:rFonts w:eastAsia="Times New Roman"/>
          <w:color w:val="000000" w:themeColor="text1"/>
          <w:shd w:val="clear" w:color="auto" w:fill="FFFFFF"/>
        </w:rPr>
        <w:t>NRCMS</w:t>
      </w:r>
      <w:proofErr w:type="spellEnd"/>
      <w:r>
        <w:rPr>
          <w:rFonts w:eastAsia="Times New Roman"/>
          <w:color w:val="000000" w:themeColor="text1"/>
          <w:shd w:val="clear" w:color="auto" w:fill="FFFFFF"/>
        </w:rPr>
        <w:t xml:space="preserve"> via adenovirus infection.</w:t>
      </w:r>
      <w:r>
        <w:rPr>
          <w:color w:val="000000" w:themeColor="text1"/>
        </w:rPr>
        <w:t xml:space="preserve"> </w:t>
      </w:r>
      <w:proofErr w:type="spellStart"/>
      <w:r>
        <w:rPr>
          <w:rFonts w:eastAsia="Times New Roman"/>
          <w:color w:val="000000" w:themeColor="text1"/>
          <w:shd w:val="clear" w:color="auto" w:fill="FFFFFF"/>
        </w:rPr>
        <w:t>NRCMs</w:t>
      </w:r>
      <w:proofErr w:type="spellEnd"/>
      <w:r>
        <w:rPr>
          <w:rFonts w:eastAsia="Times New Roman"/>
          <w:color w:val="000000" w:themeColor="text1"/>
          <w:shd w:val="clear" w:color="auto" w:fill="FFFFFF"/>
        </w:rPr>
        <w:t xml:space="preserve"> were infected with control green fluorescent protein adenovirus (Ad-</w:t>
      </w:r>
      <w:proofErr w:type="spellStart"/>
      <w:r>
        <w:rPr>
          <w:rFonts w:eastAsia="Times New Roman"/>
          <w:color w:val="000000" w:themeColor="text1"/>
          <w:shd w:val="clear" w:color="auto" w:fill="FFFFFF"/>
        </w:rPr>
        <w:t>EGFP</w:t>
      </w:r>
      <w:proofErr w:type="spellEnd"/>
      <w:r>
        <w:rPr>
          <w:rFonts w:eastAsia="Times New Roman"/>
          <w:color w:val="000000" w:themeColor="text1"/>
          <w:shd w:val="clear" w:color="auto" w:fill="FFFFFF"/>
        </w:rPr>
        <w:t xml:space="preserve">) or </w:t>
      </w:r>
      <w:proofErr w:type="spellStart"/>
      <w:r>
        <w:rPr>
          <w:rFonts w:eastAsia="Times New Roman"/>
          <w:color w:val="000000" w:themeColor="text1"/>
          <w:shd w:val="clear" w:color="auto" w:fill="FFFFFF"/>
        </w:rPr>
        <w:t>Sirt6</w:t>
      </w:r>
      <w:proofErr w:type="spellEnd"/>
      <w:r>
        <w:rPr>
          <w:rFonts w:eastAsia="Times New Roman"/>
          <w:color w:val="000000" w:themeColor="text1"/>
          <w:shd w:val="clear" w:color="auto" w:fill="FFFFFF"/>
        </w:rPr>
        <w:t xml:space="preserve"> protein adenovirus (Ad-</w:t>
      </w:r>
      <w:proofErr w:type="spellStart"/>
      <w:r>
        <w:rPr>
          <w:rFonts w:eastAsia="Times New Roman"/>
          <w:color w:val="000000" w:themeColor="text1"/>
          <w:shd w:val="clear" w:color="auto" w:fill="FFFFFF"/>
        </w:rPr>
        <w:t>Sirt6</w:t>
      </w:r>
      <w:proofErr w:type="spellEnd"/>
      <w:r>
        <w:rPr>
          <w:rFonts w:eastAsia="Times New Roman"/>
          <w:color w:val="000000" w:themeColor="text1"/>
          <w:shd w:val="clear" w:color="auto" w:fill="FFFFFF"/>
        </w:rPr>
        <w:t xml:space="preserve">) for 48 h; the efficiency of overexpression was assessed by western blot analysis. </w:t>
      </w:r>
      <w:r>
        <w:rPr>
          <w:color w:val="000000" w:themeColor="text1"/>
        </w:rPr>
        <w:t>Data were analyzed by one-way ANOVA. Values represent the mean ± SEM. **</w:t>
      </w:r>
      <w:r>
        <w:rPr>
          <w:i/>
          <w:color w:val="000000" w:themeColor="text1"/>
        </w:rPr>
        <w:t>P</w:t>
      </w:r>
      <w:r>
        <w:rPr>
          <w:color w:val="000000" w:themeColor="text1"/>
        </w:rPr>
        <w:t xml:space="preserve"> &lt; 0.01 vs Ad-</w:t>
      </w:r>
      <w:proofErr w:type="spellStart"/>
      <w:r>
        <w:rPr>
          <w:color w:val="000000" w:themeColor="text1"/>
        </w:rPr>
        <w:t>EGFP</w:t>
      </w:r>
      <w:proofErr w:type="spellEnd"/>
      <w:r>
        <w:rPr>
          <w:color w:val="000000" w:themeColor="text1"/>
        </w:rPr>
        <w:t xml:space="preserve">-treated </w:t>
      </w:r>
      <w:proofErr w:type="gramStart"/>
      <w:r>
        <w:rPr>
          <w:color w:val="000000" w:themeColor="text1"/>
        </w:rPr>
        <w:t>cells;</w:t>
      </w:r>
      <w:proofErr w:type="gramEnd"/>
      <w:r>
        <w:rPr>
          <w:color w:val="000000" w:themeColor="text1"/>
        </w:rPr>
        <w:t xml:space="preserve"> #</w:t>
      </w:r>
      <w:r>
        <w:rPr>
          <w:i/>
          <w:color w:val="000000" w:themeColor="text1"/>
        </w:rPr>
        <w:t>P</w:t>
      </w:r>
      <w:r>
        <w:rPr>
          <w:color w:val="000000" w:themeColor="text1"/>
        </w:rPr>
        <w:t xml:space="preserve"> &lt; 0.05 vs Ad-</w:t>
      </w:r>
      <w:proofErr w:type="spellStart"/>
      <w:r>
        <w:rPr>
          <w:color w:val="000000" w:themeColor="text1"/>
        </w:rPr>
        <w:t>Sirt6</w:t>
      </w:r>
      <w:proofErr w:type="spellEnd"/>
      <w:r>
        <w:rPr>
          <w:color w:val="000000" w:themeColor="text1"/>
        </w:rPr>
        <w:t>-treated cells.</w:t>
      </w:r>
    </w:p>
    <w:p w14:paraId="36C2BC77" w14:textId="77777777" w:rsidR="000C67AA" w:rsidRDefault="000C67AA" w:rsidP="000C67AA">
      <w:pPr>
        <w:spacing w:line="360" w:lineRule="auto"/>
        <w:jc w:val="both"/>
        <w:rPr>
          <w:rFonts w:eastAsia="Times New Roman"/>
          <w:color w:val="000000" w:themeColor="text1"/>
          <w:shd w:val="clear" w:color="auto" w:fill="FFFFFF"/>
        </w:rPr>
      </w:pPr>
    </w:p>
    <w:p w14:paraId="67C4EBA2" w14:textId="77777777" w:rsidR="000C67AA" w:rsidRDefault="000C67AA" w:rsidP="000C67AA">
      <w:pPr>
        <w:spacing w:line="360" w:lineRule="auto"/>
        <w:jc w:val="both"/>
        <w:rPr>
          <w:rFonts w:eastAsia="Times New Roman"/>
          <w:color w:val="000000" w:themeColor="text1"/>
          <w:shd w:val="clear" w:color="auto" w:fill="FFFFFF"/>
        </w:rPr>
      </w:pPr>
    </w:p>
    <w:p w14:paraId="08908DDB" w14:textId="77777777" w:rsidR="000C67AA" w:rsidRDefault="000C67AA" w:rsidP="000C67AA">
      <w:pPr>
        <w:spacing w:line="360" w:lineRule="auto"/>
        <w:jc w:val="both"/>
        <w:rPr>
          <w:rFonts w:eastAsiaTheme="minorEastAsia"/>
          <w:color w:val="000000" w:themeColor="text1"/>
        </w:rPr>
      </w:pPr>
      <w:r>
        <w:rPr>
          <w:rFonts w:eastAsia="Times New Roman"/>
          <w:b/>
          <w:color w:val="000000" w:themeColor="text1"/>
          <w:shd w:val="clear" w:color="auto" w:fill="FFFFFF"/>
        </w:rPr>
        <w:t xml:space="preserve">Fig. </w:t>
      </w:r>
      <w:proofErr w:type="spellStart"/>
      <w:r>
        <w:rPr>
          <w:rFonts w:eastAsia="Times New Roman"/>
          <w:b/>
          <w:color w:val="000000" w:themeColor="text1"/>
          <w:shd w:val="clear" w:color="auto" w:fill="FFFFFF"/>
        </w:rPr>
        <w:t>S2</w:t>
      </w:r>
      <w:proofErr w:type="spellEnd"/>
      <w:r>
        <w:rPr>
          <w:b/>
          <w:color w:val="000000" w:themeColor="text1"/>
        </w:rPr>
        <w:t xml:space="preserve"> </w:t>
      </w:r>
      <w:r>
        <w:rPr>
          <w:color w:val="000000" w:themeColor="text1"/>
        </w:rPr>
        <w:t xml:space="preserve">Effect of </w:t>
      </w:r>
      <w:proofErr w:type="spellStart"/>
      <w:r>
        <w:rPr>
          <w:color w:val="000000" w:themeColor="text1"/>
        </w:rPr>
        <w:t>Sirt6</w:t>
      </w:r>
      <w:proofErr w:type="spellEnd"/>
      <w:r>
        <w:rPr>
          <w:color w:val="000000" w:themeColor="text1"/>
        </w:rPr>
        <w:t xml:space="preserve"> deficiency/overexpression on DOX-induced lactate dehydrogenase (</w:t>
      </w:r>
      <w:proofErr w:type="spellStart"/>
      <w:r>
        <w:rPr>
          <w:color w:val="000000" w:themeColor="text1"/>
        </w:rPr>
        <w:t>LDH</w:t>
      </w:r>
      <w:proofErr w:type="spellEnd"/>
      <w:r>
        <w:rPr>
          <w:color w:val="000000" w:themeColor="text1"/>
        </w:rPr>
        <w:t xml:space="preserve">), creatine kinase (CK) and MB isoenzyme of CK (CK-MB) in myocardial tissues or </w:t>
      </w:r>
      <w:proofErr w:type="spellStart"/>
      <w:r>
        <w:rPr>
          <w:color w:val="000000" w:themeColor="text1"/>
        </w:rPr>
        <w:t>NRCMs</w:t>
      </w:r>
      <w:proofErr w:type="spellEnd"/>
      <w:r>
        <w:rPr>
          <w:color w:val="000000" w:themeColor="text1"/>
        </w:rPr>
        <w:t>.</w:t>
      </w:r>
    </w:p>
    <w:p w14:paraId="2C9EC288" w14:textId="77777777" w:rsidR="000C67AA" w:rsidRDefault="000C67AA" w:rsidP="000C67AA">
      <w:pPr>
        <w:autoSpaceDE w:val="0"/>
        <w:autoSpaceDN w:val="0"/>
        <w:adjustRightInd w:val="0"/>
        <w:spacing w:line="360" w:lineRule="auto"/>
        <w:jc w:val="both"/>
        <w:rPr>
          <w:color w:val="000000" w:themeColor="text1"/>
        </w:rPr>
      </w:pPr>
      <w:proofErr w:type="gramStart"/>
      <w:r>
        <w:rPr>
          <w:b/>
          <w:color w:val="000000" w:themeColor="text1"/>
        </w:rPr>
        <w:t>a</w:t>
      </w:r>
      <w:proofErr w:type="gramEnd"/>
      <w:r>
        <w:rPr>
          <w:color w:val="000000" w:themeColor="text1"/>
        </w:rPr>
        <w:t xml:space="preserve"> </w:t>
      </w:r>
      <w:proofErr w:type="spellStart"/>
      <w:r>
        <w:rPr>
          <w:rFonts w:eastAsia="Times New Roman"/>
          <w:color w:val="000000" w:themeColor="text1"/>
          <w:shd w:val="clear" w:color="auto" w:fill="FFFFFF"/>
        </w:rPr>
        <w:t>LDH</w:t>
      </w:r>
      <w:proofErr w:type="spellEnd"/>
      <w:r>
        <w:rPr>
          <w:color w:val="000000" w:themeColor="text1"/>
        </w:rPr>
        <w:t xml:space="preserve">, CK and CK-MB levels were measured in serum of wild-type (WT) or </w:t>
      </w:r>
      <w:proofErr w:type="spellStart"/>
      <w:r>
        <w:rPr>
          <w:color w:val="000000" w:themeColor="text1"/>
        </w:rPr>
        <w:t>Sirt6</w:t>
      </w:r>
      <w:proofErr w:type="spellEnd"/>
      <w:r>
        <w:rPr>
          <w:color w:val="000000" w:themeColor="text1"/>
          <w:vertAlign w:val="superscript"/>
        </w:rPr>
        <w:t>+/-</w:t>
      </w:r>
      <w:r>
        <w:rPr>
          <w:color w:val="000000" w:themeColor="text1"/>
        </w:rPr>
        <w:t xml:space="preserve"> mice without or with DOX (8 mg/kg weekly) for 4 weeks and maintenance for another one week (n= 5/group). </w:t>
      </w:r>
      <w:r>
        <w:rPr>
          <w:color w:val="000000" w:themeColor="text1"/>
          <w:vertAlign w:val="superscript"/>
        </w:rPr>
        <w:t>*</w:t>
      </w:r>
      <w:r>
        <w:rPr>
          <w:i/>
          <w:color w:val="000000" w:themeColor="text1"/>
        </w:rPr>
        <w:t>P</w:t>
      </w:r>
      <w:r>
        <w:rPr>
          <w:color w:val="000000" w:themeColor="text1"/>
        </w:rPr>
        <w:t xml:space="preserve"> &lt; 0.05, </w:t>
      </w:r>
      <w:r>
        <w:rPr>
          <w:color w:val="000000" w:themeColor="text1"/>
          <w:vertAlign w:val="superscript"/>
        </w:rPr>
        <w:t>**</w:t>
      </w:r>
      <w:r>
        <w:rPr>
          <w:i/>
          <w:color w:val="000000" w:themeColor="text1"/>
        </w:rPr>
        <w:t>P</w:t>
      </w:r>
      <w:r>
        <w:rPr>
          <w:color w:val="000000" w:themeColor="text1"/>
        </w:rPr>
        <w:t xml:space="preserve"> &lt; 0.01 vs WT Control, </w:t>
      </w:r>
      <w:r>
        <w:rPr>
          <w:color w:val="000000" w:themeColor="text1"/>
          <w:vertAlign w:val="superscript"/>
        </w:rPr>
        <w:t>#</w:t>
      </w:r>
      <w:r>
        <w:rPr>
          <w:i/>
          <w:color w:val="000000" w:themeColor="text1"/>
        </w:rPr>
        <w:t>P</w:t>
      </w:r>
      <w:r>
        <w:rPr>
          <w:color w:val="000000" w:themeColor="text1"/>
        </w:rPr>
        <w:t xml:space="preserve"> &lt; 0.05 vs DOX-treated WT.</w:t>
      </w:r>
    </w:p>
    <w:p w14:paraId="6199A92E" w14:textId="77777777" w:rsidR="000C67AA" w:rsidRDefault="000C67AA" w:rsidP="000C67AA">
      <w:pPr>
        <w:spacing w:line="360" w:lineRule="auto"/>
        <w:jc w:val="both"/>
        <w:rPr>
          <w:rFonts w:eastAsia="Times New Roman"/>
          <w:color w:val="000000" w:themeColor="text1"/>
          <w:shd w:val="clear" w:color="auto" w:fill="FFFFFF"/>
        </w:rPr>
      </w:pPr>
      <w:r>
        <w:rPr>
          <w:b/>
          <w:color w:val="000000" w:themeColor="text1"/>
        </w:rPr>
        <w:t>b, c</w:t>
      </w:r>
      <w:r>
        <w:rPr>
          <w:color w:val="000000" w:themeColor="text1"/>
        </w:rPr>
        <w:t xml:space="preserve"> </w:t>
      </w:r>
      <w:proofErr w:type="spellStart"/>
      <w:r>
        <w:rPr>
          <w:rFonts w:eastAsia="Times New Roman"/>
          <w:color w:val="000000" w:themeColor="text1"/>
          <w:shd w:val="clear" w:color="auto" w:fill="FFFFFF"/>
        </w:rPr>
        <w:t>LDH</w:t>
      </w:r>
      <w:proofErr w:type="spellEnd"/>
      <w:r>
        <w:rPr>
          <w:color w:val="000000" w:themeColor="text1"/>
        </w:rPr>
        <w:t xml:space="preserve">, CK and CK-MB levels in cultural supernatants of </w:t>
      </w:r>
      <w:proofErr w:type="spellStart"/>
      <w:r>
        <w:rPr>
          <w:color w:val="000000" w:themeColor="text1"/>
        </w:rPr>
        <w:t>NTC</w:t>
      </w:r>
      <w:proofErr w:type="spellEnd"/>
      <w:r>
        <w:rPr>
          <w:color w:val="000000" w:themeColor="text1"/>
        </w:rPr>
        <w:t xml:space="preserve"> and </w:t>
      </w:r>
      <w:proofErr w:type="spellStart"/>
      <w:r>
        <w:rPr>
          <w:color w:val="000000" w:themeColor="text1"/>
        </w:rPr>
        <w:t>Sirt6</w:t>
      </w:r>
      <w:proofErr w:type="spellEnd"/>
      <w:r>
        <w:rPr>
          <w:color w:val="000000" w:themeColor="text1"/>
        </w:rPr>
        <w:t xml:space="preserve"> siRNA </w:t>
      </w:r>
      <w:proofErr w:type="spellStart"/>
      <w:r>
        <w:rPr>
          <w:color w:val="000000" w:themeColor="text1"/>
        </w:rPr>
        <w:t>NRCMs</w:t>
      </w:r>
      <w:proofErr w:type="spellEnd"/>
      <w:r>
        <w:rPr>
          <w:color w:val="000000" w:themeColor="text1"/>
        </w:rPr>
        <w:t xml:space="preserve"> or Ad-</w:t>
      </w:r>
      <w:proofErr w:type="spellStart"/>
      <w:r>
        <w:rPr>
          <w:color w:val="000000" w:themeColor="text1"/>
        </w:rPr>
        <w:t>EGFP</w:t>
      </w:r>
      <w:proofErr w:type="spellEnd"/>
      <w:r>
        <w:rPr>
          <w:color w:val="000000" w:themeColor="text1"/>
        </w:rPr>
        <w:t xml:space="preserve"> and Ad-</w:t>
      </w:r>
      <w:proofErr w:type="spellStart"/>
      <w:r>
        <w:rPr>
          <w:color w:val="000000" w:themeColor="text1"/>
        </w:rPr>
        <w:t>Sirt6</w:t>
      </w:r>
      <w:proofErr w:type="spellEnd"/>
      <w:r>
        <w:rPr>
          <w:color w:val="000000" w:themeColor="text1"/>
        </w:rPr>
        <w:t xml:space="preserve">-infected </w:t>
      </w:r>
      <w:proofErr w:type="spellStart"/>
      <w:r>
        <w:rPr>
          <w:color w:val="000000" w:themeColor="text1"/>
        </w:rPr>
        <w:t>NRCMs</w:t>
      </w:r>
      <w:proofErr w:type="spellEnd"/>
      <w:r>
        <w:rPr>
          <w:color w:val="000000" w:themeColor="text1"/>
        </w:rPr>
        <w:t xml:space="preserve"> without or with 2 </w:t>
      </w:r>
      <w:proofErr w:type="spellStart"/>
      <w:r>
        <w:rPr>
          <w:color w:val="000000" w:themeColor="text1"/>
        </w:rPr>
        <w:t>μM</w:t>
      </w:r>
      <w:proofErr w:type="spellEnd"/>
      <w:r>
        <w:rPr>
          <w:color w:val="000000" w:themeColor="text1"/>
        </w:rPr>
        <w:t xml:space="preserve"> DOX for 18 h (</w:t>
      </w:r>
      <w:r>
        <w:rPr>
          <w:i/>
          <w:color w:val="000000" w:themeColor="text1"/>
        </w:rPr>
        <w:t>n</w:t>
      </w:r>
      <w:r>
        <w:rPr>
          <w:color w:val="000000" w:themeColor="text1"/>
        </w:rPr>
        <w:t xml:space="preserve"> = 5/group).</w:t>
      </w:r>
    </w:p>
    <w:p w14:paraId="5EFC3861" w14:textId="77777777" w:rsidR="000C67AA" w:rsidRDefault="000C67AA" w:rsidP="000C67AA">
      <w:pPr>
        <w:autoSpaceDE w:val="0"/>
        <w:autoSpaceDN w:val="0"/>
        <w:adjustRightInd w:val="0"/>
        <w:spacing w:line="360" w:lineRule="auto"/>
        <w:jc w:val="both"/>
        <w:rPr>
          <w:rFonts w:eastAsiaTheme="minorEastAsia"/>
          <w:color w:val="000000" w:themeColor="text1"/>
        </w:rPr>
      </w:pPr>
      <w:r>
        <w:rPr>
          <w:color w:val="000000" w:themeColor="text1"/>
        </w:rPr>
        <w:t xml:space="preserve">All data were analyzed by one-way ANOVA. Values represent the mean ± SEM. In Fig. </w:t>
      </w:r>
      <w:proofErr w:type="spellStart"/>
      <w:r>
        <w:rPr>
          <w:color w:val="000000" w:themeColor="text1"/>
        </w:rPr>
        <w:t>S2b</w:t>
      </w:r>
      <w:proofErr w:type="spellEnd"/>
      <w:r>
        <w:rPr>
          <w:color w:val="000000" w:themeColor="text1"/>
        </w:rPr>
        <w:t xml:space="preserve"> </w:t>
      </w:r>
      <w:r>
        <w:rPr>
          <w:color w:val="000000" w:themeColor="text1"/>
          <w:vertAlign w:val="superscript"/>
        </w:rPr>
        <w:t>*</w:t>
      </w:r>
      <w:r>
        <w:rPr>
          <w:i/>
          <w:color w:val="000000" w:themeColor="text1"/>
        </w:rPr>
        <w:t>P</w:t>
      </w:r>
      <w:r>
        <w:rPr>
          <w:color w:val="000000" w:themeColor="text1"/>
        </w:rPr>
        <w:t xml:space="preserve"> &lt; 0.05, </w:t>
      </w:r>
      <w:r>
        <w:rPr>
          <w:color w:val="000000" w:themeColor="text1"/>
          <w:vertAlign w:val="superscript"/>
        </w:rPr>
        <w:t>**</w:t>
      </w:r>
      <w:r>
        <w:rPr>
          <w:i/>
          <w:color w:val="000000" w:themeColor="text1"/>
        </w:rPr>
        <w:t>P</w:t>
      </w:r>
      <w:r>
        <w:rPr>
          <w:color w:val="000000" w:themeColor="text1"/>
        </w:rPr>
        <w:t xml:space="preserve"> &lt; 0.01 vs </w:t>
      </w:r>
      <w:proofErr w:type="spellStart"/>
      <w:r>
        <w:rPr>
          <w:color w:val="000000" w:themeColor="text1"/>
        </w:rPr>
        <w:t>NTC</w:t>
      </w:r>
      <w:proofErr w:type="spellEnd"/>
      <w:r>
        <w:rPr>
          <w:color w:val="000000" w:themeColor="text1"/>
        </w:rPr>
        <w:t xml:space="preserve">, </w:t>
      </w:r>
      <w:r>
        <w:rPr>
          <w:color w:val="000000" w:themeColor="text1"/>
          <w:vertAlign w:val="superscript"/>
        </w:rPr>
        <w:t>#</w:t>
      </w:r>
      <w:r>
        <w:rPr>
          <w:i/>
          <w:color w:val="000000" w:themeColor="text1"/>
        </w:rPr>
        <w:t>P</w:t>
      </w:r>
      <w:r>
        <w:rPr>
          <w:color w:val="000000" w:themeColor="text1"/>
        </w:rPr>
        <w:t xml:space="preserve"> &lt; 0.05 vs DOX-treated </w:t>
      </w:r>
      <w:proofErr w:type="spellStart"/>
      <w:r>
        <w:rPr>
          <w:color w:val="000000" w:themeColor="text1"/>
        </w:rPr>
        <w:t>NTC</w:t>
      </w:r>
      <w:proofErr w:type="spellEnd"/>
      <w:r>
        <w:rPr>
          <w:color w:val="000000" w:themeColor="text1"/>
        </w:rPr>
        <w:t xml:space="preserve">. In Fig. </w:t>
      </w:r>
      <w:proofErr w:type="spellStart"/>
      <w:r>
        <w:rPr>
          <w:color w:val="000000" w:themeColor="text1"/>
        </w:rPr>
        <w:t>S2c</w:t>
      </w:r>
      <w:proofErr w:type="spellEnd"/>
      <w:r>
        <w:rPr>
          <w:color w:val="000000" w:themeColor="text1"/>
        </w:rPr>
        <w:t xml:space="preserve">, </w:t>
      </w:r>
      <w:r>
        <w:rPr>
          <w:color w:val="000000" w:themeColor="text1"/>
          <w:vertAlign w:val="superscript"/>
        </w:rPr>
        <w:t>*</w:t>
      </w:r>
      <w:r>
        <w:rPr>
          <w:i/>
          <w:color w:val="000000" w:themeColor="text1"/>
        </w:rPr>
        <w:t>P</w:t>
      </w:r>
      <w:r>
        <w:rPr>
          <w:color w:val="000000" w:themeColor="text1"/>
        </w:rPr>
        <w:t xml:space="preserve"> &lt; 0.05, </w:t>
      </w:r>
      <w:r>
        <w:rPr>
          <w:color w:val="000000" w:themeColor="text1"/>
          <w:vertAlign w:val="superscript"/>
        </w:rPr>
        <w:t>**</w:t>
      </w:r>
      <w:r>
        <w:rPr>
          <w:i/>
          <w:color w:val="000000" w:themeColor="text1"/>
        </w:rPr>
        <w:t>P</w:t>
      </w:r>
      <w:r>
        <w:rPr>
          <w:color w:val="000000" w:themeColor="text1"/>
        </w:rPr>
        <w:t xml:space="preserve"> &lt; 0.01 vs Ad-</w:t>
      </w:r>
      <w:proofErr w:type="spellStart"/>
      <w:r>
        <w:rPr>
          <w:color w:val="000000" w:themeColor="text1"/>
        </w:rPr>
        <w:t>EGFP</w:t>
      </w:r>
      <w:proofErr w:type="spellEnd"/>
      <w:r>
        <w:rPr>
          <w:color w:val="000000" w:themeColor="text1"/>
        </w:rPr>
        <w:t xml:space="preserve">, </w:t>
      </w:r>
      <w:r>
        <w:rPr>
          <w:color w:val="000000" w:themeColor="text1"/>
          <w:vertAlign w:val="superscript"/>
        </w:rPr>
        <w:t>#</w:t>
      </w:r>
      <w:r>
        <w:rPr>
          <w:i/>
          <w:color w:val="000000" w:themeColor="text1"/>
        </w:rPr>
        <w:t>P</w:t>
      </w:r>
      <w:r>
        <w:rPr>
          <w:color w:val="000000" w:themeColor="text1"/>
        </w:rPr>
        <w:t xml:space="preserve"> &lt; 0.05 vs DOX-treated Ad-</w:t>
      </w:r>
      <w:proofErr w:type="spellStart"/>
      <w:r>
        <w:rPr>
          <w:color w:val="000000" w:themeColor="text1"/>
        </w:rPr>
        <w:t>EGFP</w:t>
      </w:r>
      <w:proofErr w:type="spellEnd"/>
      <w:r>
        <w:rPr>
          <w:color w:val="000000" w:themeColor="text1"/>
        </w:rPr>
        <w:t>.</w:t>
      </w:r>
    </w:p>
    <w:p w14:paraId="0D0BC5F2" w14:textId="77777777" w:rsidR="000C67AA" w:rsidRDefault="000C67AA" w:rsidP="000C67AA">
      <w:pPr>
        <w:autoSpaceDE w:val="0"/>
        <w:autoSpaceDN w:val="0"/>
        <w:adjustRightInd w:val="0"/>
        <w:spacing w:line="360" w:lineRule="auto"/>
        <w:jc w:val="both"/>
        <w:rPr>
          <w:color w:val="000000" w:themeColor="text1"/>
        </w:rPr>
      </w:pPr>
    </w:p>
    <w:p w14:paraId="17B58D30" w14:textId="77777777" w:rsidR="000C67AA" w:rsidRDefault="000C67AA" w:rsidP="000C67AA">
      <w:pPr>
        <w:spacing w:line="360" w:lineRule="auto"/>
        <w:jc w:val="both"/>
        <w:rPr>
          <w:rFonts w:eastAsia="Times New Roman"/>
          <w:b/>
          <w:color w:val="000000" w:themeColor="text1"/>
          <w:shd w:val="clear" w:color="auto" w:fill="FFFFFF"/>
        </w:rPr>
      </w:pPr>
      <w:r>
        <w:rPr>
          <w:rFonts w:eastAsia="Times New Roman"/>
          <w:b/>
          <w:color w:val="000000" w:themeColor="text1"/>
          <w:shd w:val="clear" w:color="auto" w:fill="FFFFFF"/>
        </w:rPr>
        <w:t xml:space="preserve">Fig. </w:t>
      </w:r>
      <w:proofErr w:type="spellStart"/>
      <w:r>
        <w:rPr>
          <w:rFonts w:eastAsia="Times New Roman"/>
          <w:b/>
          <w:color w:val="000000" w:themeColor="text1"/>
          <w:shd w:val="clear" w:color="auto" w:fill="FFFFFF"/>
        </w:rPr>
        <w:t>S3</w:t>
      </w:r>
      <w:proofErr w:type="spellEnd"/>
      <w:r>
        <w:rPr>
          <w:rFonts w:eastAsia="Times New Roman"/>
          <w:b/>
          <w:color w:val="000000" w:themeColor="text1"/>
          <w:shd w:val="clear" w:color="auto" w:fill="FFFFFF"/>
        </w:rPr>
        <w:t xml:space="preserve"> </w:t>
      </w:r>
      <w:r>
        <w:rPr>
          <w:color w:val="000000" w:themeColor="text1"/>
        </w:rPr>
        <w:t xml:space="preserve">Effect of </w:t>
      </w:r>
      <w:proofErr w:type="spellStart"/>
      <w:r>
        <w:rPr>
          <w:color w:val="000000" w:themeColor="text1"/>
        </w:rPr>
        <w:t>Sirt6</w:t>
      </w:r>
      <w:proofErr w:type="spellEnd"/>
      <w:r>
        <w:rPr>
          <w:color w:val="000000" w:themeColor="text1"/>
        </w:rPr>
        <w:t xml:space="preserve"> deficiency/overexpression on DOX-induced mRNA expression of peroxiredoxin 5 (</w:t>
      </w:r>
      <w:proofErr w:type="spellStart"/>
      <w:r>
        <w:rPr>
          <w:color w:val="000000" w:themeColor="text1"/>
        </w:rPr>
        <w:t>Prx5</w:t>
      </w:r>
      <w:proofErr w:type="spellEnd"/>
      <w:r>
        <w:rPr>
          <w:color w:val="000000" w:themeColor="text1"/>
        </w:rPr>
        <w:t>), glutathione peroxidase 1 (</w:t>
      </w:r>
      <w:proofErr w:type="spellStart"/>
      <w:r>
        <w:rPr>
          <w:color w:val="000000" w:themeColor="text1"/>
        </w:rPr>
        <w:t>Gpx1</w:t>
      </w:r>
      <w:proofErr w:type="spellEnd"/>
      <w:r>
        <w:rPr>
          <w:color w:val="000000" w:themeColor="text1"/>
        </w:rPr>
        <w:t>), catalase (CAT) and Mn-dependent superoxide dismutase 2 (</w:t>
      </w:r>
      <w:proofErr w:type="spellStart"/>
      <w:r>
        <w:rPr>
          <w:color w:val="000000" w:themeColor="text1"/>
        </w:rPr>
        <w:t>SOD2</w:t>
      </w:r>
      <w:proofErr w:type="spellEnd"/>
      <w:r>
        <w:rPr>
          <w:color w:val="000000" w:themeColor="text1"/>
        </w:rPr>
        <w:t xml:space="preserve">) in myocardial tissues or </w:t>
      </w:r>
      <w:proofErr w:type="spellStart"/>
      <w:r>
        <w:rPr>
          <w:color w:val="000000" w:themeColor="text1"/>
        </w:rPr>
        <w:t>NRCMs</w:t>
      </w:r>
      <w:proofErr w:type="spellEnd"/>
      <w:r>
        <w:rPr>
          <w:color w:val="000000" w:themeColor="text1"/>
        </w:rPr>
        <w:t>.</w:t>
      </w:r>
    </w:p>
    <w:p w14:paraId="2AF62DBA" w14:textId="77777777" w:rsidR="000C67AA" w:rsidRDefault="000C67AA" w:rsidP="000C67AA">
      <w:pPr>
        <w:autoSpaceDE w:val="0"/>
        <w:autoSpaceDN w:val="0"/>
        <w:adjustRightInd w:val="0"/>
        <w:spacing w:line="360" w:lineRule="auto"/>
        <w:jc w:val="both"/>
        <w:rPr>
          <w:rFonts w:eastAsiaTheme="minorEastAsia"/>
          <w:color w:val="000000" w:themeColor="text1"/>
        </w:rPr>
      </w:pPr>
      <w:r>
        <w:rPr>
          <w:b/>
          <w:color w:val="000000" w:themeColor="text1"/>
        </w:rPr>
        <w:t xml:space="preserve">a </w:t>
      </w:r>
      <w:r>
        <w:rPr>
          <w:color w:val="000000" w:themeColor="text1"/>
        </w:rPr>
        <w:t xml:space="preserve">WT or </w:t>
      </w:r>
      <w:proofErr w:type="spellStart"/>
      <w:r>
        <w:rPr>
          <w:color w:val="000000" w:themeColor="text1"/>
        </w:rPr>
        <w:t>Sirt6</w:t>
      </w:r>
      <w:proofErr w:type="spellEnd"/>
      <w:r>
        <w:rPr>
          <w:color w:val="000000" w:themeColor="text1"/>
          <w:vertAlign w:val="superscript"/>
        </w:rPr>
        <w:t>+/-</w:t>
      </w:r>
      <w:r>
        <w:rPr>
          <w:color w:val="000000" w:themeColor="text1"/>
        </w:rPr>
        <w:t xml:space="preserve"> mice were treated without or with DOX (8 mg/kg weekly) for 4 weeks and maintenance for another one week. </w:t>
      </w:r>
      <w:r>
        <w:rPr>
          <w:rFonts w:eastAsia="Times New Roman"/>
          <w:color w:val="000000" w:themeColor="text1"/>
          <w:shd w:val="clear" w:color="auto" w:fill="FFFFFF"/>
        </w:rPr>
        <w:t xml:space="preserve">RT-qPCR analysis of relative mRNA levels of the indicated genes, all normalized to β-actin level </w:t>
      </w:r>
      <w:r>
        <w:rPr>
          <w:color w:val="000000" w:themeColor="text1"/>
        </w:rPr>
        <w:t>(</w:t>
      </w:r>
      <w:r>
        <w:rPr>
          <w:i/>
          <w:color w:val="000000" w:themeColor="text1"/>
        </w:rPr>
        <w:t>n</w:t>
      </w:r>
      <w:r>
        <w:rPr>
          <w:color w:val="000000" w:themeColor="text1"/>
        </w:rPr>
        <w:t xml:space="preserve"> = 5/group)</w:t>
      </w:r>
      <w:r>
        <w:rPr>
          <w:rFonts w:eastAsia="Times New Roman"/>
          <w:color w:val="000000" w:themeColor="text1"/>
          <w:shd w:val="clear" w:color="auto" w:fill="FFFFFF"/>
        </w:rPr>
        <w:t>. </w:t>
      </w:r>
      <w:r>
        <w:rPr>
          <w:color w:val="000000" w:themeColor="text1"/>
          <w:vertAlign w:val="superscript"/>
        </w:rPr>
        <w:t>*</w:t>
      </w:r>
      <w:r>
        <w:rPr>
          <w:i/>
          <w:color w:val="000000" w:themeColor="text1"/>
        </w:rPr>
        <w:t>P</w:t>
      </w:r>
      <w:r>
        <w:rPr>
          <w:color w:val="000000" w:themeColor="text1"/>
        </w:rPr>
        <w:t xml:space="preserve"> &lt; 0.05, </w:t>
      </w:r>
      <w:r>
        <w:rPr>
          <w:color w:val="000000" w:themeColor="text1"/>
          <w:vertAlign w:val="superscript"/>
        </w:rPr>
        <w:t>**</w:t>
      </w:r>
      <w:r>
        <w:rPr>
          <w:i/>
          <w:color w:val="000000" w:themeColor="text1"/>
        </w:rPr>
        <w:t>P</w:t>
      </w:r>
      <w:r>
        <w:rPr>
          <w:color w:val="000000" w:themeColor="text1"/>
        </w:rPr>
        <w:t xml:space="preserve"> &lt; 0.01 vs the WT Control, </w:t>
      </w:r>
      <w:r>
        <w:rPr>
          <w:color w:val="000000" w:themeColor="text1"/>
          <w:vertAlign w:val="superscript"/>
        </w:rPr>
        <w:t>#</w:t>
      </w:r>
      <w:r>
        <w:rPr>
          <w:i/>
          <w:color w:val="000000" w:themeColor="text1"/>
        </w:rPr>
        <w:t>P</w:t>
      </w:r>
      <w:r>
        <w:rPr>
          <w:color w:val="000000" w:themeColor="text1"/>
        </w:rPr>
        <w:t xml:space="preserve"> &lt; 0.05 vs DOX-treated WT.</w:t>
      </w:r>
    </w:p>
    <w:p w14:paraId="4144F064" w14:textId="77777777" w:rsidR="000C67AA" w:rsidRDefault="000C67AA" w:rsidP="000C67AA">
      <w:pPr>
        <w:spacing w:line="360" w:lineRule="auto"/>
        <w:jc w:val="both"/>
        <w:rPr>
          <w:rFonts w:eastAsia="Times New Roman"/>
          <w:color w:val="000000" w:themeColor="text1"/>
          <w:shd w:val="clear" w:color="auto" w:fill="FFFFFF"/>
        </w:rPr>
      </w:pPr>
      <w:r>
        <w:rPr>
          <w:b/>
          <w:color w:val="000000" w:themeColor="text1"/>
        </w:rPr>
        <w:t xml:space="preserve">b, c </w:t>
      </w:r>
      <w:proofErr w:type="spellStart"/>
      <w:r>
        <w:rPr>
          <w:color w:val="000000" w:themeColor="text1"/>
        </w:rPr>
        <w:t>NTC</w:t>
      </w:r>
      <w:proofErr w:type="spellEnd"/>
      <w:r>
        <w:rPr>
          <w:color w:val="000000" w:themeColor="text1"/>
        </w:rPr>
        <w:t xml:space="preserve"> and </w:t>
      </w:r>
      <w:proofErr w:type="spellStart"/>
      <w:r>
        <w:rPr>
          <w:color w:val="000000" w:themeColor="text1"/>
        </w:rPr>
        <w:t>Sirt6</w:t>
      </w:r>
      <w:proofErr w:type="spellEnd"/>
      <w:r>
        <w:rPr>
          <w:color w:val="000000" w:themeColor="text1"/>
        </w:rPr>
        <w:t xml:space="preserve"> siRNA-transfected </w:t>
      </w:r>
      <w:proofErr w:type="spellStart"/>
      <w:r>
        <w:rPr>
          <w:color w:val="000000" w:themeColor="text1"/>
        </w:rPr>
        <w:t>NRCMs</w:t>
      </w:r>
      <w:proofErr w:type="spellEnd"/>
      <w:r>
        <w:rPr>
          <w:color w:val="000000" w:themeColor="text1"/>
        </w:rPr>
        <w:t xml:space="preserve"> or Ad-</w:t>
      </w:r>
      <w:proofErr w:type="spellStart"/>
      <w:r>
        <w:rPr>
          <w:color w:val="000000" w:themeColor="text1"/>
        </w:rPr>
        <w:t>EGFP</w:t>
      </w:r>
      <w:proofErr w:type="spellEnd"/>
      <w:r>
        <w:rPr>
          <w:color w:val="000000" w:themeColor="text1"/>
        </w:rPr>
        <w:t xml:space="preserve"> and Ad-</w:t>
      </w:r>
      <w:proofErr w:type="spellStart"/>
      <w:r>
        <w:rPr>
          <w:color w:val="000000" w:themeColor="text1"/>
        </w:rPr>
        <w:t>Sirt6</w:t>
      </w:r>
      <w:proofErr w:type="spellEnd"/>
      <w:r>
        <w:rPr>
          <w:color w:val="000000" w:themeColor="text1"/>
        </w:rPr>
        <w:t xml:space="preserve">-infected </w:t>
      </w:r>
      <w:proofErr w:type="spellStart"/>
      <w:r>
        <w:rPr>
          <w:color w:val="000000" w:themeColor="text1"/>
        </w:rPr>
        <w:t>NRCMs</w:t>
      </w:r>
      <w:proofErr w:type="spellEnd"/>
      <w:r>
        <w:rPr>
          <w:color w:val="000000" w:themeColor="text1"/>
        </w:rPr>
        <w:t xml:space="preserve"> with 2 </w:t>
      </w:r>
      <w:proofErr w:type="spellStart"/>
      <w:r>
        <w:rPr>
          <w:color w:val="000000" w:themeColor="text1"/>
        </w:rPr>
        <w:t>μM</w:t>
      </w:r>
      <w:proofErr w:type="spellEnd"/>
      <w:r>
        <w:rPr>
          <w:color w:val="000000" w:themeColor="text1"/>
        </w:rPr>
        <w:t xml:space="preserve"> DOX for 18 h or not (</w:t>
      </w:r>
      <w:r>
        <w:rPr>
          <w:i/>
          <w:color w:val="000000" w:themeColor="text1"/>
        </w:rPr>
        <w:t>n</w:t>
      </w:r>
      <w:r>
        <w:rPr>
          <w:color w:val="000000" w:themeColor="text1"/>
        </w:rPr>
        <w:t xml:space="preserve"> = 5/group).</w:t>
      </w:r>
      <w:r>
        <w:rPr>
          <w:rFonts w:eastAsia="Times New Roman"/>
          <w:color w:val="000000" w:themeColor="text1"/>
          <w:shd w:val="clear" w:color="auto" w:fill="FFFFFF"/>
        </w:rPr>
        <w:t xml:space="preserve"> RT-qPCR of relative mRNA levels, all normalized to β-actin level </w:t>
      </w:r>
      <w:r>
        <w:rPr>
          <w:color w:val="000000" w:themeColor="text1"/>
        </w:rPr>
        <w:t>(</w:t>
      </w:r>
      <w:r>
        <w:rPr>
          <w:i/>
          <w:color w:val="000000" w:themeColor="text1"/>
        </w:rPr>
        <w:t>n</w:t>
      </w:r>
      <w:r>
        <w:rPr>
          <w:color w:val="000000" w:themeColor="text1"/>
        </w:rPr>
        <w:t xml:space="preserve"> = 10/group)</w:t>
      </w:r>
      <w:r>
        <w:rPr>
          <w:rFonts w:eastAsia="Times New Roman"/>
          <w:color w:val="000000" w:themeColor="text1"/>
          <w:shd w:val="clear" w:color="auto" w:fill="FFFFFF"/>
        </w:rPr>
        <w:t>. </w:t>
      </w:r>
    </w:p>
    <w:p w14:paraId="0CC71289" w14:textId="77777777" w:rsidR="000C67AA" w:rsidRDefault="000C67AA" w:rsidP="000C67AA">
      <w:pPr>
        <w:autoSpaceDE w:val="0"/>
        <w:autoSpaceDN w:val="0"/>
        <w:adjustRightInd w:val="0"/>
        <w:spacing w:line="360" w:lineRule="auto"/>
        <w:jc w:val="both"/>
        <w:rPr>
          <w:rFonts w:eastAsiaTheme="minorEastAsia"/>
          <w:color w:val="000000" w:themeColor="text1"/>
        </w:rPr>
      </w:pPr>
      <w:r>
        <w:rPr>
          <w:color w:val="000000" w:themeColor="text1"/>
        </w:rPr>
        <w:lastRenderedPageBreak/>
        <w:t xml:space="preserve">All data were analyzed by one-way ANOVA. Values represent the mean ± SEM. In Fig. </w:t>
      </w:r>
      <w:proofErr w:type="spellStart"/>
      <w:r>
        <w:rPr>
          <w:color w:val="000000" w:themeColor="text1"/>
        </w:rPr>
        <w:t>S3b</w:t>
      </w:r>
      <w:proofErr w:type="spellEnd"/>
      <w:r>
        <w:rPr>
          <w:color w:val="000000" w:themeColor="text1"/>
        </w:rPr>
        <w:t xml:space="preserve">, </w:t>
      </w:r>
      <w:r>
        <w:rPr>
          <w:color w:val="000000" w:themeColor="text1"/>
          <w:vertAlign w:val="superscript"/>
        </w:rPr>
        <w:t>*</w:t>
      </w:r>
      <w:r>
        <w:rPr>
          <w:i/>
          <w:color w:val="000000" w:themeColor="text1"/>
        </w:rPr>
        <w:t>P</w:t>
      </w:r>
      <w:r>
        <w:rPr>
          <w:color w:val="000000" w:themeColor="text1"/>
        </w:rPr>
        <w:t xml:space="preserve"> &lt; 0.05, </w:t>
      </w:r>
      <w:r>
        <w:rPr>
          <w:color w:val="000000" w:themeColor="text1"/>
          <w:vertAlign w:val="superscript"/>
        </w:rPr>
        <w:t>**</w:t>
      </w:r>
      <w:r>
        <w:rPr>
          <w:i/>
          <w:color w:val="000000" w:themeColor="text1"/>
        </w:rPr>
        <w:t>P</w:t>
      </w:r>
      <w:r>
        <w:rPr>
          <w:color w:val="000000" w:themeColor="text1"/>
        </w:rPr>
        <w:t xml:space="preserve"> &lt; 0.01 vs </w:t>
      </w:r>
      <w:proofErr w:type="spellStart"/>
      <w:r>
        <w:rPr>
          <w:color w:val="000000" w:themeColor="text1"/>
        </w:rPr>
        <w:t>NTC</w:t>
      </w:r>
      <w:proofErr w:type="spellEnd"/>
      <w:r>
        <w:rPr>
          <w:color w:val="000000" w:themeColor="text1"/>
        </w:rPr>
        <w:t xml:space="preserve">, </w:t>
      </w:r>
      <w:r>
        <w:rPr>
          <w:color w:val="000000" w:themeColor="text1"/>
          <w:vertAlign w:val="superscript"/>
        </w:rPr>
        <w:t>#</w:t>
      </w:r>
      <w:r>
        <w:rPr>
          <w:i/>
          <w:color w:val="000000" w:themeColor="text1"/>
        </w:rPr>
        <w:t>P</w:t>
      </w:r>
      <w:r>
        <w:rPr>
          <w:color w:val="000000" w:themeColor="text1"/>
        </w:rPr>
        <w:t xml:space="preserve"> &lt; 0.05 vs DOX-treated </w:t>
      </w:r>
      <w:proofErr w:type="spellStart"/>
      <w:r>
        <w:rPr>
          <w:color w:val="000000" w:themeColor="text1"/>
        </w:rPr>
        <w:t>NTC</w:t>
      </w:r>
      <w:proofErr w:type="spellEnd"/>
      <w:r>
        <w:rPr>
          <w:color w:val="000000" w:themeColor="text1"/>
        </w:rPr>
        <w:t xml:space="preserve">. In Fig. </w:t>
      </w:r>
      <w:proofErr w:type="spellStart"/>
      <w:r>
        <w:rPr>
          <w:color w:val="000000" w:themeColor="text1"/>
        </w:rPr>
        <w:t>S3c</w:t>
      </w:r>
      <w:proofErr w:type="spellEnd"/>
      <w:r>
        <w:rPr>
          <w:color w:val="000000" w:themeColor="text1"/>
        </w:rPr>
        <w:t xml:space="preserve">, </w:t>
      </w:r>
      <w:r>
        <w:rPr>
          <w:color w:val="000000" w:themeColor="text1"/>
          <w:vertAlign w:val="superscript"/>
        </w:rPr>
        <w:t>*</w:t>
      </w:r>
      <w:r>
        <w:rPr>
          <w:i/>
          <w:color w:val="000000" w:themeColor="text1"/>
        </w:rPr>
        <w:t>P</w:t>
      </w:r>
      <w:r>
        <w:rPr>
          <w:color w:val="000000" w:themeColor="text1"/>
        </w:rPr>
        <w:t xml:space="preserve"> &lt; 0.05, </w:t>
      </w:r>
      <w:r>
        <w:rPr>
          <w:color w:val="000000" w:themeColor="text1"/>
          <w:vertAlign w:val="superscript"/>
        </w:rPr>
        <w:t>**</w:t>
      </w:r>
      <w:r>
        <w:rPr>
          <w:i/>
          <w:color w:val="000000" w:themeColor="text1"/>
        </w:rPr>
        <w:t>P</w:t>
      </w:r>
      <w:r>
        <w:rPr>
          <w:color w:val="000000" w:themeColor="text1"/>
        </w:rPr>
        <w:t xml:space="preserve"> &lt; 0.01 vs Ad-</w:t>
      </w:r>
      <w:proofErr w:type="spellStart"/>
      <w:r>
        <w:rPr>
          <w:color w:val="000000" w:themeColor="text1"/>
        </w:rPr>
        <w:t>EGFP</w:t>
      </w:r>
      <w:proofErr w:type="spellEnd"/>
      <w:r>
        <w:rPr>
          <w:color w:val="000000" w:themeColor="text1"/>
        </w:rPr>
        <w:t xml:space="preserve">, </w:t>
      </w:r>
      <w:r>
        <w:rPr>
          <w:color w:val="000000" w:themeColor="text1"/>
          <w:vertAlign w:val="superscript"/>
        </w:rPr>
        <w:t>#</w:t>
      </w:r>
      <w:r>
        <w:rPr>
          <w:i/>
          <w:color w:val="000000" w:themeColor="text1"/>
        </w:rPr>
        <w:t>P</w:t>
      </w:r>
      <w:r>
        <w:rPr>
          <w:color w:val="000000" w:themeColor="text1"/>
        </w:rPr>
        <w:t xml:space="preserve"> &lt; 0.05 vs DOX-treated Ad-</w:t>
      </w:r>
      <w:proofErr w:type="spellStart"/>
      <w:r>
        <w:rPr>
          <w:color w:val="000000" w:themeColor="text1"/>
        </w:rPr>
        <w:t>EGFP</w:t>
      </w:r>
      <w:proofErr w:type="spellEnd"/>
      <w:r>
        <w:rPr>
          <w:color w:val="000000" w:themeColor="text1"/>
        </w:rPr>
        <w:t>.</w:t>
      </w:r>
    </w:p>
    <w:p w14:paraId="4C1EBBF4" w14:textId="77777777" w:rsidR="000C67AA" w:rsidRDefault="000C67AA" w:rsidP="000C67AA">
      <w:pPr>
        <w:autoSpaceDE w:val="0"/>
        <w:autoSpaceDN w:val="0"/>
        <w:adjustRightInd w:val="0"/>
        <w:spacing w:line="360" w:lineRule="auto"/>
        <w:jc w:val="both"/>
        <w:rPr>
          <w:color w:val="000000" w:themeColor="text1"/>
        </w:rPr>
      </w:pPr>
    </w:p>
    <w:p w14:paraId="521D6398" w14:textId="77777777" w:rsidR="000C67AA" w:rsidRDefault="000C67AA" w:rsidP="000C67AA">
      <w:pPr>
        <w:spacing w:line="360" w:lineRule="auto"/>
        <w:jc w:val="both"/>
        <w:rPr>
          <w:rFonts w:eastAsia="Times New Roman"/>
          <w:b/>
          <w:color w:val="000000" w:themeColor="text1"/>
          <w:shd w:val="clear" w:color="auto" w:fill="FFFFFF"/>
        </w:rPr>
      </w:pPr>
      <w:r>
        <w:rPr>
          <w:rFonts w:eastAsia="Times New Roman"/>
          <w:b/>
          <w:color w:val="000000" w:themeColor="text1"/>
          <w:shd w:val="clear" w:color="auto" w:fill="FFFFFF"/>
        </w:rPr>
        <w:t xml:space="preserve">Fig. </w:t>
      </w:r>
      <w:proofErr w:type="spellStart"/>
      <w:r>
        <w:rPr>
          <w:rFonts w:eastAsia="Times New Roman"/>
          <w:b/>
          <w:color w:val="000000" w:themeColor="text1"/>
          <w:shd w:val="clear" w:color="auto" w:fill="FFFFFF"/>
        </w:rPr>
        <w:t>S4</w:t>
      </w:r>
      <w:proofErr w:type="spellEnd"/>
      <w:r>
        <w:rPr>
          <w:rFonts w:eastAsia="Times New Roman"/>
          <w:b/>
          <w:color w:val="000000" w:themeColor="text1"/>
          <w:shd w:val="clear" w:color="auto" w:fill="FFFFFF"/>
        </w:rPr>
        <w:t xml:space="preserve"> </w:t>
      </w:r>
      <w:r>
        <w:rPr>
          <w:color w:val="000000" w:themeColor="text1"/>
        </w:rPr>
        <w:t xml:space="preserve">Effect of DOX-induced expression of </w:t>
      </w:r>
      <w:proofErr w:type="spellStart"/>
      <w:r>
        <w:rPr>
          <w:color w:val="000000" w:themeColor="text1"/>
        </w:rPr>
        <w:t>p53</w:t>
      </w:r>
      <w:proofErr w:type="spellEnd"/>
      <w:r>
        <w:rPr>
          <w:color w:val="000000" w:themeColor="text1"/>
        </w:rPr>
        <w:t xml:space="preserve"> in </w:t>
      </w:r>
      <w:proofErr w:type="spellStart"/>
      <w:r>
        <w:rPr>
          <w:color w:val="000000" w:themeColor="text1"/>
        </w:rPr>
        <w:t>NRCMs</w:t>
      </w:r>
      <w:proofErr w:type="spellEnd"/>
      <w:r>
        <w:rPr>
          <w:color w:val="000000" w:themeColor="text1"/>
        </w:rPr>
        <w:t>.</w:t>
      </w:r>
    </w:p>
    <w:p w14:paraId="4C82A3E5" w14:textId="77777777" w:rsidR="000C67AA" w:rsidRDefault="000C67AA" w:rsidP="000C67AA">
      <w:pPr>
        <w:spacing w:line="360" w:lineRule="auto"/>
        <w:jc w:val="both"/>
        <w:rPr>
          <w:rFonts w:eastAsia="Times New Roman"/>
          <w:color w:val="000000" w:themeColor="text1"/>
          <w:shd w:val="clear" w:color="auto" w:fill="FFFFFF"/>
        </w:rPr>
      </w:pPr>
      <w:r>
        <w:rPr>
          <w:rFonts w:eastAsia="Times New Roman"/>
          <w:b/>
          <w:color w:val="000000" w:themeColor="text1"/>
          <w:shd w:val="clear" w:color="auto" w:fill="FFFFFF"/>
        </w:rPr>
        <w:t xml:space="preserve">a, b </w:t>
      </w:r>
      <w:r>
        <w:rPr>
          <w:rFonts w:eastAsia="Times New Roman"/>
          <w:color w:val="000000" w:themeColor="text1"/>
          <w:shd w:val="clear" w:color="auto" w:fill="FFFFFF"/>
        </w:rPr>
        <w:t xml:space="preserve">Western blot analysis of </w:t>
      </w:r>
      <w:proofErr w:type="spellStart"/>
      <w:r>
        <w:rPr>
          <w:color w:val="000000" w:themeColor="text1"/>
        </w:rPr>
        <w:t>Sirt6</w:t>
      </w:r>
      <w:proofErr w:type="spellEnd"/>
      <w:r>
        <w:rPr>
          <w:color w:val="000000" w:themeColor="text1"/>
        </w:rPr>
        <w:t xml:space="preserve">, </w:t>
      </w:r>
      <w:proofErr w:type="spellStart"/>
      <w:r>
        <w:rPr>
          <w:color w:val="000000" w:themeColor="text1"/>
        </w:rPr>
        <w:t>p53</w:t>
      </w:r>
      <w:proofErr w:type="spellEnd"/>
      <w:r>
        <w:rPr>
          <w:color w:val="000000" w:themeColor="text1"/>
        </w:rPr>
        <w:t xml:space="preserve"> (acetyl </w:t>
      </w:r>
      <w:proofErr w:type="spellStart"/>
      <w:r>
        <w:rPr>
          <w:color w:val="000000" w:themeColor="text1"/>
        </w:rPr>
        <w:t>K382</w:t>
      </w:r>
      <w:proofErr w:type="spellEnd"/>
      <w:r>
        <w:rPr>
          <w:color w:val="000000" w:themeColor="text1"/>
        </w:rPr>
        <w:t xml:space="preserve">), </w:t>
      </w:r>
      <w:proofErr w:type="spellStart"/>
      <w:r>
        <w:rPr>
          <w:color w:val="000000" w:themeColor="text1"/>
        </w:rPr>
        <w:t>p53</w:t>
      </w:r>
      <w:proofErr w:type="spellEnd"/>
      <w:r>
        <w:rPr>
          <w:color w:val="000000" w:themeColor="text1"/>
        </w:rPr>
        <w:t>(</w:t>
      </w:r>
      <w:proofErr w:type="spellStart"/>
      <w:r>
        <w:rPr>
          <w:color w:val="000000" w:themeColor="text1"/>
        </w:rPr>
        <w:t>phospho</w:t>
      </w:r>
      <w:proofErr w:type="spellEnd"/>
      <w:r>
        <w:rPr>
          <w:color w:val="000000" w:themeColor="text1"/>
        </w:rPr>
        <w:t xml:space="preserve"> </w:t>
      </w:r>
      <w:proofErr w:type="spellStart"/>
      <w:r>
        <w:rPr>
          <w:color w:val="000000" w:themeColor="text1"/>
        </w:rPr>
        <w:t>S392</w:t>
      </w:r>
      <w:proofErr w:type="spellEnd"/>
      <w:r>
        <w:rPr>
          <w:color w:val="000000" w:themeColor="text1"/>
        </w:rPr>
        <w:t xml:space="preserve">), </w:t>
      </w:r>
      <w:proofErr w:type="spellStart"/>
      <w:r>
        <w:rPr>
          <w:color w:val="000000" w:themeColor="text1"/>
        </w:rPr>
        <w:t>p53</w:t>
      </w:r>
      <w:proofErr w:type="spellEnd"/>
      <w:r>
        <w:rPr>
          <w:color w:val="000000" w:themeColor="text1"/>
        </w:rPr>
        <w:t xml:space="preserve"> and β-actin</w:t>
      </w:r>
      <w:r>
        <w:rPr>
          <w:rFonts w:eastAsia="Times New Roman"/>
          <w:color w:val="000000" w:themeColor="text1"/>
          <w:shd w:val="clear" w:color="auto" w:fill="FFFFFF"/>
        </w:rPr>
        <w:t xml:space="preserve"> protein levels in </w:t>
      </w:r>
      <w:proofErr w:type="spellStart"/>
      <w:r>
        <w:rPr>
          <w:rFonts w:eastAsia="Times New Roman"/>
          <w:color w:val="000000" w:themeColor="text1"/>
          <w:shd w:val="clear" w:color="auto" w:fill="FFFFFF"/>
        </w:rPr>
        <w:t>NRCMs</w:t>
      </w:r>
      <w:proofErr w:type="spellEnd"/>
      <w:r>
        <w:rPr>
          <w:rFonts w:eastAsia="Times New Roman"/>
          <w:color w:val="000000" w:themeColor="text1"/>
          <w:shd w:val="clear" w:color="auto" w:fill="FFFFFF"/>
        </w:rPr>
        <w:t xml:space="preserve"> treated with DOX (2 </w:t>
      </w:r>
      <w:proofErr w:type="spellStart"/>
      <w:r>
        <w:rPr>
          <w:rFonts w:eastAsia="Times New Roman"/>
          <w:color w:val="000000" w:themeColor="text1"/>
          <w:shd w:val="clear" w:color="auto" w:fill="FFFFFF"/>
        </w:rPr>
        <w:t>μM</w:t>
      </w:r>
      <w:proofErr w:type="spellEnd"/>
      <w:r>
        <w:rPr>
          <w:rFonts w:eastAsia="Times New Roman"/>
          <w:color w:val="000000" w:themeColor="text1"/>
          <w:shd w:val="clear" w:color="auto" w:fill="FFFFFF"/>
        </w:rPr>
        <w:t xml:space="preserve">) for 18 h. </w:t>
      </w:r>
      <w:r>
        <w:rPr>
          <w:color w:val="000000" w:themeColor="text1"/>
          <w:vertAlign w:val="superscript"/>
        </w:rPr>
        <w:t>*</w:t>
      </w:r>
      <w:r>
        <w:rPr>
          <w:i/>
          <w:color w:val="000000" w:themeColor="text1"/>
        </w:rPr>
        <w:t>P</w:t>
      </w:r>
      <w:r>
        <w:rPr>
          <w:color w:val="000000" w:themeColor="text1"/>
        </w:rPr>
        <w:t xml:space="preserve"> &lt; 0.05, </w:t>
      </w:r>
      <w:r>
        <w:rPr>
          <w:color w:val="000000" w:themeColor="text1"/>
          <w:vertAlign w:val="superscript"/>
        </w:rPr>
        <w:t>**</w:t>
      </w:r>
      <w:r>
        <w:rPr>
          <w:i/>
          <w:color w:val="000000" w:themeColor="text1"/>
        </w:rPr>
        <w:t>P</w:t>
      </w:r>
      <w:r>
        <w:rPr>
          <w:color w:val="000000" w:themeColor="text1"/>
        </w:rPr>
        <w:t xml:space="preserve"> &lt; 0.01 vs control (</w:t>
      </w:r>
      <w:r>
        <w:rPr>
          <w:i/>
          <w:color w:val="000000" w:themeColor="text1"/>
        </w:rPr>
        <w:t>n</w:t>
      </w:r>
      <w:r>
        <w:rPr>
          <w:color w:val="000000" w:themeColor="text1"/>
        </w:rPr>
        <w:t xml:space="preserve"> = 3).</w:t>
      </w:r>
    </w:p>
    <w:p w14:paraId="4AD674B0" w14:textId="77777777" w:rsidR="000C67AA" w:rsidRDefault="000C67AA" w:rsidP="000C67AA">
      <w:pPr>
        <w:autoSpaceDE w:val="0"/>
        <w:autoSpaceDN w:val="0"/>
        <w:adjustRightInd w:val="0"/>
        <w:spacing w:line="360" w:lineRule="auto"/>
        <w:jc w:val="both"/>
        <w:rPr>
          <w:rFonts w:eastAsiaTheme="minorEastAsia"/>
          <w:color w:val="000000" w:themeColor="text1"/>
        </w:rPr>
      </w:pPr>
    </w:p>
    <w:p w14:paraId="20475E61" w14:textId="77777777" w:rsidR="000C67AA" w:rsidRDefault="000C67AA" w:rsidP="000C67AA">
      <w:pPr>
        <w:spacing w:line="360" w:lineRule="auto"/>
        <w:jc w:val="both"/>
        <w:rPr>
          <w:rFonts w:eastAsia="Times New Roman"/>
          <w:b/>
          <w:color w:val="000000" w:themeColor="text1"/>
          <w:shd w:val="clear" w:color="auto" w:fill="FFFFFF"/>
        </w:rPr>
      </w:pPr>
      <w:r>
        <w:rPr>
          <w:rFonts w:eastAsia="Times New Roman"/>
          <w:b/>
          <w:color w:val="000000" w:themeColor="text1"/>
          <w:shd w:val="clear" w:color="auto" w:fill="FFFFFF"/>
        </w:rPr>
        <w:t xml:space="preserve">Fig. </w:t>
      </w:r>
      <w:proofErr w:type="spellStart"/>
      <w:r>
        <w:rPr>
          <w:rFonts w:eastAsia="Times New Roman"/>
          <w:b/>
          <w:color w:val="000000" w:themeColor="text1"/>
          <w:shd w:val="clear" w:color="auto" w:fill="FFFFFF"/>
        </w:rPr>
        <w:t>S5</w:t>
      </w:r>
      <w:proofErr w:type="spellEnd"/>
      <w:r>
        <w:rPr>
          <w:rFonts w:eastAsia="Times New Roman"/>
          <w:b/>
          <w:color w:val="000000" w:themeColor="text1"/>
          <w:shd w:val="clear" w:color="auto" w:fill="FFFFFF"/>
        </w:rPr>
        <w:t xml:space="preserve"> </w:t>
      </w:r>
      <w:r>
        <w:rPr>
          <w:color w:val="000000" w:themeColor="text1"/>
        </w:rPr>
        <w:t xml:space="preserve">Effect of </w:t>
      </w:r>
      <w:proofErr w:type="spellStart"/>
      <w:r>
        <w:rPr>
          <w:color w:val="000000" w:themeColor="text1"/>
        </w:rPr>
        <w:t>Sirt6</w:t>
      </w:r>
      <w:proofErr w:type="spellEnd"/>
      <w:r>
        <w:rPr>
          <w:color w:val="000000" w:themeColor="text1"/>
        </w:rPr>
        <w:t xml:space="preserve"> deficiency/overexpression on DOX-induced mRNA expression of </w:t>
      </w:r>
      <w:proofErr w:type="spellStart"/>
      <w:r>
        <w:rPr>
          <w:rFonts w:eastAsia="Times New Roman"/>
          <w:color w:val="000000" w:themeColor="text1"/>
          <w:shd w:val="clear" w:color="auto" w:fill="FFFFFF"/>
        </w:rPr>
        <w:t>p53</w:t>
      </w:r>
      <w:proofErr w:type="spellEnd"/>
      <w:r>
        <w:rPr>
          <w:rFonts w:eastAsia="Times New Roman"/>
          <w:color w:val="000000" w:themeColor="text1"/>
          <w:shd w:val="clear" w:color="auto" w:fill="FFFFFF"/>
        </w:rPr>
        <w:t xml:space="preserve"> </w:t>
      </w:r>
      <w:proofErr w:type="spellStart"/>
      <w:r>
        <w:rPr>
          <w:rFonts w:eastAsia="Times New Roman"/>
          <w:color w:val="000000" w:themeColor="text1"/>
          <w:shd w:val="clear" w:color="auto" w:fill="FFFFFF"/>
        </w:rPr>
        <w:t>transcrption</w:t>
      </w:r>
      <w:proofErr w:type="spellEnd"/>
      <w:r>
        <w:rPr>
          <w:rFonts w:eastAsia="Times New Roman"/>
          <w:color w:val="000000" w:themeColor="text1"/>
          <w:shd w:val="clear" w:color="auto" w:fill="FFFFFF"/>
        </w:rPr>
        <w:t>-regulated genes</w:t>
      </w:r>
      <w:r>
        <w:rPr>
          <w:color w:val="000000" w:themeColor="text1"/>
        </w:rPr>
        <w:t xml:space="preserve"> in myocardial tissues or </w:t>
      </w:r>
      <w:proofErr w:type="spellStart"/>
      <w:r>
        <w:rPr>
          <w:color w:val="000000" w:themeColor="text1"/>
        </w:rPr>
        <w:t>NRCMs</w:t>
      </w:r>
      <w:proofErr w:type="spellEnd"/>
      <w:r>
        <w:rPr>
          <w:color w:val="000000" w:themeColor="text1"/>
        </w:rPr>
        <w:t>.</w:t>
      </w:r>
    </w:p>
    <w:p w14:paraId="6CFC6BEE" w14:textId="77777777" w:rsidR="000C67AA" w:rsidRDefault="000C67AA" w:rsidP="000C67AA">
      <w:pPr>
        <w:autoSpaceDE w:val="0"/>
        <w:autoSpaceDN w:val="0"/>
        <w:adjustRightInd w:val="0"/>
        <w:spacing w:line="360" w:lineRule="auto"/>
        <w:jc w:val="both"/>
        <w:rPr>
          <w:rFonts w:eastAsia="Times New Roman"/>
          <w:color w:val="000000" w:themeColor="text1"/>
          <w:shd w:val="clear" w:color="auto" w:fill="FFFFFF"/>
        </w:rPr>
      </w:pPr>
      <w:r>
        <w:rPr>
          <w:b/>
          <w:color w:val="000000" w:themeColor="text1"/>
        </w:rPr>
        <w:t>a</w:t>
      </w:r>
      <w:r>
        <w:rPr>
          <w:color w:val="000000" w:themeColor="text1"/>
        </w:rPr>
        <w:t xml:space="preserve"> Wild-type or </w:t>
      </w:r>
      <w:proofErr w:type="spellStart"/>
      <w:r>
        <w:rPr>
          <w:color w:val="000000" w:themeColor="text1"/>
        </w:rPr>
        <w:t>Sirt6</w:t>
      </w:r>
      <w:proofErr w:type="spellEnd"/>
      <w:r>
        <w:rPr>
          <w:color w:val="000000" w:themeColor="text1"/>
          <w:vertAlign w:val="superscript"/>
        </w:rPr>
        <w:t>+/-</w:t>
      </w:r>
      <w:r>
        <w:rPr>
          <w:color w:val="000000" w:themeColor="text1"/>
        </w:rPr>
        <w:t xml:space="preserve"> mice were treated without or with DOX (8 mg/kg weekly) injection for 4 weeks and maintenance for another one week. </w:t>
      </w:r>
      <w:r>
        <w:rPr>
          <w:rFonts w:eastAsia="Times New Roman"/>
          <w:color w:val="000000" w:themeColor="text1"/>
          <w:shd w:val="clear" w:color="auto" w:fill="FFFFFF"/>
        </w:rPr>
        <w:t>RT-qPCR analysis of relative mRNA levels of mouse double minute 2 homolog (</w:t>
      </w:r>
      <w:proofErr w:type="spellStart"/>
      <w:r>
        <w:rPr>
          <w:rFonts w:eastAsia="Times New Roman"/>
          <w:color w:val="000000" w:themeColor="text1"/>
          <w:shd w:val="clear" w:color="auto" w:fill="FFFFFF"/>
        </w:rPr>
        <w:t>Mdm2</w:t>
      </w:r>
      <w:proofErr w:type="spellEnd"/>
      <w:r>
        <w:rPr>
          <w:rFonts w:eastAsia="Times New Roman"/>
          <w:color w:val="000000" w:themeColor="text1"/>
          <w:shd w:val="clear" w:color="auto" w:fill="FFFFFF"/>
        </w:rPr>
        <w:t xml:space="preserve">), cyclin-dependent kinase inhibitor </w:t>
      </w:r>
      <w:proofErr w:type="spellStart"/>
      <w:r>
        <w:rPr>
          <w:rFonts w:eastAsia="Times New Roman"/>
          <w:color w:val="000000" w:themeColor="text1"/>
          <w:shd w:val="clear" w:color="auto" w:fill="FFFFFF"/>
        </w:rPr>
        <w:t>2A</w:t>
      </w:r>
      <w:proofErr w:type="spellEnd"/>
      <w:r>
        <w:rPr>
          <w:rFonts w:eastAsia="Times New Roman"/>
          <w:color w:val="000000" w:themeColor="text1"/>
          <w:shd w:val="clear" w:color="auto" w:fill="FFFFFF"/>
        </w:rPr>
        <w:t xml:space="preserve"> (</w:t>
      </w:r>
      <w:proofErr w:type="spellStart"/>
      <w:r>
        <w:rPr>
          <w:rFonts w:eastAsia="Times New Roman"/>
          <w:color w:val="000000" w:themeColor="text1"/>
          <w:shd w:val="clear" w:color="auto" w:fill="FFFFFF"/>
        </w:rPr>
        <w:t>Cdkn2a</w:t>
      </w:r>
      <w:proofErr w:type="spellEnd"/>
      <w:r>
        <w:rPr>
          <w:rFonts w:eastAsia="Times New Roman"/>
          <w:color w:val="000000" w:themeColor="text1"/>
          <w:shd w:val="clear" w:color="auto" w:fill="FFFFFF"/>
        </w:rPr>
        <w:t xml:space="preserve">), </w:t>
      </w:r>
      <w:proofErr w:type="spellStart"/>
      <w:r>
        <w:rPr>
          <w:rFonts w:eastAsia="Times New Roman"/>
          <w:color w:val="000000" w:themeColor="text1"/>
          <w:shd w:val="clear" w:color="auto" w:fill="FFFFFF"/>
        </w:rPr>
        <w:t>Bcl</w:t>
      </w:r>
      <w:proofErr w:type="spellEnd"/>
      <w:r>
        <w:rPr>
          <w:rFonts w:eastAsia="Times New Roman"/>
          <w:color w:val="000000" w:themeColor="text1"/>
          <w:shd w:val="clear" w:color="auto" w:fill="FFFFFF"/>
        </w:rPr>
        <w:t>-2-associated protein X (</w:t>
      </w:r>
      <w:proofErr w:type="spellStart"/>
      <w:r>
        <w:rPr>
          <w:rFonts w:eastAsia="Times New Roman"/>
          <w:color w:val="000000" w:themeColor="text1"/>
          <w:shd w:val="clear" w:color="auto" w:fill="FFFFFF"/>
        </w:rPr>
        <w:t>Bax</w:t>
      </w:r>
      <w:proofErr w:type="spellEnd"/>
      <w:r>
        <w:rPr>
          <w:rFonts w:eastAsia="Times New Roman"/>
          <w:color w:val="000000" w:themeColor="text1"/>
          <w:shd w:val="clear" w:color="auto" w:fill="FFFFFF"/>
        </w:rPr>
        <w:t xml:space="preserve">), </w:t>
      </w:r>
      <w:proofErr w:type="spellStart"/>
      <w:r>
        <w:rPr>
          <w:rFonts w:eastAsia="Times New Roman"/>
          <w:color w:val="000000" w:themeColor="text1"/>
          <w:shd w:val="clear" w:color="auto" w:fill="FFFFFF"/>
        </w:rPr>
        <w:t>Bcl</w:t>
      </w:r>
      <w:proofErr w:type="spellEnd"/>
      <w:r>
        <w:rPr>
          <w:rFonts w:eastAsia="Times New Roman"/>
          <w:color w:val="000000" w:themeColor="text1"/>
          <w:shd w:val="clear" w:color="auto" w:fill="FFFFFF"/>
        </w:rPr>
        <w:t>-2 antagonist/killer (</w:t>
      </w:r>
      <w:proofErr w:type="spellStart"/>
      <w:r>
        <w:rPr>
          <w:rFonts w:eastAsia="Times New Roman"/>
          <w:color w:val="000000" w:themeColor="text1"/>
          <w:shd w:val="clear" w:color="auto" w:fill="FFFFFF"/>
        </w:rPr>
        <w:t>Bak</w:t>
      </w:r>
      <w:proofErr w:type="spellEnd"/>
      <w:r>
        <w:rPr>
          <w:rFonts w:eastAsia="Times New Roman"/>
          <w:color w:val="000000" w:themeColor="text1"/>
          <w:shd w:val="clear" w:color="auto" w:fill="FFFFFF"/>
        </w:rPr>
        <w:t>), TNF receptor superfamily member 6 (</w:t>
      </w:r>
      <w:proofErr w:type="spellStart"/>
      <w:r>
        <w:rPr>
          <w:rFonts w:eastAsia="Times New Roman"/>
          <w:color w:val="000000" w:themeColor="text1"/>
          <w:shd w:val="clear" w:color="auto" w:fill="FFFFFF"/>
        </w:rPr>
        <w:t>Fas</w:t>
      </w:r>
      <w:proofErr w:type="spellEnd"/>
      <w:r>
        <w:rPr>
          <w:rFonts w:eastAsia="Times New Roman"/>
          <w:color w:val="000000" w:themeColor="text1"/>
          <w:shd w:val="clear" w:color="auto" w:fill="FFFFFF"/>
        </w:rPr>
        <w:t xml:space="preserve">), </w:t>
      </w:r>
      <w:proofErr w:type="spellStart"/>
      <w:r>
        <w:rPr>
          <w:rFonts w:eastAsia="Times New Roman"/>
          <w:color w:val="000000" w:themeColor="text1"/>
          <w:shd w:val="clear" w:color="auto" w:fill="FFFFFF"/>
        </w:rPr>
        <w:t>Fas</w:t>
      </w:r>
      <w:proofErr w:type="spellEnd"/>
      <w:r>
        <w:rPr>
          <w:rFonts w:eastAsia="Times New Roman"/>
          <w:color w:val="000000" w:themeColor="text1"/>
          <w:shd w:val="clear" w:color="auto" w:fill="FFFFFF"/>
        </w:rPr>
        <w:t xml:space="preserve"> ligand (</w:t>
      </w:r>
      <w:proofErr w:type="spellStart"/>
      <w:r>
        <w:rPr>
          <w:rFonts w:eastAsia="Times New Roman"/>
          <w:color w:val="000000" w:themeColor="text1"/>
          <w:shd w:val="clear" w:color="auto" w:fill="FFFFFF"/>
        </w:rPr>
        <w:t>FasL</w:t>
      </w:r>
      <w:proofErr w:type="spellEnd"/>
      <w:r>
        <w:rPr>
          <w:rFonts w:eastAsia="Times New Roman"/>
          <w:color w:val="000000" w:themeColor="text1"/>
          <w:shd w:val="clear" w:color="auto" w:fill="FFFFFF"/>
        </w:rPr>
        <w:t>), phorbol-12-myristate-13-acetate-induced protein 1 (</w:t>
      </w:r>
      <w:proofErr w:type="spellStart"/>
      <w:r>
        <w:rPr>
          <w:rFonts w:eastAsia="Times New Roman"/>
          <w:color w:val="000000" w:themeColor="text1"/>
          <w:shd w:val="clear" w:color="auto" w:fill="FFFFFF"/>
        </w:rPr>
        <w:t>Noxa</w:t>
      </w:r>
      <w:proofErr w:type="spellEnd"/>
      <w:r>
        <w:rPr>
          <w:rFonts w:eastAsia="Times New Roman"/>
          <w:color w:val="000000" w:themeColor="text1"/>
          <w:shd w:val="clear" w:color="auto" w:fill="FFFFFF"/>
        </w:rPr>
        <w:t xml:space="preserve">) and </w:t>
      </w:r>
      <w:proofErr w:type="spellStart"/>
      <w:r>
        <w:rPr>
          <w:rFonts w:eastAsia="Times New Roman"/>
          <w:color w:val="000000" w:themeColor="text1"/>
          <w:shd w:val="clear" w:color="auto" w:fill="FFFFFF"/>
        </w:rPr>
        <w:t>p53</w:t>
      </w:r>
      <w:proofErr w:type="spellEnd"/>
      <w:r>
        <w:rPr>
          <w:rFonts w:eastAsia="Times New Roman"/>
          <w:color w:val="000000" w:themeColor="text1"/>
          <w:shd w:val="clear" w:color="auto" w:fill="FFFFFF"/>
        </w:rPr>
        <w:t xml:space="preserve"> upregulated modulator of apoptosis (Puma), all normalized to β-actin level (n = 5/</w:t>
      </w:r>
      <w:r>
        <w:rPr>
          <w:color w:val="000000" w:themeColor="text1"/>
        </w:rPr>
        <w:t>group)</w:t>
      </w:r>
      <w:r>
        <w:rPr>
          <w:rFonts w:eastAsia="Times New Roman"/>
          <w:color w:val="000000" w:themeColor="text1"/>
          <w:shd w:val="clear" w:color="auto" w:fill="FFFFFF"/>
        </w:rPr>
        <w:t>.</w:t>
      </w:r>
      <w:r>
        <w:rPr>
          <w:color w:val="000000" w:themeColor="text1"/>
          <w:vertAlign w:val="superscript"/>
        </w:rPr>
        <w:t xml:space="preserve"> *</w:t>
      </w:r>
      <w:r>
        <w:rPr>
          <w:i/>
          <w:color w:val="000000" w:themeColor="text1"/>
        </w:rPr>
        <w:t>P</w:t>
      </w:r>
      <w:r>
        <w:rPr>
          <w:color w:val="000000" w:themeColor="text1"/>
        </w:rPr>
        <w:t xml:space="preserve"> &lt; 0.05, </w:t>
      </w:r>
      <w:r>
        <w:rPr>
          <w:color w:val="000000" w:themeColor="text1"/>
          <w:vertAlign w:val="superscript"/>
        </w:rPr>
        <w:t>**</w:t>
      </w:r>
      <w:r>
        <w:rPr>
          <w:i/>
          <w:color w:val="000000" w:themeColor="text1"/>
        </w:rPr>
        <w:t>P</w:t>
      </w:r>
      <w:r>
        <w:rPr>
          <w:color w:val="000000" w:themeColor="text1"/>
        </w:rPr>
        <w:t xml:space="preserve"> &lt; 0.01 versus the WT Control group mice, </w:t>
      </w:r>
      <w:r>
        <w:rPr>
          <w:color w:val="000000" w:themeColor="text1"/>
          <w:vertAlign w:val="superscript"/>
        </w:rPr>
        <w:t>#</w:t>
      </w:r>
      <w:r>
        <w:rPr>
          <w:i/>
          <w:color w:val="000000" w:themeColor="text1"/>
        </w:rPr>
        <w:t>P</w:t>
      </w:r>
      <w:r>
        <w:rPr>
          <w:color w:val="000000" w:themeColor="text1"/>
        </w:rPr>
        <w:t xml:space="preserve"> &lt; 0.05 versus DOX-treated WT mice.</w:t>
      </w:r>
    </w:p>
    <w:p w14:paraId="2AC5683F" w14:textId="77777777" w:rsidR="000C67AA" w:rsidRDefault="000C67AA" w:rsidP="000C67AA">
      <w:pPr>
        <w:spacing w:line="360" w:lineRule="auto"/>
        <w:jc w:val="both"/>
        <w:rPr>
          <w:rFonts w:eastAsia="Times New Roman"/>
          <w:color w:val="000000" w:themeColor="text1"/>
          <w:shd w:val="clear" w:color="auto" w:fill="FFFFFF"/>
        </w:rPr>
      </w:pPr>
      <w:r>
        <w:rPr>
          <w:b/>
          <w:color w:val="000000" w:themeColor="text1"/>
        </w:rPr>
        <w:t>b, c</w:t>
      </w:r>
      <w:r>
        <w:rPr>
          <w:color w:val="000000" w:themeColor="text1"/>
        </w:rPr>
        <w:t xml:space="preserve"> </w:t>
      </w:r>
      <w:proofErr w:type="spellStart"/>
      <w:r>
        <w:rPr>
          <w:color w:val="000000" w:themeColor="text1"/>
        </w:rPr>
        <w:t>NTC</w:t>
      </w:r>
      <w:proofErr w:type="spellEnd"/>
      <w:r>
        <w:rPr>
          <w:color w:val="000000" w:themeColor="text1"/>
        </w:rPr>
        <w:t xml:space="preserve"> and </w:t>
      </w:r>
      <w:proofErr w:type="spellStart"/>
      <w:r>
        <w:rPr>
          <w:color w:val="000000" w:themeColor="text1"/>
        </w:rPr>
        <w:t>Sirt6</w:t>
      </w:r>
      <w:proofErr w:type="spellEnd"/>
      <w:r>
        <w:rPr>
          <w:color w:val="000000" w:themeColor="text1"/>
        </w:rPr>
        <w:t xml:space="preserve"> siRNA-transfected </w:t>
      </w:r>
      <w:proofErr w:type="spellStart"/>
      <w:r>
        <w:rPr>
          <w:color w:val="000000" w:themeColor="text1"/>
        </w:rPr>
        <w:t>NRCMs</w:t>
      </w:r>
      <w:proofErr w:type="spellEnd"/>
      <w:r>
        <w:rPr>
          <w:color w:val="000000" w:themeColor="text1"/>
        </w:rPr>
        <w:t>, or Ad-</w:t>
      </w:r>
      <w:proofErr w:type="spellStart"/>
      <w:r>
        <w:rPr>
          <w:color w:val="000000" w:themeColor="text1"/>
        </w:rPr>
        <w:t>EGFP</w:t>
      </w:r>
      <w:proofErr w:type="spellEnd"/>
      <w:r>
        <w:rPr>
          <w:color w:val="000000" w:themeColor="text1"/>
        </w:rPr>
        <w:t xml:space="preserve"> and Ad-</w:t>
      </w:r>
      <w:proofErr w:type="spellStart"/>
      <w:r>
        <w:rPr>
          <w:color w:val="000000" w:themeColor="text1"/>
        </w:rPr>
        <w:t>Sirt6</w:t>
      </w:r>
      <w:proofErr w:type="spellEnd"/>
      <w:r>
        <w:rPr>
          <w:color w:val="000000" w:themeColor="text1"/>
        </w:rPr>
        <w:t xml:space="preserve">-infected </w:t>
      </w:r>
      <w:proofErr w:type="spellStart"/>
      <w:r>
        <w:rPr>
          <w:color w:val="000000" w:themeColor="text1"/>
        </w:rPr>
        <w:t>NRCMs</w:t>
      </w:r>
      <w:proofErr w:type="spellEnd"/>
      <w:r>
        <w:rPr>
          <w:color w:val="000000" w:themeColor="text1"/>
        </w:rPr>
        <w:t xml:space="preserve">, treated with 2 </w:t>
      </w:r>
      <w:proofErr w:type="spellStart"/>
      <w:r>
        <w:rPr>
          <w:color w:val="000000" w:themeColor="text1"/>
        </w:rPr>
        <w:t>μM</w:t>
      </w:r>
      <w:proofErr w:type="spellEnd"/>
      <w:r>
        <w:rPr>
          <w:color w:val="000000" w:themeColor="text1"/>
        </w:rPr>
        <w:t xml:space="preserve"> DOX for 18 h or not (</w:t>
      </w:r>
      <w:r>
        <w:rPr>
          <w:i/>
          <w:color w:val="000000" w:themeColor="text1"/>
        </w:rPr>
        <w:t>n</w:t>
      </w:r>
      <w:r>
        <w:rPr>
          <w:color w:val="000000" w:themeColor="text1"/>
        </w:rPr>
        <w:t xml:space="preserve"> = 5/group). RT-qPCR analysis of relative mRNA levels of </w:t>
      </w:r>
      <w:proofErr w:type="spellStart"/>
      <w:r>
        <w:rPr>
          <w:color w:val="000000" w:themeColor="text1"/>
        </w:rPr>
        <w:t>Mdm2</w:t>
      </w:r>
      <w:proofErr w:type="spellEnd"/>
      <w:r>
        <w:rPr>
          <w:color w:val="000000" w:themeColor="text1"/>
        </w:rPr>
        <w:t xml:space="preserve"> and </w:t>
      </w:r>
      <w:proofErr w:type="spellStart"/>
      <w:r>
        <w:rPr>
          <w:color w:val="000000" w:themeColor="text1"/>
        </w:rPr>
        <w:t>Cdkn2a</w:t>
      </w:r>
      <w:proofErr w:type="spellEnd"/>
      <w:r>
        <w:rPr>
          <w:color w:val="000000" w:themeColor="text1"/>
        </w:rPr>
        <w:t xml:space="preserve">, </w:t>
      </w:r>
      <w:proofErr w:type="spellStart"/>
      <w:r>
        <w:rPr>
          <w:color w:val="000000" w:themeColor="text1"/>
        </w:rPr>
        <w:t>Bax</w:t>
      </w:r>
      <w:proofErr w:type="spellEnd"/>
      <w:r>
        <w:rPr>
          <w:color w:val="000000" w:themeColor="text1"/>
        </w:rPr>
        <w:t xml:space="preserve">, </w:t>
      </w:r>
      <w:proofErr w:type="spellStart"/>
      <w:r>
        <w:rPr>
          <w:color w:val="000000" w:themeColor="text1"/>
        </w:rPr>
        <w:t>Bak</w:t>
      </w:r>
      <w:proofErr w:type="spellEnd"/>
      <w:r>
        <w:rPr>
          <w:color w:val="000000" w:themeColor="text1"/>
        </w:rPr>
        <w:t xml:space="preserve">, </w:t>
      </w:r>
      <w:proofErr w:type="spellStart"/>
      <w:r>
        <w:rPr>
          <w:color w:val="000000" w:themeColor="text1"/>
        </w:rPr>
        <w:t>Fas</w:t>
      </w:r>
      <w:proofErr w:type="spellEnd"/>
      <w:r>
        <w:rPr>
          <w:color w:val="000000" w:themeColor="text1"/>
        </w:rPr>
        <w:t xml:space="preserve">, </w:t>
      </w:r>
      <w:proofErr w:type="spellStart"/>
      <w:r>
        <w:rPr>
          <w:color w:val="000000" w:themeColor="text1"/>
        </w:rPr>
        <w:t>FasL</w:t>
      </w:r>
      <w:proofErr w:type="spellEnd"/>
      <w:r>
        <w:rPr>
          <w:color w:val="000000" w:themeColor="text1"/>
        </w:rPr>
        <w:t xml:space="preserve">, </w:t>
      </w:r>
      <w:proofErr w:type="spellStart"/>
      <w:r>
        <w:rPr>
          <w:color w:val="000000" w:themeColor="text1"/>
        </w:rPr>
        <w:t>Noxa</w:t>
      </w:r>
      <w:proofErr w:type="spellEnd"/>
      <w:r>
        <w:rPr>
          <w:color w:val="000000" w:themeColor="text1"/>
        </w:rPr>
        <w:t xml:space="preserve"> and Puma</w:t>
      </w:r>
      <w:r>
        <w:rPr>
          <w:rFonts w:eastAsia="Times New Roman"/>
          <w:color w:val="000000" w:themeColor="text1"/>
          <w:shd w:val="clear" w:color="auto" w:fill="FFFFFF"/>
        </w:rPr>
        <w:t xml:space="preserve">, all normalized to β-actin level </w:t>
      </w:r>
      <w:r>
        <w:rPr>
          <w:color w:val="000000" w:themeColor="text1"/>
        </w:rPr>
        <w:t>(</w:t>
      </w:r>
      <w:r>
        <w:rPr>
          <w:i/>
          <w:color w:val="000000" w:themeColor="text1"/>
        </w:rPr>
        <w:t>n</w:t>
      </w:r>
      <w:r>
        <w:rPr>
          <w:color w:val="000000" w:themeColor="text1"/>
        </w:rPr>
        <w:t xml:space="preserve"> = 5/group)</w:t>
      </w:r>
      <w:r>
        <w:rPr>
          <w:rFonts w:eastAsia="Times New Roman"/>
          <w:color w:val="000000" w:themeColor="text1"/>
          <w:shd w:val="clear" w:color="auto" w:fill="FFFFFF"/>
        </w:rPr>
        <w:t>. </w:t>
      </w:r>
    </w:p>
    <w:p w14:paraId="723D0A2E" w14:textId="77777777" w:rsidR="000C67AA" w:rsidRDefault="000C67AA" w:rsidP="000C67AA">
      <w:pPr>
        <w:autoSpaceDE w:val="0"/>
        <w:autoSpaceDN w:val="0"/>
        <w:adjustRightInd w:val="0"/>
        <w:spacing w:after="240" w:line="360" w:lineRule="auto"/>
        <w:jc w:val="both"/>
        <w:rPr>
          <w:rFonts w:eastAsiaTheme="minorEastAsia"/>
          <w:color w:val="000000" w:themeColor="text1"/>
        </w:rPr>
      </w:pPr>
      <w:r>
        <w:rPr>
          <w:color w:val="000000" w:themeColor="text1"/>
        </w:rPr>
        <w:t xml:space="preserve">All data were analyzed by one-way ANOVA. Values represent the mean ± SEM. In Fig. </w:t>
      </w:r>
      <w:proofErr w:type="spellStart"/>
      <w:r>
        <w:rPr>
          <w:color w:val="000000" w:themeColor="text1"/>
        </w:rPr>
        <w:t>S5b</w:t>
      </w:r>
      <w:proofErr w:type="spellEnd"/>
      <w:r>
        <w:rPr>
          <w:color w:val="000000" w:themeColor="text1"/>
        </w:rPr>
        <w:t xml:space="preserve"> </w:t>
      </w:r>
      <w:r>
        <w:rPr>
          <w:color w:val="000000" w:themeColor="text1"/>
          <w:vertAlign w:val="superscript"/>
        </w:rPr>
        <w:t>*</w:t>
      </w:r>
      <w:r>
        <w:rPr>
          <w:i/>
          <w:color w:val="000000" w:themeColor="text1"/>
        </w:rPr>
        <w:t>P</w:t>
      </w:r>
      <w:r>
        <w:rPr>
          <w:color w:val="000000" w:themeColor="text1"/>
        </w:rPr>
        <w:t xml:space="preserve"> &lt; 0.05, </w:t>
      </w:r>
      <w:r>
        <w:rPr>
          <w:color w:val="000000" w:themeColor="text1"/>
          <w:vertAlign w:val="superscript"/>
        </w:rPr>
        <w:t>**</w:t>
      </w:r>
      <w:r>
        <w:rPr>
          <w:i/>
          <w:color w:val="000000" w:themeColor="text1"/>
        </w:rPr>
        <w:t xml:space="preserve">P </w:t>
      </w:r>
      <w:r>
        <w:rPr>
          <w:color w:val="000000" w:themeColor="text1"/>
        </w:rPr>
        <w:t xml:space="preserve">&lt; 0.01 vs </w:t>
      </w:r>
      <w:proofErr w:type="spellStart"/>
      <w:r>
        <w:rPr>
          <w:color w:val="000000" w:themeColor="text1"/>
        </w:rPr>
        <w:t>NTC</w:t>
      </w:r>
      <w:proofErr w:type="spellEnd"/>
      <w:r>
        <w:rPr>
          <w:color w:val="000000" w:themeColor="text1"/>
        </w:rPr>
        <w:t>,</w:t>
      </w:r>
      <w:r>
        <w:rPr>
          <w:color w:val="000000" w:themeColor="text1"/>
          <w:vertAlign w:val="superscript"/>
        </w:rPr>
        <w:t xml:space="preserve"> #</w:t>
      </w:r>
      <w:r>
        <w:rPr>
          <w:i/>
          <w:color w:val="000000" w:themeColor="text1"/>
        </w:rPr>
        <w:t>P</w:t>
      </w:r>
      <w:r>
        <w:rPr>
          <w:color w:val="000000" w:themeColor="text1"/>
        </w:rPr>
        <w:t xml:space="preserve"> &lt; 0.05 vs DOX-treated </w:t>
      </w:r>
      <w:proofErr w:type="spellStart"/>
      <w:r>
        <w:rPr>
          <w:color w:val="000000" w:themeColor="text1"/>
        </w:rPr>
        <w:t>NTC</w:t>
      </w:r>
      <w:proofErr w:type="spellEnd"/>
      <w:r>
        <w:rPr>
          <w:color w:val="000000" w:themeColor="text1"/>
        </w:rPr>
        <w:t xml:space="preserve">. In Fig. </w:t>
      </w:r>
      <w:proofErr w:type="spellStart"/>
      <w:r>
        <w:rPr>
          <w:color w:val="000000" w:themeColor="text1"/>
        </w:rPr>
        <w:t>S5c</w:t>
      </w:r>
      <w:proofErr w:type="spellEnd"/>
      <w:r>
        <w:rPr>
          <w:color w:val="000000" w:themeColor="text1"/>
        </w:rPr>
        <w:t xml:space="preserve"> </w:t>
      </w:r>
      <w:r>
        <w:rPr>
          <w:color w:val="000000" w:themeColor="text1"/>
          <w:vertAlign w:val="superscript"/>
        </w:rPr>
        <w:t>*</w:t>
      </w:r>
      <w:r>
        <w:rPr>
          <w:i/>
          <w:color w:val="000000" w:themeColor="text1"/>
        </w:rPr>
        <w:t>P</w:t>
      </w:r>
      <w:r>
        <w:rPr>
          <w:color w:val="000000" w:themeColor="text1"/>
        </w:rPr>
        <w:t xml:space="preserve"> &lt; 0.05, </w:t>
      </w:r>
      <w:r>
        <w:rPr>
          <w:color w:val="000000" w:themeColor="text1"/>
          <w:vertAlign w:val="superscript"/>
        </w:rPr>
        <w:t>**</w:t>
      </w:r>
      <w:r>
        <w:rPr>
          <w:i/>
          <w:color w:val="000000" w:themeColor="text1"/>
        </w:rPr>
        <w:t>P</w:t>
      </w:r>
      <w:r>
        <w:rPr>
          <w:color w:val="000000" w:themeColor="text1"/>
        </w:rPr>
        <w:t xml:space="preserve"> &lt; 0.01 vs Ad-</w:t>
      </w:r>
      <w:proofErr w:type="spellStart"/>
      <w:r>
        <w:rPr>
          <w:color w:val="000000" w:themeColor="text1"/>
        </w:rPr>
        <w:t>EGFP</w:t>
      </w:r>
      <w:proofErr w:type="spellEnd"/>
      <w:r>
        <w:rPr>
          <w:color w:val="000000" w:themeColor="text1"/>
        </w:rPr>
        <w:t xml:space="preserve">, </w:t>
      </w:r>
      <w:r>
        <w:rPr>
          <w:color w:val="000000" w:themeColor="text1"/>
          <w:vertAlign w:val="superscript"/>
        </w:rPr>
        <w:t>#</w:t>
      </w:r>
      <w:r>
        <w:rPr>
          <w:i/>
          <w:color w:val="000000" w:themeColor="text1"/>
        </w:rPr>
        <w:t>P</w:t>
      </w:r>
      <w:r>
        <w:rPr>
          <w:color w:val="000000" w:themeColor="text1"/>
        </w:rPr>
        <w:t xml:space="preserve"> &lt; 0.05 vs DOX-treated Ad-</w:t>
      </w:r>
      <w:proofErr w:type="spellStart"/>
      <w:r>
        <w:rPr>
          <w:color w:val="000000" w:themeColor="text1"/>
        </w:rPr>
        <w:t>EGFP</w:t>
      </w:r>
      <w:proofErr w:type="spellEnd"/>
      <w:r>
        <w:rPr>
          <w:color w:val="000000" w:themeColor="text1"/>
        </w:rPr>
        <w:t>.</w:t>
      </w:r>
    </w:p>
    <w:p w14:paraId="3F0695CE" w14:textId="77777777" w:rsidR="00BB7B29" w:rsidRDefault="00BB7B29"/>
    <w:sectPr w:rsidR="00BB7B2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67AA"/>
    <w:rsid w:val="000C67AA"/>
    <w:rsid w:val="00BB7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624094"/>
  <w15:chartTrackingRefBased/>
  <w15:docId w15:val="{68BE71CA-FA2E-44BC-8DE3-AAF6450CBF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C67AA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qFormat/>
    <w:rsid w:val="000C67A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5148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72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doi.org/%2010.1007/s00395-016-0531-z." TargetMode="External"/><Relationship Id="rId4" Type="http://schemas.openxmlformats.org/officeDocument/2006/relationships/hyperlink" Target="https://doi.org/10.1016/j.yjmcc.2018.07.250.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932</Words>
  <Characters>5319</Characters>
  <Application>Microsoft Office Word</Application>
  <DocSecurity>0</DocSecurity>
  <Lines>44</Lines>
  <Paragraphs>12</Paragraphs>
  <ScaleCrop>false</ScaleCrop>
  <Company/>
  <LinksUpToDate>false</LinksUpToDate>
  <CharactersWithSpaces>6239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Terri Scott</dc:creator>
  <cp:keywords/>
  <dc:description/>
  <cp:lastModifiedBy>Terri Scott</cp:lastModifiedBy>
  <cp:revision>1</cp:revision>
  <dcterms:created xsi:type="dcterms:W3CDTF">2021-03-10T19:32:00Z</dcterms:created>
  <dcterms:modified xsi:type="dcterms:W3CDTF">2021-03-10T19:33:00Z</dcterms:modified>
</cp:coreProperties>
</file>