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4D" w:rsidRDefault="00D36D4D" w:rsidP="003070F3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r w:rsidRPr="00B74997">
        <w:rPr>
          <w:rFonts w:ascii="Times New Roman" w:hAnsi="Times New Roman" w:cs="Times New Roman"/>
          <w:b/>
          <w:sz w:val="24"/>
        </w:rPr>
        <w:t>Table S</w:t>
      </w:r>
      <w:r w:rsidR="00B32C3C" w:rsidRPr="00B74997">
        <w:rPr>
          <w:rFonts w:ascii="Times New Roman" w:hAnsi="Times New Roman" w:cs="Times New Roman"/>
          <w:b/>
          <w:sz w:val="24"/>
        </w:rPr>
        <w:t>5</w:t>
      </w:r>
      <w:bookmarkEnd w:id="0"/>
      <w:r w:rsidRPr="00D36D4D">
        <w:rPr>
          <w:rFonts w:ascii="Times New Roman" w:hAnsi="Times New Roman" w:cs="Times New Roman"/>
          <w:sz w:val="24"/>
        </w:rPr>
        <w:t xml:space="preserve">: Immunohistochemical analysis of CAP1 in </w:t>
      </w:r>
      <w:r w:rsidR="00BA7C2D" w:rsidRPr="00BA7C2D">
        <w:rPr>
          <w:rFonts w:ascii="Times New Roman" w:hAnsi="Times New Roman" w:cs="Times New Roman"/>
          <w:sz w:val="24"/>
        </w:rPr>
        <w:t>cancerous</w:t>
      </w:r>
      <w:r w:rsidRPr="00D36D4D">
        <w:rPr>
          <w:rFonts w:ascii="Times New Roman" w:hAnsi="Times New Roman" w:cs="Times New Roman"/>
          <w:sz w:val="24"/>
        </w:rPr>
        <w:t xml:space="preserve"> and </w:t>
      </w:r>
      <w:r w:rsidR="00B238CD" w:rsidRPr="00B238CD">
        <w:rPr>
          <w:rFonts w:ascii="Times New Roman" w:hAnsi="Times New Roman" w:cs="Times New Roman"/>
          <w:sz w:val="24"/>
        </w:rPr>
        <w:t>para-carcinoma</w:t>
      </w:r>
      <w:r w:rsidR="00C65FCE">
        <w:rPr>
          <w:rFonts w:ascii="Times New Roman" w:hAnsi="Times New Roman" w:cs="Times New Roman"/>
          <w:sz w:val="24"/>
        </w:rPr>
        <w:t xml:space="preserve"> tissues of early </w:t>
      </w:r>
      <w:r w:rsidRPr="00D36D4D">
        <w:rPr>
          <w:rFonts w:ascii="Times New Roman" w:hAnsi="Times New Roman" w:cs="Times New Roman"/>
          <w:sz w:val="24"/>
        </w:rPr>
        <w:t xml:space="preserve">stage LUAD </w:t>
      </w:r>
    </w:p>
    <w:p w:rsidR="00D36D4D" w:rsidRPr="00D36D4D" w:rsidRDefault="00D36D4D">
      <w:pPr>
        <w:rPr>
          <w:rFonts w:ascii="Times New Roman" w:hAnsi="Times New Roman" w:cs="Times New Roman"/>
          <w:sz w:val="24"/>
        </w:rPr>
      </w:pPr>
    </w:p>
    <w:tbl>
      <w:tblPr>
        <w:tblStyle w:val="a5"/>
        <w:tblW w:w="9215" w:type="dxa"/>
        <w:tblInd w:w="-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93"/>
        <w:gridCol w:w="141"/>
        <w:gridCol w:w="1418"/>
        <w:gridCol w:w="1701"/>
        <w:gridCol w:w="409"/>
        <w:gridCol w:w="1292"/>
        <w:gridCol w:w="590"/>
        <w:gridCol w:w="1111"/>
      </w:tblGrid>
      <w:tr w:rsidR="00D36D4D" w:rsidRPr="00195A54" w:rsidTr="00195A54">
        <w:tc>
          <w:tcPr>
            <w:tcW w:w="1560" w:type="dxa"/>
            <w:vMerge w:val="restart"/>
          </w:tcPr>
          <w:p w:rsidR="007D0D31" w:rsidRDefault="007D0D31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</w:p>
          <w:p w:rsidR="00D36D4D" w:rsidRPr="00195A54" w:rsidRDefault="00D36D4D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Classification</w:t>
            </w:r>
          </w:p>
        </w:tc>
        <w:tc>
          <w:tcPr>
            <w:tcW w:w="5954" w:type="dxa"/>
            <w:gridSpan w:val="6"/>
          </w:tcPr>
          <w:p w:rsidR="00D36D4D" w:rsidRPr="00195A54" w:rsidRDefault="00195A54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CAP1 immunohistochemistry</w:t>
            </w:r>
            <w:r w:rsidR="00D36D4D" w:rsidRPr="00195A54">
              <w:rPr>
                <w:sz w:val="21"/>
                <w:szCs w:val="24"/>
              </w:rPr>
              <w:t>,</w:t>
            </w:r>
            <w:r>
              <w:rPr>
                <w:sz w:val="21"/>
                <w:szCs w:val="24"/>
              </w:rPr>
              <w:t xml:space="preserve"> </w:t>
            </w:r>
            <w:r w:rsidR="00D36D4D" w:rsidRPr="00195A54">
              <w:rPr>
                <w:sz w:val="21"/>
                <w:szCs w:val="24"/>
              </w:rPr>
              <w:t>n</w:t>
            </w:r>
          </w:p>
        </w:tc>
        <w:tc>
          <w:tcPr>
            <w:tcW w:w="590" w:type="dxa"/>
            <w:vMerge w:val="restart"/>
          </w:tcPr>
          <w:p w:rsidR="007D0D31" w:rsidRDefault="007D0D31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</w:p>
          <w:p w:rsidR="00D36D4D" w:rsidRPr="00195A54" w:rsidRDefault="00195A54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total</w:t>
            </w:r>
          </w:p>
        </w:tc>
        <w:tc>
          <w:tcPr>
            <w:tcW w:w="1111" w:type="dxa"/>
            <w:vMerge w:val="restart"/>
          </w:tcPr>
          <w:p w:rsidR="007D0D31" w:rsidRDefault="007D0D31" w:rsidP="00FD28FA">
            <w:pPr>
              <w:spacing w:line="400" w:lineRule="auto"/>
              <w:jc w:val="center"/>
              <w:rPr>
                <w:i/>
                <w:sz w:val="21"/>
                <w:szCs w:val="24"/>
              </w:rPr>
            </w:pPr>
          </w:p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i/>
                <w:sz w:val="21"/>
                <w:szCs w:val="24"/>
              </w:rPr>
              <w:t>P</w:t>
            </w:r>
            <w:r w:rsidR="00195A54">
              <w:rPr>
                <w:i/>
                <w:sz w:val="21"/>
                <w:szCs w:val="24"/>
              </w:rPr>
              <w:t xml:space="preserve"> </w:t>
            </w:r>
            <w:r w:rsidR="00195A54" w:rsidRPr="00195A54">
              <w:rPr>
                <w:sz w:val="21"/>
                <w:szCs w:val="24"/>
              </w:rPr>
              <w:t>value</w:t>
            </w:r>
            <w:r w:rsidR="00195A54">
              <w:rPr>
                <w:sz w:val="21"/>
                <w:szCs w:val="24"/>
              </w:rPr>
              <w:t xml:space="preserve"> </w:t>
            </w:r>
            <w:r w:rsidRPr="00195A54">
              <w:rPr>
                <w:sz w:val="21"/>
                <w:szCs w:val="24"/>
                <w:vertAlign w:val="superscript"/>
              </w:rPr>
              <w:t>a</w:t>
            </w:r>
          </w:p>
        </w:tc>
      </w:tr>
      <w:tr w:rsidR="00195A54" w:rsidRPr="00195A54" w:rsidTr="00506712">
        <w:tc>
          <w:tcPr>
            <w:tcW w:w="1560" w:type="dxa"/>
            <w:vMerge/>
          </w:tcPr>
          <w:p w:rsidR="00D36D4D" w:rsidRPr="00195A54" w:rsidRDefault="00D36D4D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</w:p>
        </w:tc>
        <w:tc>
          <w:tcPr>
            <w:tcW w:w="993" w:type="dxa"/>
          </w:tcPr>
          <w:p w:rsidR="00D36D4D" w:rsidRPr="00195A54" w:rsidRDefault="00195A54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negative</w:t>
            </w:r>
          </w:p>
        </w:tc>
        <w:tc>
          <w:tcPr>
            <w:tcW w:w="1559" w:type="dxa"/>
            <w:gridSpan w:val="2"/>
          </w:tcPr>
          <w:p w:rsidR="00D36D4D" w:rsidRPr="00195A54" w:rsidRDefault="00195A54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weak</w:t>
            </w:r>
            <w:r w:rsidR="00506712">
              <w:rPr>
                <w:sz w:val="21"/>
                <w:szCs w:val="24"/>
              </w:rPr>
              <w:t>ly</w:t>
            </w:r>
            <w:r w:rsidRPr="00195A54">
              <w:rPr>
                <w:sz w:val="21"/>
                <w:szCs w:val="24"/>
              </w:rPr>
              <w:t xml:space="preserve"> positive</w:t>
            </w:r>
          </w:p>
        </w:tc>
        <w:tc>
          <w:tcPr>
            <w:tcW w:w="1701" w:type="dxa"/>
          </w:tcPr>
          <w:p w:rsidR="00D36D4D" w:rsidRPr="00195A54" w:rsidRDefault="00195A54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m</w:t>
            </w:r>
            <w:r w:rsidRPr="00195A54">
              <w:rPr>
                <w:sz w:val="21"/>
                <w:szCs w:val="24"/>
              </w:rPr>
              <w:t>edium positive</w:t>
            </w:r>
          </w:p>
        </w:tc>
        <w:tc>
          <w:tcPr>
            <w:tcW w:w="1701" w:type="dxa"/>
            <w:gridSpan w:val="2"/>
          </w:tcPr>
          <w:p w:rsidR="00D36D4D" w:rsidRPr="00195A54" w:rsidRDefault="00195A54" w:rsidP="00195A54">
            <w:pPr>
              <w:spacing w:line="400" w:lineRule="auto"/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s</w:t>
            </w:r>
            <w:r w:rsidRPr="00195A54">
              <w:rPr>
                <w:sz w:val="21"/>
                <w:szCs w:val="24"/>
              </w:rPr>
              <w:t xml:space="preserve">trong </w:t>
            </w:r>
            <w:r>
              <w:rPr>
                <w:sz w:val="21"/>
                <w:szCs w:val="24"/>
              </w:rPr>
              <w:t>p</w:t>
            </w:r>
            <w:r w:rsidRPr="00195A54">
              <w:rPr>
                <w:sz w:val="21"/>
                <w:szCs w:val="24"/>
              </w:rPr>
              <w:t>ositive</w:t>
            </w:r>
          </w:p>
        </w:tc>
        <w:tc>
          <w:tcPr>
            <w:tcW w:w="590" w:type="dxa"/>
            <w:vMerge/>
          </w:tcPr>
          <w:p w:rsidR="00D36D4D" w:rsidRPr="00195A54" w:rsidRDefault="00D36D4D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</w:p>
        </w:tc>
        <w:tc>
          <w:tcPr>
            <w:tcW w:w="1111" w:type="dxa"/>
            <w:vMerge/>
          </w:tcPr>
          <w:p w:rsidR="00D36D4D" w:rsidRPr="00195A54" w:rsidRDefault="00D36D4D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</w:p>
        </w:tc>
      </w:tr>
      <w:tr w:rsidR="00195A54" w:rsidRPr="00195A54" w:rsidTr="00506712">
        <w:trPr>
          <w:trHeight w:val="1050"/>
        </w:trPr>
        <w:tc>
          <w:tcPr>
            <w:tcW w:w="1560" w:type="dxa"/>
          </w:tcPr>
          <w:p w:rsidR="00506712" w:rsidRDefault="00506712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  <w:r w:rsidRPr="00506712">
              <w:rPr>
                <w:sz w:val="21"/>
                <w:szCs w:val="24"/>
              </w:rPr>
              <w:t xml:space="preserve">cancerous </w:t>
            </w:r>
          </w:p>
          <w:p w:rsidR="00D36D4D" w:rsidRPr="00195A54" w:rsidRDefault="00506712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  <w:r w:rsidRPr="00506712">
              <w:rPr>
                <w:sz w:val="21"/>
                <w:szCs w:val="24"/>
              </w:rPr>
              <w:t>para-carcinoma</w:t>
            </w:r>
          </w:p>
        </w:tc>
        <w:tc>
          <w:tcPr>
            <w:tcW w:w="1134" w:type="dxa"/>
            <w:gridSpan w:val="2"/>
          </w:tcPr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0</w:t>
            </w:r>
          </w:p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0</w:t>
            </w:r>
          </w:p>
        </w:tc>
        <w:tc>
          <w:tcPr>
            <w:tcW w:w="1418" w:type="dxa"/>
          </w:tcPr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0</w:t>
            </w:r>
          </w:p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6</w:t>
            </w:r>
          </w:p>
        </w:tc>
        <w:tc>
          <w:tcPr>
            <w:tcW w:w="2110" w:type="dxa"/>
            <w:gridSpan w:val="2"/>
          </w:tcPr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2</w:t>
            </w:r>
          </w:p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0</w:t>
            </w:r>
          </w:p>
        </w:tc>
        <w:tc>
          <w:tcPr>
            <w:tcW w:w="1292" w:type="dxa"/>
          </w:tcPr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4</w:t>
            </w:r>
          </w:p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0</w:t>
            </w:r>
          </w:p>
        </w:tc>
        <w:tc>
          <w:tcPr>
            <w:tcW w:w="590" w:type="dxa"/>
          </w:tcPr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6</w:t>
            </w:r>
          </w:p>
          <w:p w:rsidR="00D36D4D" w:rsidRPr="00195A54" w:rsidRDefault="00D36D4D" w:rsidP="00FD28FA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6</w:t>
            </w:r>
          </w:p>
        </w:tc>
        <w:tc>
          <w:tcPr>
            <w:tcW w:w="1111" w:type="dxa"/>
          </w:tcPr>
          <w:p w:rsidR="00D36D4D" w:rsidRPr="00195A54" w:rsidRDefault="00D36D4D" w:rsidP="00FD28FA">
            <w:pPr>
              <w:spacing w:line="400" w:lineRule="auto"/>
              <w:jc w:val="left"/>
              <w:rPr>
                <w:sz w:val="21"/>
                <w:szCs w:val="24"/>
              </w:rPr>
            </w:pPr>
          </w:p>
          <w:p w:rsidR="00D36D4D" w:rsidRPr="00195A54" w:rsidRDefault="00D36D4D" w:rsidP="00195A54">
            <w:pPr>
              <w:spacing w:line="400" w:lineRule="auto"/>
              <w:jc w:val="center"/>
              <w:rPr>
                <w:sz w:val="21"/>
                <w:szCs w:val="24"/>
              </w:rPr>
            </w:pPr>
            <w:r w:rsidRPr="00195A54">
              <w:rPr>
                <w:sz w:val="21"/>
                <w:szCs w:val="24"/>
              </w:rPr>
              <w:t>0.002</w:t>
            </w:r>
          </w:p>
        </w:tc>
      </w:tr>
    </w:tbl>
    <w:p w:rsidR="00D36D4D" w:rsidRDefault="003070F3" w:rsidP="003070F3">
      <w:pPr>
        <w:spacing w:beforeLines="50" w:before="156"/>
        <w:rPr>
          <w:rFonts w:ascii="Times New Roman" w:hAnsi="Times New Roman" w:cs="Times New Roman"/>
          <w:sz w:val="24"/>
        </w:rPr>
      </w:pPr>
      <w:r w:rsidRPr="003070F3">
        <w:rPr>
          <w:rFonts w:ascii="Times New Roman" w:hAnsi="Times New Roman" w:cs="Times New Roman"/>
          <w:b/>
          <w:sz w:val="24"/>
        </w:rPr>
        <w:t>Notes</w:t>
      </w:r>
      <w:r w:rsidRPr="003070F3">
        <w:rPr>
          <w:rFonts w:ascii="Times New Roman" w:hAnsi="Times New Roman" w:cs="Times New Roman"/>
          <w:sz w:val="24"/>
        </w:rPr>
        <w:t xml:space="preserve">: </w:t>
      </w:r>
      <w:r w:rsidR="00D36D4D" w:rsidRPr="00D36D4D">
        <w:rPr>
          <w:rFonts w:ascii="Times New Roman" w:hAnsi="Times New Roman" w:cs="Times New Roman"/>
          <w:sz w:val="24"/>
        </w:rPr>
        <w:t xml:space="preserve">a: Non-parametric test; </w:t>
      </w:r>
      <w:r w:rsidR="00D36D4D" w:rsidRPr="00195A54">
        <w:rPr>
          <w:rFonts w:ascii="Times New Roman" w:hAnsi="Times New Roman" w:cs="Times New Roman"/>
          <w:i/>
          <w:sz w:val="24"/>
        </w:rPr>
        <w:t xml:space="preserve">P </w:t>
      </w:r>
      <w:r w:rsidR="00D36D4D" w:rsidRPr="00D36D4D">
        <w:rPr>
          <w:rFonts w:ascii="Times New Roman" w:hAnsi="Times New Roman" w:cs="Times New Roman"/>
          <w:sz w:val="24"/>
        </w:rPr>
        <w:t>&lt; 0.05 was statistically significant.</w:t>
      </w:r>
    </w:p>
    <w:p w:rsidR="003070F3" w:rsidRPr="003070F3" w:rsidRDefault="003070F3" w:rsidP="003070F3">
      <w:pPr>
        <w:spacing w:beforeLines="50" w:before="156"/>
        <w:rPr>
          <w:rFonts w:ascii="Times New Roman" w:hAnsi="Times New Roman" w:cs="Times New Roman"/>
          <w:b/>
          <w:sz w:val="24"/>
        </w:rPr>
      </w:pPr>
    </w:p>
    <w:sectPr w:rsidR="003070F3" w:rsidRPr="0030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39" w:rsidRDefault="00321739" w:rsidP="00D36D4D">
      <w:r>
        <w:separator/>
      </w:r>
    </w:p>
  </w:endnote>
  <w:endnote w:type="continuationSeparator" w:id="0">
    <w:p w:rsidR="00321739" w:rsidRDefault="00321739" w:rsidP="00D3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39" w:rsidRDefault="00321739" w:rsidP="00D36D4D">
      <w:r>
        <w:separator/>
      </w:r>
    </w:p>
  </w:footnote>
  <w:footnote w:type="continuationSeparator" w:id="0">
    <w:p w:rsidR="00321739" w:rsidRDefault="00321739" w:rsidP="00D3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A9"/>
    <w:rsid w:val="00195A54"/>
    <w:rsid w:val="003070F3"/>
    <w:rsid w:val="00321739"/>
    <w:rsid w:val="00506712"/>
    <w:rsid w:val="0054639E"/>
    <w:rsid w:val="00591BA9"/>
    <w:rsid w:val="00733EE3"/>
    <w:rsid w:val="007D0D31"/>
    <w:rsid w:val="007F47FC"/>
    <w:rsid w:val="00AF64AB"/>
    <w:rsid w:val="00B238CD"/>
    <w:rsid w:val="00B32C3C"/>
    <w:rsid w:val="00B53B7E"/>
    <w:rsid w:val="00B74997"/>
    <w:rsid w:val="00BA7C2D"/>
    <w:rsid w:val="00C07D0D"/>
    <w:rsid w:val="00C65FCE"/>
    <w:rsid w:val="00CD51BF"/>
    <w:rsid w:val="00D069C1"/>
    <w:rsid w:val="00D3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5571B4-91C6-4867-8AB9-F8E85648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D4D"/>
    <w:rPr>
      <w:sz w:val="18"/>
      <w:szCs w:val="18"/>
    </w:rPr>
  </w:style>
  <w:style w:type="table" w:styleId="a5">
    <w:name w:val="Table Grid"/>
    <w:basedOn w:val="a1"/>
    <w:uiPriority w:val="39"/>
    <w:qFormat/>
    <w:rsid w:val="00D36D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2022-12-08T15:28:00Z</dcterms:created>
  <dcterms:modified xsi:type="dcterms:W3CDTF">2023-02-21T01:13:00Z</dcterms:modified>
</cp:coreProperties>
</file>