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BD005" w14:textId="77777777" w:rsidR="007D37F7" w:rsidRPr="007D4090" w:rsidRDefault="007D37F7" w:rsidP="007D37F7">
      <w:pPr>
        <w:spacing w:line="480" w:lineRule="auto"/>
        <w:rPr>
          <w:rFonts w:ascii="Times New Roman" w:hAnsi="Times New Roman" w:cs="Times New Roman"/>
          <w:b/>
          <w:bCs/>
          <w:sz w:val="20"/>
          <w:szCs w:val="20"/>
        </w:rPr>
      </w:pPr>
      <w:r w:rsidRPr="007D4090">
        <w:rPr>
          <w:rFonts w:ascii="Times New Roman" w:hAnsi="Times New Roman" w:cs="Times New Roman"/>
          <w:b/>
          <w:bCs/>
          <w:sz w:val="20"/>
          <w:szCs w:val="20"/>
        </w:rPr>
        <w:t>Elevated n-6/n-3 polyunsaturated fatty acid ratio in erythrocyte membranes of obese patients interacts with intestinal flora to promote cognitive impairment</w:t>
      </w:r>
    </w:p>
    <w:p w14:paraId="15984083" w14:textId="77777777" w:rsidR="007D37F7" w:rsidRPr="007D4090" w:rsidRDefault="007D37F7" w:rsidP="007D37F7">
      <w:pPr>
        <w:spacing w:line="480" w:lineRule="auto"/>
        <w:rPr>
          <w:rFonts w:ascii="Times New Roman" w:hAnsi="Times New Roman" w:cs="Times New Roman"/>
          <w:sz w:val="20"/>
          <w:szCs w:val="20"/>
          <w:vertAlign w:val="superscript"/>
        </w:rPr>
      </w:pPr>
      <w:r w:rsidRPr="007D4090">
        <w:rPr>
          <w:rFonts w:ascii="Times New Roman" w:hAnsi="Times New Roman" w:cs="Times New Roman"/>
          <w:sz w:val="20"/>
          <w:szCs w:val="20"/>
        </w:rPr>
        <w:t>Tong Zhao</w:t>
      </w:r>
      <w:r w:rsidRPr="007D4090">
        <w:rPr>
          <w:rFonts w:ascii="Times New Roman" w:hAnsi="Times New Roman" w:cs="Times New Roman"/>
          <w:sz w:val="20"/>
          <w:szCs w:val="20"/>
          <w:vertAlign w:val="superscript"/>
        </w:rPr>
        <w:t>1</w:t>
      </w:r>
      <w:r w:rsidRPr="007D4090">
        <w:rPr>
          <w:rFonts w:ascii="Times New Roman" w:hAnsi="Times New Roman" w:cs="Times New Roman"/>
          <w:sz w:val="20"/>
          <w:szCs w:val="20"/>
        </w:rPr>
        <w:t xml:space="preserve">, </w:t>
      </w:r>
      <w:proofErr w:type="spellStart"/>
      <w:r w:rsidRPr="007D4090">
        <w:rPr>
          <w:rFonts w:ascii="Times New Roman" w:hAnsi="Times New Roman" w:cs="Times New Roman"/>
          <w:sz w:val="20"/>
          <w:szCs w:val="20"/>
        </w:rPr>
        <w:t>Hongying</w:t>
      </w:r>
      <w:proofErr w:type="spellEnd"/>
      <w:r w:rsidRPr="007D4090">
        <w:rPr>
          <w:rFonts w:ascii="Times New Roman" w:hAnsi="Times New Roman" w:cs="Times New Roman"/>
          <w:sz w:val="20"/>
          <w:szCs w:val="20"/>
        </w:rPr>
        <w:t xml:space="preserve"> Huang</w:t>
      </w:r>
      <w:r>
        <w:rPr>
          <w:rFonts w:ascii="Times New Roman" w:hAnsi="Times New Roman" w:cs="Times New Roman"/>
          <w:sz w:val="20"/>
          <w:szCs w:val="20"/>
          <w:vertAlign w:val="superscript"/>
        </w:rPr>
        <w:t>1</w:t>
      </w:r>
      <w:r w:rsidRPr="007D4090">
        <w:rPr>
          <w:rFonts w:ascii="Times New Roman" w:hAnsi="Times New Roman" w:cs="Times New Roman"/>
          <w:sz w:val="20"/>
          <w:szCs w:val="20"/>
        </w:rPr>
        <w:t xml:space="preserve">, </w:t>
      </w:r>
      <w:proofErr w:type="spellStart"/>
      <w:r w:rsidRPr="007D4090">
        <w:rPr>
          <w:rFonts w:ascii="Times New Roman" w:hAnsi="Times New Roman" w:cs="Times New Roman"/>
          <w:sz w:val="20"/>
          <w:szCs w:val="20"/>
        </w:rPr>
        <w:t>Jinchen</w:t>
      </w:r>
      <w:proofErr w:type="spellEnd"/>
      <w:r w:rsidRPr="007D4090">
        <w:rPr>
          <w:rFonts w:ascii="Times New Roman" w:hAnsi="Times New Roman" w:cs="Times New Roman"/>
          <w:sz w:val="20"/>
          <w:szCs w:val="20"/>
        </w:rPr>
        <w:t xml:space="preserve"> Li</w:t>
      </w:r>
      <w:r>
        <w:rPr>
          <w:rFonts w:ascii="Times New Roman" w:hAnsi="Times New Roman" w:cs="Times New Roman"/>
          <w:sz w:val="20"/>
          <w:szCs w:val="20"/>
          <w:vertAlign w:val="superscript"/>
        </w:rPr>
        <w:t>1</w:t>
      </w:r>
      <w:r w:rsidRPr="007D4090">
        <w:rPr>
          <w:rFonts w:ascii="Times New Roman" w:hAnsi="Times New Roman" w:cs="Times New Roman"/>
          <w:sz w:val="20"/>
          <w:szCs w:val="20"/>
        </w:rPr>
        <w:t xml:space="preserve">, </w:t>
      </w:r>
      <w:proofErr w:type="spellStart"/>
      <w:r w:rsidRPr="007D4090">
        <w:rPr>
          <w:rFonts w:ascii="Times New Roman" w:hAnsi="Times New Roman" w:cs="Times New Roman"/>
          <w:sz w:val="20"/>
          <w:szCs w:val="20"/>
        </w:rPr>
        <w:t>Jingyi</w:t>
      </w:r>
      <w:proofErr w:type="spellEnd"/>
      <w:r w:rsidRPr="007D4090">
        <w:rPr>
          <w:rFonts w:ascii="Times New Roman" w:hAnsi="Times New Roman" w:cs="Times New Roman"/>
          <w:sz w:val="20"/>
          <w:szCs w:val="20"/>
        </w:rPr>
        <w:t xml:space="preserve"> Shen</w:t>
      </w:r>
      <w:r>
        <w:rPr>
          <w:rFonts w:ascii="Times New Roman" w:hAnsi="Times New Roman" w:cs="Times New Roman"/>
          <w:sz w:val="20"/>
          <w:szCs w:val="20"/>
          <w:vertAlign w:val="superscript"/>
        </w:rPr>
        <w:t>1</w:t>
      </w:r>
      <w:r w:rsidRPr="007D4090">
        <w:rPr>
          <w:rFonts w:ascii="Times New Roman" w:hAnsi="Times New Roman" w:cs="Times New Roman"/>
          <w:sz w:val="20"/>
          <w:szCs w:val="20"/>
        </w:rPr>
        <w:t>, Cui Zhou</w:t>
      </w:r>
      <w:r>
        <w:rPr>
          <w:rFonts w:ascii="Times New Roman" w:hAnsi="Times New Roman" w:cs="Times New Roman"/>
          <w:sz w:val="20"/>
          <w:szCs w:val="20"/>
          <w:vertAlign w:val="superscript"/>
        </w:rPr>
        <w:t>1</w:t>
      </w:r>
      <w:r w:rsidRPr="007D4090">
        <w:rPr>
          <w:rFonts w:ascii="Times New Roman" w:hAnsi="Times New Roman" w:cs="Times New Roman"/>
          <w:sz w:val="20"/>
          <w:szCs w:val="20"/>
        </w:rPr>
        <w:t>, Rong Xiao</w:t>
      </w:r>
      <w:r>
        <w:rPr>
          <w:rFonts w:ascii="Times New Roman" w:hAnsi="Times New Roman" w:cs="Times New Roman"/>
          <w:sz w:val="20"/>
          <w:szCs w:val="20"/>
          <w:vertAlign w:val="superscript"/>
        </w:rPr>
        <w:t>1</w:t>
      </w:r>
      <w:r w:rsidRPr="007D4090">
        <w:rPr>
          <w:rFonts w:ascii="Times New Roman" w:hAnsi="Times New Roman" w:cs="Times New Roman"/>
          <w:sz w:val="20"/>
          <w:szCs w:val="20"/>
        </w:rPr>
        <w:t xml:space="preserve"> and Weiwei Ma</w:t>
      </w:r>
      <w:r w:rsidRPr="009B6066">
        <w:rPr>
          <w:rFonts w:ascii="Times New Roman" w:hAnsi="Times New Roman" w:cs="Times New Roman"/>
          <w:sz w:val="20"/>
          <w:szCs w:val="20"/>
          <w:vertAlign w:val="superscript"/>
        </w:rPr>
        <w:t>1</w:t>
      </w:r>
      <w:r w:rsidRPr="007D4090">
        <w:rPr>
          <w:rFonts w:ascii="Times New Roman" w:hAnsi="Times New Roman" w:cs="Times New Roman"/>
          <w:sz w:val="20"/>
          <w:szCs w:val="20"/>
          <w:vertAlign w:val="superscript"/>
        </w:rPr>
        <w:t>*</w:t>
      </w:r>
    </w:p>
    <w:p w14:paraId="0CEF9C43" w14:textId="77777777" w:rsidR="007D37F7" w:rsidRPr="007D4090" w:rsidRDefault="007D37F7" w:rsidP="007D37F7">
      <w:pPr>
        <w:spacing w:line="480" w:lineRule="auto"/>
        <w:rPr>
          <w:rFonts w:ascii="Times New Roman" w:eastAsia="宋体" w:hAnsi="Times New Roman" w:cs="Times New Roman"/>
          <w:sz w:val="20"/>
          <w:szCs w:val="20"/>
        </w:rPr>
      </w:pPr>
      <w:r w:rsidRPr="007D4090">
        <w:rPr>
          <w:rFonts w:ascii="Times New Roman" w:eastAsia="宋体" w:hAnsi="Times New Roman" w:cs="Times New Roman"/>
          <w:sz w:val="20"/>
          <w:szCs w:val="20"/>
          <w:vertAlign w:val="superscript"/>
        </w:rPr>
        <w:t>1</w:t>
      </w:r>
      <w:r w:rsidRPr="007D4090">
        <w:rPr>
          <w:rFonts w:ascii="Times New Roman" w:eastAsia="宋体" w:hAnsi="Times New Roman" w:cs="Times New Roman"/>
          <w:sz w:val="20"/>
          <w:szCs w:val="20"/>
        </w:rPr>
        <w:t xml:space="preserve"> School of Public Health, Beijing Key Laboratory of Environmental Toxicology, Capital Medical University, Beijing, 100069, People</w:t>
      </w:r>
      <w:r>
        <w:rPr>
          <w:rFonts w:ascii="Times New Roman" w:eastAsia="宋体" w:hAnsi="Times New Roman" w:cs="Times New Roman"/>
          <w:sz w:val="20"/>
          <w:szCs w:val="20"/>
        </w:rPr>
        <w:t>’s</w:t>
      </w:r>
      <w:r w:rsidRPr="007D4090">
        <w:rPr>
          <w:rFonts w:ascii="Times New Roman" w:eastAsia="宋体" w:hAnsi="Times New Roman" w:cs="Times New Roman"/>
          <w:sz w:val="20"/>
          <w:szCs w:val="20"/>
        </w:rPr>
        <w:t xml:space="preserve"> Republic of China.</w:t>
      </w:r>
    </w:p>
    <w:p w14:paraId="5F4A726E" w14:textId="77777777" w:rsidR="007D37F7" w:rsidRPr="007D4090" w:rsidRDefault="007D37F7" w:rsidP="007D37F7">
      <w:pPr>
        <w:spacing w:line="480" w:lineRule="auto"/>
        <w:rPr>
          <w:rFonts w:ascii="Times New Roman" w:eastAsia="宋体" w:hAnsi="Times New Roman" w:cs="Times New Roman"/>
          <w:sz w:val="20"/>
          <w:szCs w:val="20"/>
        </w:rPr>
      </w:pPr>
      <w:r w:rsidRPr="007D4090">
        <w:rPr>
          <w:rFonts w:ascii="Times New Roman" w:eastAsia="宋体" w:hAnsi="Times New Roman" w:cs="Times New Roman"/>
          <w:sz w:val="20"/>
          <w:szCs w:val="20"/>
          <w:vertAlign w:val="superscript"/>
        </w:rPr>
        <w:t>*</w:t>
      </w:r>
      <w:r w:rsidRPr="007D4090">
        <w:rPr>
          <w:rFonts w:ascii="Times New Roman" w:eastAsia="宋体" w:hAnsi="Times New Roman" w:cs="Times New Roman"/>
          <w:sz w:val="20"/>
          <w:szCs w:val="20"/>
        </w:rPr>
        <w:t xml:space="preserve"> Corresponding author: Weiwei Ma, School of Public Health, Beijing Key Laboratory of Environmental Toxicology, Capital Medical University, Beijing, 100069, People</w:t>
      </w:r>
      <w:r>
        <w:rPr>
          <w:rFonts w:ascii="Times New Roman" w:eastAsia="宋体" w:hAnsi="Times New Roman" w:cs="Times New Roman"/>
          <w:sz w:val="20"/>
          <w:szCs w:val="20"/>
        </w:rPr>
        <w:t>’s</w:t>
      </w:r>
      <w:r w:rsidRPr="007D4090">
        <w:rPr>
          <w:rFonts w:ascii="Times New Roman" w:eastAsia="宋体" w:hAnsi="Times New Roman" w:cs="Times New Roman"/>
          <w:sz w:val="20"/>
          <w:szCs w:val="20"/>
        </w:rPr>
        <w:t xml:space="preserve"> Republic of China, Tel +86-10-83911651, Fax +86-10-83911651, Email weiweima@ccmu.edu.cn.</w:t>
      </w:r>
    </w:p>
    <w:p w14:paraId="2328F280" w14:textId="346E3E4D" w:rsidR="007D37F7" w:rsidRDefault="007D37F7" w:rsidP="007D37F7">
      <w:pPr>
        <w:widowControl/>
        <w:jc w:val="left"/>
        <w:rPr>
          <w:rFonts w:ascii="Times New Roman" w:eastAsia="宋体" w:hAnsi="Times New Roman" w:hint="eastAsia"/>
          <w:b/>
          <w:bCs/>
          <w:sz w:val="20"/>
          <w:szCs w:val="20"/>
        </w:rPr>
      </w:pPr>
      <w:r>
        <w:rPr>
          <w:rFonts w:ascii="Times New Roman" w:eastAsia="宋体" w:hAnsi="Times New Roman"/>
          <w:b/>
          <w:bCs/>
          <w:sz w:val="20"/>
          <w:szCs w:val="20"/>
        </w:rPr>
        <w:br w:type="page"/>
      </w:r>
    </w:p>
    <w:p w14:paraId="09A3CEAF" w14:textId="0B8908F2" w:rsidR="00B17CB3" w:rsidRPr="00203D51" w:rsidRDefault="00B17CB3" w:rsidP="00203D51">
      <w:pPr>
        <w:spacing w:line="480" w:lineRule="auto"/>
        <w:rPr>
          <w:rFonts w:ascii="Times New Roman" w:eastAsia="宋体" w:hAnsi="Times New Roman"/>
          <w:b/>
          <w:bCs/>
          <w:sz w:val="20"/>
          <w:szCs w:val="20"/>
        </w:rPr>
      </w:pPr>
      <w:r w:rsidRPr="00203D51">
        <w:rPr>
          <w:rFonts w:ascii="Times New Roman" w:eastAsia="宋体" w:hAnsi="Times New Roman"/>
          <w:b/>
          <w:bCs/>
          <w:sz w:val="20"/>
          <w:szCs w:val="20"/>
        </w:rPr>
        <w:lastRenderedPageBreak/>
        <w:t>Bioinformatics analysis</w:t>
      </w:r>
    </w:p>
    <w:p w14:paraId="7EA886F2" w14:textId="77777777" w:rsidR="00355B10" w:rsidRPr="00203D51" w:rsidRDefault="00B17CB3"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All sequences are OTU divided according to different similarity levels. Extract non-repetitive sequences from optimized sequences, which is convenient to reduce the amount of redundant computation (</w:t>
      </w:r>
      <w:r w:rsidR="00E44F51" w:rsidRPr="00203D51">
        <w:rPr>
          <w:rFonts w:ascii="Times New Roman" w:eastAsia="宋体" w:hAnsi="Times New Roman"/>
          <w:sz w:val="20"/>
          <w:szCs w:val="20"/>
        </w:rPr>
        <w:t xml:space="preserve">Software platform: </w:t>
      </w:r>
      <w:proofErr w:type="spellStart"/>
      <w:r w:rsidR="00E44F51" w:rsidRPr="00203D51">
        <w:rPr>
          <w:rFonts w:ascii="Times New Roman" w:eastAsia="宋体" w:hAnsi="Times New Roman"/>
          <w:sz w:val="20"/>
          <w:szCs w:val="20"/>
        </w:rPr>
        <w:t>Uparse</w:t>
      </w:r>
      <w:proofErr w:type="spellEnd"/>
      <w:r w:rsidR="00E44F51" w:rsidRPr="00203D51">
        <w:rPr>
          <w:rFonts w:ascii="Times New Roman" w:eastAsia="宋体" w:hAnsi="Times New Roman"/>
          <w:sz w:val="20"/>
          <w:szCs w:val="20"/>
        </w:rPr>
        <w:t xml:space="preserve"> version 7.0.1090 http://drive5.com/uparse/</w:t>
      </w:r>
      <w:r w:rsidRPr="00203D51">
        <w:rPr>
          <w:rFonts w:ascii="Times New Roman" w:eastAsia="宋体" w:hAnsi="Times New Roman"/>
          <w:sz w:val="20"/>
          <w:szCs w:val="20"/>
        </w:rPr>
        <w:t xml:space="preserve">) in the intermediate process of analysis; Remove of single sequences without duplicates (http://drive5.com/usearch/manual/singletons.html); The non-repetitive sequences (excluding single sequences) were OTU clustered according to 97% similarity, and the chimeras were removed during the clustering process to obtain the representative sequence of OTU. All optimized sequences are used as OTU representative sequences, and sequences with similarity of 97% or more to the representative sequences are selected to generate OTU tables. The composition of community species in each sample was calculated according to different taxonomic levels (domain, boundary, phylum, class, order, family, genus, species). Based on the results of OTU and its clustering analysis and the information analyzed, the structural composition of the intestinal flora can be analyzed at the level of each genus. </w:t>
      </w:r>
    </w:p>
    <w:p w14:paraId="28B9E705" w14:textId="544BE54C" w:rsidR="00E44F51" w:rsidRPr="00203D51" w:rsidRDefault="00B17CB3"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 xml:space="preserve">Alpha diversity analysis was conducted on the intestinal flora of MCI and </w:t>
      </w:r>
      <w:proofErr w:type="spellStart"/>
      <w:r w:rsidRPr="00203D51">
        <w:rPr>
          <w:rFonts w:ascii="Times New Roman" w:eastAsia="宋体" w:hAnsi="Times New Roman"/>
          <w:sz w:val="20"/>
          <w:szCs w:val="20"/>
        </w:rPr>
        <w:t>N</w:t>
      </w:r>
      <w:r w:rsidRPr="00203D51">
        <w:rPr>
          <w:rFonts w:ascii="Times New Roman" w:eastAsia="宋体" w:hAnsi="Times New Roman" w:hint="eastAsia"/>
          <w:sz w:val="20"/>
          <w:szCs w:val="20"/>
        </w:rPr>
        <w:t>on</w:t>
      </w:r>
      <w:r w:rsidRPr="00203D51">
        <w:rPr>
          <w:rFonts w:ascii="Times New Roman" w:eastAsia="宋体" w:hAnsi="Times New Roman"/>
          <w:sz w:val="20"/>
          <w:szCs w:val="20"/>
        </w:rPr>
        <w:t>_MCI</w:t>
      </w:r>
      <w:proofErr w:type="spellEnd"/>
      <w:r w:rsidRPr="00203D51">
        <w:rPr>
          <w:rFonts w:ascii="Times New Roman" w:eastAsia="宋体" w:hAnsi="Times New Roman"/>
          <w:sz w:val="20"/>
          <w:szCs w:val="20"/>
        </w:rPr>
        <w:t xml:space="preserve"> to understand the difference in richness, </w:t>
      </w:r>
      <w:proofErr w:type="gramStart"/>
      <w:r w:rsidRPr="00203D51">
        <w:rPr>
          <w:rFonts w:ascii="Times New Roman" w:eastAsia="宋体" w:hAnsi="Times New Roman"/>
          <w:sz w:val="20"/>
          <w:szCs w:val="20"/>
        </w:rPr>
        <w:t>diversity</w:t>
      </w:r>
      <w:proofErr w:type="gramEnd"/>
      <w:r w:rsidRPr="00203D51">
        <w:rPr>
          <w:rFonts w:ascii="Times New Roman" w:eastAsia="宋体" w:hAnsi="Times New Roman"/>
          <w:sz w:val="20"/>
          <w:szCs w:val="20"/>
        </w:rPr>
        <w:t xml:space="preserve"> and coverage between the two groups of intestinal flora, and the main alpha diversity indicators included Shannon, Simpson, Chao, Ace and Coverage index. </w:t>
      </w:r>
    </w:p>
    <w:p w14:paraId="57A91A25" w14:textId="79424F2E" w:rsidR="00E44F51" w:rsidRPr="00203D51" w:rsidRDefault="00E44F51"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 xml:space="preserve">Venn diagrams can be used to count the number of species (e.g., OTUs) common and unique to the MCI and </w:t>
      </w:r>
      <w:proofErr w:type="spellStart"/>
      <w:r w:rsidRPr="00203D51">
        <w:rPr>
          <w:rFonts w:ascii="Times New Roman" w:eastAsia="宋体" w:hAnsi="Times New Roman"/>
          <w:sz w:val="20"/>
          <w:szCs w:val="20"/>
        </w:rPr>
        <w:t>Non_MCI</w:t>
      </w:r>
      <w:proofErr w:type="spellEnd"/>
      <w:r w:rsidRPr="00203D51">
        <w:rPr>
          <w:rFonts w:ascii="Times New Roman" w:eastAsia="宋体" w:hAnsi="Times New Roman"/>
          <w:sz w:val="20"/>
          <w:szCs w:val="20"/>
        </w:rPr>
        <w:t xml:space="preserve"> groups of samples, and can provide a more visual representation of the similarity and overlap of species (e.g., OTUs) composition of environmental samples.</w:t>
      </w:r>
      <w:r w:rsidR="008E2D79" w:rsidRPr="00203D51">
        <w:rPr>
          <w:rFonts w:ascii="Times New Roman" w:eastAsia="宋体" w:hAnsi="Times New Roman"/>
          <w:sz w:val="20"/>
          <w:szCs w:val="20"/>
        </w:rPr>
        <w:t xml:space="preserve"> </w:t>
      </w:r>
      <w:r w:rsidR="008E2D79" w:rsidRPr="00203D51">
        <w:rPr>
          <w:rFonts w:ascii="Times New Roman" w:eastAsia="宋体" w:hAnsi="Times New Roman" w:hint="eastAsia"/>
          <w:sz w:val="20"/>
          <w:szCs w:val="20"/>
        </w:rPr>
        <w:t>(</w:t>
      </w:r>
      <w:r w:rsidR="008E2D79" w:rsidRPr="00203D51">
        <w:rPr>
          <w:rFonts w:ascii="Times New Roman" w:eastAsia="宋体" w:hAnsi="Times New Roman"/>
          <w:sz w:val="20"/>
          <w:szCs w:val="20"/>
        </w:rPr>
        <w:t>Software: R language version 3.3.1)</w:t>
      </w:r>
    </w:p>
    <w:p w14:paraId="2568B578" w14:textId="58A15075" w:rsidR="00E44F51" w:rsidRPr="00203D51" w:rsidRDefault="00E44F51"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 xml:space="preserve">The Rarefaction curve was constructed using the </w:t>
      </w:r>
      <w:r w:rsidR="008500AF" w:rsidRPr="00203D51">
        <w:rPr>
          <w:rFonts w:ascii="Times New Roman" w:eastAsia="宋体" w:hAnsi="Times New Roman"/>
          <w:sz w:val="20"/>
          <w:szCs w:val="20"/>
        </w:rPr>
        <w:t>Coverage</w:t>
      </w:r>
      <w:r w:rsidRPr="00203D51">
        <w:rPr>
          <w:rFonts w:ascii="Times New Roman" w:eastAsia="宋体" w:hAnsi="Times New Roman"/>
          <w:sz w:val="20"/>
          <w:szCs w:val="20"/>
        </w:rPr>
        <w:t xml:space="preserve"> diversity index of each sample at different sequencing depths to reflect the microbial diversity of each sample at different sequencing </w:t>
      </w:r>
      <w:r w:rsidRPr="00203D51">
        <w:rPr>
          <w:rFonts w:ascii="Times New Roman" w:eastAsia="宋体" w:hAnsi="Times New Roman"/>
          <w:sz w:val="20"/>
          <w:szCs w:val="20"/>
        </w:rPr>
        <w:lastRenderedPageBreak/>
        <w:t>quantities. (Software: R language tools)</w:t>
      </w:r>
    </w:p>
    <w:p w14:paraId="2A88822F" w14:textId="4201D25D" w:rsidR="008E2D79" w:rsidRPr="00203D51" w:rsidRDefault="008E2D79" w:rsidP="00203D51">
      <w:pPr>
        <w:spacing w:line="480" w:lineRule="auto"/>
        <w:ind w:firstLineChars="200" w:firstLine="400"/>
        <w:rPr>
          <w:rFonts w:ascii="Times New Roman" w:eastAsia="宋体" w:hAnsi="Times New Roman"/>
          <w:sz w:val="20"/>
          <w:szCs w:val="20"/>
        </w:rPr>
      </w:pPr>
      <w:proofErr w:type="spellStart"/>
      <w:r w:rsidRPr="00203D51">
        <w:rPr>
          <w:rFonts w:ascii="Times New Roman" w:eastAsia="宋体" w:hAnsi="Times New Roman"/>
          <w:sz w:val="20"/>
          <w:szCs w:val="20"/>
        </w:rPr>
        <w:t>PCoA</w:t>
      </w:r>
      <w:proofErr w:type="spellEnd"/>
      <w:r w:rsidRPr="00203D51">
        <w:rPr>
          <w:rFonts w:ascii="Times New Roman" w:eastAsia="宋体" w:hAnsi="Times New Roman"/>
          <w:sz w:val="20"/>
          <w:szCs w:val="20"/>
        </w:rPr>
        <w:t xml:space="preserve"> analysis (Principal co-ordinates analysis), or principal coordinates analysis, is a non-constrained data dimensionality reduction analysis method used to study the similarity or difference in the composition of two sample communities of samples. (Software: R language version 3.3.1)</w:t>
      </w:r>
    </w:p>
    <w:p w14:paraId="646E1B70" w14:textId="59EF6EF0" w:rsidR="00E44F51" w:rsidRPr="00203D51" w:rsidRDefault="00B17CB3"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 xml:space="preserve">PLS-DA analysis was used to analyze the similarity between groups for the grouped samples. </w:t>
      </w:r>
      <w:r w:rsidR="00E44F51" w:rsidRPr="00203D51">
        <w:rPr>
          <w:rFonts w:ascii="Times New Roman" w:eastAsia="宋体" w:hAnsi="Times New Roman"/>
          <w:sz w:val="20"/>
          <w:szCs w:val="20"/>
        </w:rPr>
        <w:t xml:space="preserve">PLS-DA (Partial Least Squares Discriminant Analysis), or partial least squares discriminant analysis, is a discriminant analysis method in multivariate data analysis techniques, often used to deal with classification and discriminant problems. (Software: R language version 3.3.1 </w:t>
      </w:r>
      <w:proofErr w:type="spellStart"/>
      <w:r w:rsidR="00E44F51" w:rsidRPr="00203D51">
        <w:rPr>
          <w:rFonts w:ascii="Times New Roman" w:eastAsia="宋体" w:hAnsi="Times New Roman"/>
          <w:sz w:val="20"/>
          <w:szCs w:val="20"/>
        </w:rPr>
        <w:t>plsda</w:t>
      </w:r>
      <w:proofErr w:type="spellEnd"/>
      <w:r w:rsidR="00E44F51" w:rsidRPr="00203D51">
        <w:rPr>
          <w:rFonts w:ascii="Times New Roman" w:eastAsia="宋体" w:hAnsi="Times New Roman"/>
          <w:sz w:val="20"/>
          <w:szCs w:val="20"/>
        </w:rPr>
        <w:t xml:space="preserve"> analysis and graphing in the </w:t>
      </w:r>
      <w:proofErr w:type="spellStart"/>
      <w:r w:rsidR="00E44F51" w:rsidRPr="00203D51">
        <w:rPr>
          <w:rFonts w:ascii="Times New Roman" w:eastAsia="宋体" w:hAnsi="Times New Roman"/>
          <w:sz w:val="20"/>
          <w:szCs w:val="20"/>
        </w:rPr>
        <w:t>mixOmics</w:t>
      </w:r>
      <w:proofErr w:type="spellEnd"/>
      <w:r w:rsidR="00E44F51" w:rsidRPr="00203D51">
        <w:rPr>
          <w:rFonts w:ascii="Times New Roman" w:eastAsia="宋体" w:hAnsi="Times New Roman"/>
          <w:sz w:val="20"/>
          <w:szCs w:val="20"/>
        </w:rPr>
        <w:t xml:space="preserve"> package)</w:t>
      </w:r>
    </w:p>
    <w:p w14:paraId="517FC920" w14:textId="04B83F04" w:rsidR="008E2D79" w:rsidRPr="00203D51" w:rsidRDefault="008E2D79" w:rsidP="00203D51">
      <w:pPr>
        <w:spacing w:line="480" w:lineRule="auto"/>
        <w:ind w:firstLineChars="200" w:firstLine="400"/>
        <w:rPr>
          <w:rFonts w:ascii="Times New Roman" w:eastAsia="宋体" w:hAnsi="Times New Roman"/>
          <w:sz w:val="20"/>
          <w:szCs w:val="20"/>
        </w:rPr>
      </w:pPr>
      <w:proofErr w:type="spellStart"/>
      <w:r w:rsidRPr="00203D51">
        <w:rPr>
          <w:rFonts w:ascii="Times New Roman" w:eastAsia="宋体" w:hAnsi="Times New Roman"/>
          <w:sz w:val="20"/>
          <w:szCs w:val="20"/>
        </w:rPr>
        <w:t>LEfSe</w:t>
      </w:r>
      <w:proofErr w:type="spellEnd"/>
      <w:r w:rsidRPr="00203D51">
        <w:rPr>
          <w:rFonts w:ascii="Times New Roman" w:eastAsia="宋体" w:hAnsi="Times New Roman"/>
          <w:sz w:val="20"/>
          <w:szCs w:val="20"/>
        </w:rPr>
        <w:t xml:space="preserve"> analysis was used to distinguish biological taxa between two groups of samples. Linear discriminant analysis (LDA) was performed on samples according to different grouping conditions based on taxonomic composition to identify groups or species that had a significant differential impact on sample delimitation. (Software: http://huttenhower.sph.harvard.edu/galaxy/root?tool_id=lefse_upload)</w:t>
      </w:r>
    </w:p>
    <w:p w14:paraId="7CB0BFB0" w14:textId="77777777" w:rsidR="008E2D79" w:rsidRPr="00203D51" w:rsidRDefault="00B17CB3" w:rsidP="00203D51">
      <w:pPr>
        <w:spacing w:line="480" w:lineRule="auto"/>
        <w:ind w:firstLineChars="200" w:firstLine="400"/>
        <w:rPr>
          <w:rFonts w:ascii="Times New Roman" w:eastAsia="宋体" w:hAnsi="Times New Roman"/>
          <w:sz w:val="20"/>
          <w:szCs w:val="20"/>
        </w:rPr>
      </w:pPr>
      <w:r w:rsidRPr="00203D51">
        <w:rPr>
          <w:rFonts w:ascii="Times New Roman" w:eastAsia="宋体" w:hAnsi="Times New Roman"/>
          <w:sz w:val="20"/>
          <w:szCs w:val="20"/>
        </w:rPr>
        <w:t xml:space="preserve">Tax4Fun function prediction, the 16S taxonomic spectrum based on Silva database was transformed into the taxonomic spectrum of prokaryotes in KEGG database. Based on the information from the KEGG database, KO, Pathway, and EC information can be obtained, and the abundance of each functional class can be calculated based on OTU abundance. </w:t>
      </w:r>
      <w:bookmarkStart w:id="0" w:name="_Hlk128136165"/>
    </w:p>
    <w:bookmarkEnd w:id="0"/>
    <w:p w14:paraId="10B632EA" w14:textId="77777777" w:rsidR="00661195" w:rsidRPr="00203D51" w:rsidRDefault="00661195" w:rsidP="00203D51">
      <w:pPr>
        <w:spacing w:line="480" w:lineRule="auto"/>
        <w:rPr>
          <w:sz w:val="20"/>
          <w:szCs w:val="20"/>
        </w:rPr>
      </w:pPr>
    </w:p>
    <w:sectPr w:rsidR="00661195" w:rsidRPr="00203D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FB05D" w14:textId="77777777" w:rsidR="00180266" w:rsidRDefault="00180266" w:rsidP="00B17CB3">
      <w:r>
        <w:separator/>
      </w:r>
    </w:p>
  </w:endnote>
  <w:endnote w:type="continuationSeparator" w:id="0">
    <w:p w14:paraId="24908EC4" w14:textId="77777777" w:rsidR="00180266" w:rsidRDefault="00180266" w:rsidP="00B1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C8959" w14:textId="77777777" w:rsidR="00180266" w:rsidRDefault="00180266" w:rsidP="00B17CB3">
      <w:r>
        <w:separator/>
      </w:r>
    </w:p>
  </w:footnote>
  <w:footnote w:type="continuationSeparator" w:id="0">
    <w:p w14:paraId="67ACDFDD" w14:textId="77777777" w:rsidR="00180266" w:rsidRDefault="00180266" w:rsidP="00B17C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F8"/>
    <w:rsid w:val="00180266"/>
    <w:rsid w:val="00203D51"/>
    <w:rsid w:val="002C7C3E"/>
    <w:rsid w:val="003328C7"/>
    <w:rsid w:val="00355B10"/>
    <w:rsid w:val="003E20C4"/>
    <w:rsid w:val="00661195"/>
    <w:rsid w:val="00700E7A"/>
    <w:rsid w:val="007D37F7"/>
    <w:rsid w:val="008500AF"/>
    <w:rsid w:val="00881AEB"/>
    <w:rsid w:val="0088438E"/>
    <w:rsid w:val="008E2D79"/>
    <w:rsid w:val="00955FA6"/>
    <w:rsid w:val="009E2060"/>
    <w:rsid w:val="00A03A8A"/>
    <w:rsid w:val="00AC1B03"/>
    <w:rsid w:val="00B16900"/>
    <w:rsid w:val="00B17CB3"/>
    <w:rsid w:val="00BA23A1"/>
    <w:rsid w:val="00CB03F8"/>
    <w:rsid w:val="00DD63BF"/>
    <w:rsid w:val="00E44F51"/>
    <w:rsid w:val="00F22263"/>
    <w:rsid w:val="00FC6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53328"/>
  <w15:chartTrackingRefBased/>
  <w15:docId w15:val="{EDCAB26B-262C-4C74-94DC-FE19B7AC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C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CB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7CB3"/>
    <w:rPr>
      <w:sz w:val="18"/>
      <w:szCs w:val="18"/>
    </w:rPr>
  </w:style>
  <w:style w:type="paragraph" w:styleId="a5">
    <w:name w:val="footer"/>
    <w:basedOn w:val="a"/>
    <w:link w:val="a6"/>
    <w:uiPriority w:val="99"/>
    <w:unhideWhenUsed/>
    <w:rsid w:val="00B17CB3"/>
    <w:pPr>
      <w:tabs>
        <w:tab w:val="center" w:pos="4153"/>
        <w:tab w:val="right" w:pos="8306"/>
      </w:tabs>
      <w:snapToGrid w:val="0"/>
      <w:jc w:val="left"/>
    </w:pPr>
    <w:rPr>
      <w:sz w:val="18"/>
      <w:szCs w:val="18"/>
    </w:rPr>
  </w:style>
  <w:style w:type="character" w:customStyle="1" w:styleId="a6">
    <w:name w:val="页脚 字符"/>
    <w:basedOn w:val="a0"/>
    <w:link w:val="a5"/>
    <w:uiPriority w:val="99"/>
    <w:rsid w:val="00B17CB3"/>
    <w:rPr>
      <w:sz w:val="18"/>
      <w:szCs w:val="18"/>
    </w:rPr>
  </w:style>
  <w:style w:type="character" w:styleId="a7">
    <w:name w:val="Hyperlink"/>
    <w:basedOn w:val="a0"/>
    <w:uiPriority w:val="99"/>
    <w:unhideWhenUsed/>
    <w:rsid w:val="00B17CB3"/>
    <w:rPr>
      <w:color w:val="0563C1" w:themeColor="hyperlink"/>
      <w:u w:val="single"/>
    </w:rPr>
  </w:style>
  <w:style w:type="character" w:styleId="a8">
    <w:name w:val="Unresolved Mention"/>
    <w:basedOn w:val="a0"/>
    <w:uiPriority w:val="99"/>
    <w:semiHidden/>
    <w:unhideWhenUsed/>
    <w:rsid w:val="00F22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1194C-FDF0-4D14-8ED4-142823F3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童</dc:creator>
  <cp:keywords/>
  <dc:description/>
  <cp:lastModifiedBy>赵 童</cp:lastModifiedBy>
  <cp:revision>11</cp:revision>
  <cp:lastPrinted>2023-02-27T06:25:00Z</cp:lastPrinted>
  <dcterms:created xsi:type="dcterms:W3CDTF">2023-02-14T06:11:00Z</dcterms:created>
  <dcterms:modified xsi:type="dcterms:W3CDTF">2023-02-27T06:39:00Z</dcterms:modified>
</cp:coreProperties>
</file>