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E1F53" w14:textId="77777777" w:rsidR="00DF658D" w:rsidRPr="00CD3C1E" w:rsidRDefault="00DF658D" w:rsidP="00DF658D">
      <w:pPr>
        <w:rPr>
          <w:rFonts w:ascii="Times New Roman" w:hAnsi="Times New Roman" w:cs="Times New Roman"/>
          <w:color w:val="000000" w:themeColor="text1"/>
          <w:sz w:val="28"/>
          <w:szCs w:val="28"/>
        </w:rPr>
      </w:pPr>
      <w:r w:rsidRPr="00CD3C1E">
        <w:rPr>
          <w:rFonts w:ascii="Times New Roman" w:hAnsi="Times New Roman" w:cs="Times New Roman"/>
          <w:color w:val="000000" w:themeColor="text1"/>
          <w:sz w:val="28"/>
          <w:szCs w:val="28"/>
        </w:rPr>
        <w:t>Whole genome bisulfite sequencing of tumor DNA and matching cfDNA in relapsed pediatric cancer</w:t>
      </w:r>
    </w:p>
    <w:p w14:paraId="7774608E" w14:textId="77777777" w:rsidR="00DF658D" w:rsidRPr="00CD3C1E" w:rsidRDefault="00DF658D" w:rsidP="00DF658D">
      <w:pPr>
        <w:rPr>
          <w:rFonts w:ascii="Times New Roman" w:hAnsi="Times New Roman" w:cs="Times New Roman"/>
          <w:color w:val="000000" w:themeColor="text1"/>
        </w:rPr>
      </w:pPr>
    </w:p>
    <w:p w14:paraId="46A92AA3" w14:textId="77777777" w:rsidR="00DF658D" w:rsidRPr="00C807CF" w:rsidRDefault="00DF658D" w:rsidP="00DF658D">
      <w:pPr>
        <w:spacing w:line="360" w:lineRule="auto"/>
        <w:jc w:val="both"/>
        <w:outlineLvl w:val="0"/>
        <w:rPr>
          <w:rFonts w:ascii="Times New Roman" w:hAnsi="Times New Roman" w:cs="Times New Roman"/>
          <w:b/>
          <w:color w:val="000000" w:themeColor="text1"/>
          <w:vertAlign w:val="superscript"/>
        </w:rPr>
      </w:pPr>
      <w:r w:rsidRPr="00CD3C1E">
        <w:rPr>
          <w:rFonts w:ascii="Times New Roman" w:hAnsi="Times New Roman" w:cs="Times New Roman"/>
          <w:b/>
          <w:color w:val="000000" w:themeColor="text1"/>
        </w:rPr>
        <w:t>David N. Buckley</w:t>
      </w:r>
      <w:r>
        <w:rPr>
          <w:rFonts w:ascii="Times New Roman" w:hAnsi="Times New Roman" w:cs="Times New Roman"/>
          <w:b/>
          <w:color w:val="000000" w:themeColor="text1"/>
          <w:vertAlign w:val="superscript"/>
        </w:rPr>
        <w:t>1</w:t>
      </w:r>
      <w:r w:rsidRPr="00CD3C1E">
        <w:rPr>
          <w:rFonts w:ascii="Times New Roman" w:hAnsi="Times New Roman" w:cs="Times New Roman"/>
          <w:b/>
          <w:color w:val="000000" w:themeColor="text1"/>
        </w:rPr>
        <w:t>, Ben Yi Tew</w:t>
      </w:r>
      <w:r>
        <w:rPr>
          <w:rFonts w:ascii="Times New Roman" w:hAnsi="Times New Roman" w:cs="Times New Roman"/>
          <w:b/>
          <w:color w:val="000000" w:themeColor="text1"/>
          <w:vertAlign w:val="superscript"/>
        </w:rPr>
        <w:t>1</w:t>
      </w:r>
      <w:r w:rsidRPr="00CD3C1E">
        <w:rPr>
          <w:rFonts w:ascii="Times New Roman" w:hAnsi="Times New Roman" w:cs="Times New Roman"/>
          <w:b/>
          <w:color w:val="000000" w:themeColor="text1"/>
        </w:rPr>
        <w:t>, Chris Gooden</w:t>
      </w:r>
      <w:r>
        <w:rPr>
          <w:rFonts w:ascii="Times New Roman" w:hAnsi="Times New Roman" w:cs="Times New Roman"/>
          <w:b/>
          <w:color w:val="000000" w:themeColor="text1"/>
          <w:vertAlign w:val="superscript"/>
        </w:rPr>
        <w:t>1</w:t>
      </w:r>
      <w:r w:rsidRPr="00CD3C1E">
        <w:rPr>
          <w:rFonts w:ascii="Times New Roman" w:hAnsi="Times New Roman" w:cs="Times New Roman"/>
          <w:b/>
          <w:color w:val="000000" w:themeColor="text1"/>
        </w:rPr>
        <w:t>, Bodour Salhia</w:t>
      </w:r>
      <w:r>
        <w:rPr>
          <w:rFonts w:ascii="Times New Roman" w:hAnsi="Times New Roman" w:cs="Times New Roman"/>
          <w:b/>
          <w:color w:val="000000" w:themeColor="text1"/>
          <w:vertAlign w:val="superscript"/>
        </w:rPr>
        <w:t>1,</w:t>
      </w:r>
      <w:proofErr w:type="gramStart"/>
      <w:r>
        <w:rPr>
          <w:rFonts w:ascii="Times New Roman" w:hAnsi="Times New Roman" w:cs="Times New Roman"/>
          <w:b/>
          <w:color w:val="000000" w:themeColor="text1"/>
          <w:vertAlign w:val="superscript"/>
        </w:rPr>
        <w:t>2,*</w:t>
      </w:r>
      <w:proofErr w:type="gramEnd"/>
    </w:p>
    <w:p w14:paraId="62D57D37" w14:textId="77777777" w:rsidR="00DF658D" w:rsidRDefault="00DF658D" w:rsidP="00DF658D">
      <w:pPr>
        <w:spacing w:line="360" w:lineRule="auto"/>
        <w:jc w:val="both"/>
        <w:outlineLvl w:val="0"/>
        <w:rPr>
          <w:rFonts w:ascii="Times New Roman" w:hAnsi="Times New Roman" w:cs="Times New Roman"/>
          <w:b/>
          <w:color w:val="000000" w:themeColor="text1"/>
        </w:rPr>
      </w:pPr>
    </w:p>
    <w:p w14:paraId="33318431" w14:textId="77777777" w:rsidR="00DF658D" w:rsidRPr="00D07ECA" w:rsidRDefault="00DF658D" w:rsidP="00DF658D">
      <w:pPr>
        <w:pStyle w:val="ListParagraph"/>
        <w:numPr>
          <w:ilvl w:val="0"/>
          <w:numId w:val="1"/>
        </w:numPr>
        <w:autoSpaceDE w:val="0"/>
        <w:autoSpaceDN w:val="0"/>
        <w:adjustRightInd w:val="0"/>
        <w:spacing w:before="120" w:line="360" w:lineRule="auto"/>
        <w:jc w:val="both"/>
        <w:rPr>
          <w:rFonts w:ascii="Arial" w:hAnsi="Arial"/>
        </w:rPr>
      </w:pPr>
      <w:r w:rsidRPr="00D07ECA">
        <w:rPr>
          <w:rFonts w:ascii="Arial" w:hAnsi="Arial"/>
        </w:rPr>
        <w:t>Department of Translational Genomics, Keck School of Medicine, University of Southern California, Los Angeles, California</w:t>
      </w:r>
    </w:p>
    <w:p w14:paraId="0DA92425" w14:textId="77777777" w:rsidR="00DF658D" w:rsidRPr="00D07ECA" w:rsidRDefault="00DF658D" w:rsidP="00DF658D">
      <w:pPr>
        <w:pStyle w:val="ListParagraph"/>
        <w:numPr>
          <w:ilvl w:val="0"/>
          <w:numId w:val="1"/>
        </w:numPr>
        <w:autoSpaceDE w:val="0"/>
        <w:autoSpaceDN w:val="0"/>
        <w:adjustRightInd w:val="0"/>
        <w:spacing w:before="120" w:line="360" w:lineRule="auto"/>
        <w:jc w:val="both"/>
        <w:rPr>
          <w:rFonts w:ascii="Arial" w:hAnsi="Arial"/>
        </w:rPr>
      </w:pPr>
      <w:r w:rsidRPr="00D07ECA">
        <w:rPr>
          <w:rFonts w:ascii="Arial" w:hAnsi="Arial"/>
        </w:rPr>
        <w:t>Norris Comprehensive Cancer Center, University of Southern California, Los Angeles, California</w:t>
      </w:r>
    </w:p>
    <w:p w14:paraId="2CDC58D7" w14:textId="77777777" w:rsidR="00DF658D" w:rsidRPr="00D07ECA" w:rsidRDefault="00DF658D" w:rsidP="00DF658D">
      <w:pPr>
        <w:rPr>
          <w:rFonts w:ascii="Arial" w:hAnsi="Arial"/>
          <w:sz w:val="18"/>
          <w:szCs w:val="18"/>
        </w:rPr>
      </w:pPr>
      <w:r w:rsidRPr="00D07ECA">
        <w:rPr>
          <w:rFonts w:ascii="Arial" w:hAnsi="Arial"/>
          <w:sz w:val="20"/>
          <w:szCs w:val="18"/>
        </w:rPr>
        <w:t>* To whom correspondence should be addressed: Bodour Salhia, PhD Tel: 16025651080; Email:</w:t>
      </w:r>
      <w:r w:rsidRPr="00D07ECA">
        <w:rPr>
          <w:rFonts w:ascii="Arial" w:hAnsi="Arial"/>
          <w:szCs w:val="20"/>
        </w:rPr>
        <w:t xml:space="preserve"> </w:t>
      </w:r>
      <w:r w:rsidRPr="00D07ECA">
        <w:rPr>
          <w:rFonts w:ascii="Arial" w:hAnsi="Arial"/>
          <w:sz w:val="20"/>
          <w:szCs w:val="20"/>
        </w:rPr>
        <w:t>salhia@usc.edu</w:t>
      </w:r>
    </w:p>
    <w:p w14:paraId="1C48E8D4" w14:textId="77777777" w:rsidR="00DF658D" w:rsidRDefault="00DF658D" w:rsidP="00DF658D">
      <w:pPr>
        <w:rPr>
          <w:rFonts w:ascii="Arial" w:hAnsi="Arial"/>
          <w:sz w:val="20"/>
          <w:szCs w:val="20"/>
        </w:rPr>
      </w:pPr>
    </w:p>
    <w:p w14:paraId="3418D3C0" w14:textId="77777777" w:rsidR="00DF658D" w:rsidRPr="00D07ECA" w:rsidRDefault="00DF658D" w:rsidP="00DF658D">
      <w:pPr>
        <w:rPr>
          <w:rFonts w:ascii="Arial" w:hAnsi="Arial"/>
          <w:sz w:val="20"/>
          <w:szCs w:val="20"/>
        </w:rPr>
      </w:pPr>
      <w:r w:rsidRPr="00D07ECA">
        <w:rPr>
          <w:rFonts w:ascii="Arial" w:hAnsi="Arial"/>
          <w:sz w:val="20"/>
          <w:szCs w:val="20"/>
        </w:rPr>
        <w:t>Present Address: Bodour Salhia, Department of Translational Genomics, University of Southern California, Los Angeles, CA, 90033, USA</w:t>
      </w:r>
    </w:p>
    <w:p w14:paraId="278407DB" w14:textId="6A9BBCB3" w:rsidR="00DF658D" w:rsidRDefault="00DF658D" w:rsidP="00D21825">
      <w:pPr>
        <w:spacing w:line="360" w:lineRule="auto"/>
        <w:jc w:val="both"/>
        <w:rPr>
          <w:rFonts w:ascii="Times New Roman" w:hAnsi="Times New Roman" w:cs="Times New Roman"/>
          <w:b/>
          <w:bCs/>
          <w:color w:val="000000" w:themeColor="text1"/>
        </w:rPr>
      </w:pPr>
    </w:p>
    <w:p w14:paraId="73A3078D" w14:textId="045477A6" w:rsidR="00DF658D" w:rsidRDefault="00DF658D" w:rsidP="00D21825">
      <w:pPr>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SUPPLEMENTARY MATERIALS</w:t>
      </w:r>
    </w:p>
    <w:p w14:paraId="6410EBE5" w14:textId="77777777" w:rsidR="00DF658D" w:rsidRDefault="00DF658D" w:rsidP="00D21825">
      <w:pPr>
        <w:spacing w:line="360" w:lineRule="auto"/>
        <w:jc w:val="both"/>
        <w:rPr>
          <w:rFonts w:ascii="Times New Roman" w:hAnsi="Times New Roman" w:cs="Times New Roman"/>
          <w:b/>
          <w:bCs/>
          <w:color w:val="000000" w:themeColor="text1"/>
        </w:rPr>
      </w:pPr>
    </w:p>
    <w:p w14:paraId="3C960DA5" w14:textId="38B2340F" w:rsidR="00D21825" w:rsidRPr="006F238E" w:rsidRDefault="00D21825" w:rsidP="00D21825">
      <w:pPr>
        <w:spacing w:line="360" w:lineRule="auto"/>
        <w:jc w:val="both"/>
        <w:rPr>
          <w:rFonts w:ascii="Times New Roman" w:hAnsi="Times New Roman" w:cs="Times New Roman"/>
          <w:b/>
          <w:bCs/>
          <w:color w:val="000000" w:themeColor="text1"/>
        </w:rPr>
      </w:pPr>
      <w:r w:rsidRPr="006F238E">
        <w:rPr>
          <w:rFonts w:ascii="Times New Roman" w:hAnsi="Times New Roman" w:cs="Times New Roman"/>
          <w:b/>
          <w:bCs/>
          <w:color w:val="000000" w:themeColor="text1"/>
        </w:rPr>
        <w:t>METHODS</w:t>
      </w:r>
    </w:p>
    <w:p w14:paraId="13F6BC97" w14:textId="77777777" w:rsidR="00D21825" w:rsidRPr="006F238E" w:rsidRDefault="00D21825" w:rsidP="00D21825">
      <w:pPr>
        <w:spacing w:line="360" w:lineRule="auto"/>
        <w:jc w:val="both"/>
        <w:rPr>
          <w:rFonts w:ascii="Times New Roman" w:hAnsi="Times New Roman" w:cs="Times New Roman"/>
          <w:bCs/>
          <w:color w:val="000000" w:themeColor="text1"/>
        </w:rPr>
      </w:pPr>
      <w:r w:rsidRPr="006F238E">
        <w:rPr>
          <w:rFonts w:ascii="Times New Roman" w:hAnsi="Times New Roman" w:cs="Times New Roman"/>
          <w:b/>
          <w:color w:val="000000" w:themeColor="text1"/>
        </w:rPr>
        <w:t>Single nucleotide variant calling</w:t>
      </w:r>
    </w:p>
    <w:p w14:paraId="7BADBB4D" w14:textId="773ADF46" w:rsidR="00D21825" w:rsidRPr="006F238E" w:rsidRDefault="00D21825" w:rsidP="00D21825">
      <w:pPr>
        <w:spacing w:line="360" w:lineRule="auto"/>
        <w:jc w:val="both"/>
        <w:rPr>
          <w:rFonts w:ascii="Times New Roman" w:hAnsi="Times New Roman" w:cs="Times New Roman"/>
          <w:bCs/>
          <w:color w:val="000000" w:themeColor="text1"/>
        </w:rPr>
      </w:pPr>
      <w:r w:rsidRPr="006F238E">
        <w:rPr>
          <w:rFonts w:ascii="Times New Roman" w:hAnsi="Times New Roman" w:cs="Times New Roman"/>
          <w:bCs/>
          <w:color w:val="000000" w:themeColor="text1"/>
        </w:rPr>
        <w:tab/>
        <w:t xml:space="preserve">We performed SNV calling using the </w:t>
      </w:r>
      <w:proofErr w:type="spellStart"/>
      <w:r w:rsidRPr="006F238E">
        <w:rPr>
          <w:rFonts w:ascii="Times New Roman" w:hAnsi="Times New Roman" w:cs="Times New Roman"/>
          <w:bCs/>
          <w:color w:val="000000" w:themeColor="text1"/>
        </w:rPr>
        <w:t>BISulfite</w:t>
      </w:r>
      <w:proofErr w:type="spellEnd"/>
      <w:r w:rsidRPr="006F238E">
        <w:rPr>
          <w:rFonts w:ascii="Times New Roman" w:hAnsi="Times New Roman" w:cs="Times New Roman"/>
          <w:bCs/>
          <w:color w:val="000000" w:themeColor="text1"/>
        </w:rPr>
        <w:t>-seq CUI Toolkit (BISCUIT) (</w:t>
      </w:r>
      <w:hyperlink r:id="rId5" w:history="1">
        <w:r w:rsidRPr="006F238E">
          <w:rPr>
            <w:rStyle w:val="Hyperlink"/>
            <w:rFonts w:ascii="Times New Roman" w:hAnsi="Times New Roman" w:cs="Times New Roman"/>
            <w:bCs/>
          </w:rPr>
          <w:t>https://www.githubcom/zwdzwd/biscuit</w:t>
        </w:r>
      </w:hyperlink>
      <w:r w:rsidRPr="006F238E">
        <w:rPr>
          <w:rFonts w:ascii="Times New Roman" w:hAnsi="Times New Roman" w:cs="Times New Roman"/>
          <w:bCs/>
          <w:color w:val="000000" w:themeColor="text1"/>
        </w:rPr>
        <w:t xml:space="preserve">) which calls SNVs while filtering out base changes caused by bisulfite </w:t>
      </w:r>
      <w:proofErr w:type="gramStart"/>
      <w:r w:rsidRPr="006F238E">
        <w:rPr>
          <w:rFonts w:ascii="Times New Roman" w:hAnsi="Times New Roman" w:cs="Times New Roman"/>
          <w:bCs/>
          <w:color w:val="000000" w:themeColor="text1"/>
        </w:rPr>
        <w:t>conversion .</w:t>
      </w:r>
      <w:proofErr w:type="gramEnd"/>
      <w:r w:rsidRPr="006F238E">
        <w:rPr>
          <w:rFonts w:ascii="Times New Roman" w:hAnsi="Times New Roman" w:cs="Times New Roman"/>
          <w:bCs/>
          <w:color w:val="000000" w:themeColor="text1"/>
        </w:rPr>
        <w:t xml:space="preserve">  Briefly, bisulfite converted paired end reads were aligned to hg19 (GRCh37) using ‘biscuit align’.  Somatic variants were called using ‘biscuit pileup’ for all samples with a patient-matched adjacent normal tissue sample; variants in cfDNA samples that did not have a patient-matched normal were called through comparison to the reference genome.  Variants were annotated using Variant Effect Predictor (VEP) </w:t>
      </w:r>
      <w:r w:rsidRPr="006F238E">
        <w:rPr>
          <w:rFonts w:ascii="Times New Roman" w:hAnsi="Times New Roman" w:cs="Times New Roman"/>
          <w:bCs/>
          <w:color w:val="000000" w:themeColor="text1"/>
        </w:rPr>
        <w:fldChar w:fldCharType="begin">
          <w:fldData xml:space="preserve">PEVuZE5vdGU+PENpdGU+PEF1dGhvcj5NY0xhcmVuPC9BdXRob3I+PFllYXI+MjAxNjwvWWVhcj48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</w:fldData>
        </w:fldChar>
      </w:r>
      <w:r w:rsidRPr="006F238E">
        <w:rPr>
          <w:rFonts w:ascii="Times New Roman" w:hAnsi="Times New Roman" w:cs="Times New Roman"/>
          <w:bCs/>
          <w:color w:val="000000" w:themeColor="text1"/>
        </w:rPr>
        <w:instrText xml:space="preserve"> ADDIN EN.CITE </w:instrText>
      </w:r>
      <w:r w:rsidRPr="006F238E">
        <w:rPr>
          <w:rFonts w:ascii="Times New Roman" w:hAnsi="Times New Roman" w:cs="Times New Roman"/>
          <w:bCs/>
          <w:color w:val="000000" w:themeColor="text1"/>
        </w:rPr>
        <w:fldChar w:fldCharType="begin">
          <w:fldData xml:space="preserve">PEVuZE5vdGU+PENpdGU+PEF1dGhvcj5NY0xhcmVuPC9BdXRob3I+PFllYXI+MjAxNjwvWWVhcj48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</w:fldData>
        </w:fldChar>
      </w:r>
      <w:r w:rsidRPr="006F238E">
        <w:rPr>
          <w:rFonts w:ascii="Times New Roman" w:hAnsi="Times New Roman" w:cs="Times New Roman"/>
          <w:bCs/>
          <w:color w:val="000000" w:themeColor="text1"/>
        </w:rPr>
        <w:instrText xml:space="preserve"> ADDIN EN.CITE.DATA </w:instrText>
      </w:r>
      <w:r w:rsidRPr="006F238E">
        <w:rPr>
          <w:rFonts w:ascii="Times New Roman" w:hAnsi="Times New Roman" w:cs="Times New Roman"/>
          <w:bCs/>
          <w:color w:val="000000" w:themeColor="text1"/>
        </w:rPr>
      </w:r>
      <w:r w:rsidRPr="006F238E">
        <w:rPr>
          <w:rFonts w:ascii="Times New Roman" w:hAnsi="Times New Roman" w:cs="Times New Roman"/>
          <w:bCs/>
          <w:color w:val="000000" w:themeColor="text1"/>
        </w:rPr>
        <w:fldChar w:fldCharType="end"/>
      </w:r>
      <w:r w:rsidRPr="006F238E">
        <w:rPr>
          <w:rFonts w:ascii="Times New Roman" w:hAnsi="Times New Roman" w:cs="Times New Roman"/>
          <w:bCs/>
          <w:color w:val="000000" w:themeColor="text1"/>
        </w:rPr>
      </w:r>
      <w:r w:rsidRPr="006F238E">
        <w:rPr>
          <w:rFonts w:ascii="Times New Roman" w:hAnsi="Times New Roman" w:cs="Times New Roman"/>
          <w:bCs/>
          <w:color w:val="000000" w:themeColor="text1"/>
        </w:rPr>
        <w:fldChar w:fldCharType="separate"/>
      </w:r>
      <w:r w:rsidRPr="006F238E">
        <w:rPr>
          <w:rFonts w:ascii="Times New Roman" w:hAnsi="Times New Roman" w:cs="Times New Roman"/>
          <w:bCs/>
          <w:noProof/>
          <w:color w:val="000000" w:themeColor="text1"/>
        </w:rPr>
        <w:t>(1)</w:t>
      </w:r>
      <w:r w:rsidRPr="006F238E">
        <w:rPr>
          <w:rFonts w:ascii="Times New Roman" w:hAnsi="Times New Roman" w:cs="Times New Roman"/>
          <w:bCs/>
          <w:color w:val="000000" w:themeColor="text1"/>
        </w:rPr>
        <w:fldChar w:fldCharType="end"/>
      </w:r>
      <w:r w:rsidRPr="006F238E">
        <w:rPr>
          <w:rFonts w:ascii="Times New Roman" w:hAnsi="Times New Roman" w:cs="Times New Roman"/>
          <w:bCs/>
          <w:color w:val="000000" w:themeColor="text1"/>
        </w:rPr>
        <w:t>.  SNVs were filtered to only include calls that passed BISCUIT’s quality filter</w:t>
      </w:r>
      <w:r w:rsidR="006F238E" w:rsidRPr="006F238E">
        <w:rPr>
          <w:rFonts w:ascii="Times New Roman" w:hAnsi="Times New Roman" w:cs="Times New Roman"/>
          <w:bCs/>
          <w:color w:val="000000" w:themeColor="text1"/>
        </w:rPr>
        <w:t>, had an allele frequency &gt; 0.1 with sequencing depth &gt; 20X,</w:t>
      </w:r>
      <w:r w:rsidRPr="006F238E">
        <w:rPr>
          <w:rFonts w:ascii="Times New Roman" w:hAnsi="Times New Roman" w:cs="Times New Roman"/>
          <w:bCs/>
          <w:color w:val="000000" w:themeColor="text1"/>
        </w:rPr>
        <w:t xml:space="preserve"> and were predicted to be highly deleterious by VEP.</w:t>
      </w:r>
    </w:p>
    <w:p w14:paraId="159F8244" w14:textId="77777777" w:rsidR="00D21825" w:rsidRPr="006F238E" w:rsidRDefault="00D21825" w:rsidP="00D21825">
      <w:pPr>
        <w:spacing w:line="360" w:lineRule="auto"/>
        <w:jc w:val="both"/>
        <w:rPr>
          <w:rFonts w:ascii="Times New Roman" w:hAnsi="Times New Roman" w:cs="Times New Roman"/>
          <w:b/>
          <w:bCs/>
          <w:color w:val="000000" w:themeColor="text1"/>
        </w:rPr>
      </w:pPr>
    </w:p>
    <w:p w14:paraId="33E115DD" w14:textId="63963C98" w:rsidR="00D21825" w:rsidRPr="006F238E" w:rsidRDefault="00D21825" w:rsidP="00D21825">
      <w:pPr>
        <w:spacing w:line="360" w:lineRule="auto"/>
        <w:jc w:val="both"/>
        <w:rPr>
          <w:rFonts w:ascii="Times New Roman" w:hAnsi="Times New Roman" w:cs="Times New Roman"/>
          <w:b/>
          <w:bCs/>
          <w:color w:val="000000" w:themeColor="text1"/>
        </w:rPr>
      </w:pPr>
      <w:r w:rsidRPr="006F238E">
        <w:rPr>
          <w:rFonts w:ascii="Times New Roman" w:hAnsi="Times New Roman" w:cs="Times New Roman"/>
          <w:b/>
          <w:bCs/>
          <w:color w:val="000000" w:themeColor="text1"/>
        </w:rPr>
        <w:t>RESULTS</w:t>
      </w:r>
    </w:p>
    <w:p w14:paraId="6982B0D1" w14:textId="6217533C" w:rsidR="00D21825" w:rsidRPr="006F238E" w:rsidRDefault="00D21825" w:rsidP="00D21825">
      <w:pPr>
        <w:spacing w:line="360" w:lineRule="auto"/>
        <w:jc w:val="both"/>
        <w:rPr>
          <w:rFonts w:ascii="Times New Roman" w:hAnsi="Times New Roman" w:cs="Times New Roman"/>
          <w:b/>
          <w:bCs/>
          <w:color w:val="000000" w:themeColor="text1"/>
        </w:rPr>
      </w:pPr>
      <w:r w:rsidRPr="006F238E">
        <w:rPr>
          <w:rFonts w:ascii="Times New Roman" w:hAnsi="Times New Roman" w:cs="Times New Roman"/>
          <w:b/>
          <w:bCs/>
          <w:color w:val="000000" w:themeColor="text1"/>
        </w:rPr>
        <w:t xml:space="preserve">Tissue Single Nucleotide Variant analysis from WGBS data </w:t>
      </w:r>
    </w:p>
    <w:p w14:paraId="55C62727" w14:textId="77777777" w:rsidR="00D21825" w:rsidRPr="006F238E" w:rsidRDefault="00D21825" w:rsidP="00D21825">
      <w:pPr>
        <w:spacing w:line="360" w:lineRule="auto"/>
        <w:jc w:val="both"/>
        <w:rPr>
          <w:rFonts w:ascii="Times New Roman" w:hAnsi="Times New Roman" w:cs="Times New Roman"/>
          <w:color w:val="000000" w:themeColor="text1"/>
        </w:rPr>
      </w:pPr>
      <w:r w:rsidRPr="006F238E">
        <w:rPr>
          <w:rFonts w:ascii="Times New Roman" w:hAnsi="Times New Roman" w:cs="Times New Roman"/>
          <w:color w:val="000000" w:themeColor="text1"/>
        </w:rPr>
        <w:tab/>
        <w:t xml:space="preserve">Finally, we evaluated the mutational profiles of tumor and cfDNA using BISCUIT which is specifically designed to be able to call SNVs using WGBS data.  There are limitations to variant calling using bisulfite-converted DNA; specifically, any variant that may have arisen via bisulfite </w:t>
      </w:r>
      <w:r w:rsidRPr="006F238E">
        <w:rPr>
          <w:rFonts w:ascii="Times New Roman" w:hAnsi="Times New Roman" w:cs="Times New Roman"/>
          <w:color w:val="000000" w:themeColor="text1"/>
        </w:rPr>
        <w:lastRenderedPageBreak/>
        <w:t xml:space="preserve">conversion must be discounted.  Notably, BISCUIT does not support calling short insertions/deletions (indels) and is restricted to SNV calling.  However, we performed a limited somatic SNV analysis in tumor samples which had a patient-matched adjacent normal reference </w:t>
      </w:r>
      <w:proofErr w:type="gramStart"/>
      <w:r w:rsidRPr="006F238E">
        <w:rPr>
          <w:rFonts w:ascii="Times New Roman" w:hAnsi="Times New Roman" w:cs="Times New Roman"/>
          <w:color w:val="000000" w:themeColor="text1"/>
        </w:rPr>
        <w:t>and also</w:t>
      </w:r>
      <w:proofErr w:type="gramEnd"/>
      <w:r w:rsidRPr="006F238E">
        <w:rPr>
          <w:rFonts w:ascii="Times New Roman" w:hAnsi="Times New Roman" w:cs="Times New Roman"/>
          <w:color w:val="000000" w:themeColor="text1"/>
        </w:rPr>
        <w:t xml:space="preserve"> compared the SNV calls in tissue to SNV calls in cfDNA.</w:t>
      </w:r>
    </w:p>
    <w:p w14:paraId="2DD8EC38" w14:textId="5BD83785" w:rsidR="00D21825" w:rsidRPr="006F238E" w:rsidRDefault="00D21825" w:rsidP="00D21825">
      <w:pPr>
        <w:spacing w:line="360" w:lineRule="auto"/>
        <w:jc w:val="both"/>
        <w:rPr>
          <w:rFonts w:ascii="Times New Roman" w:hAnsi="Times New Roman" w:cs="Times New Roman"/>
          <w:color w:val="000000" w:themeColor="text1"/>
        </w:rPr>
      </w:pPr>
      <w:r w:rsidRPr="006F238E">
        <w:rPr>
          <w:rFonts w:ascii="Times New Roman" w:hAnsi="Times New Roman" w:cs="Times New Roman"/>
          <w:color w:val="000000" w:themeColor="text1"/>
        </w:rPr>
        <w:tab/>
        <w:t>We performed somatic variant calling on 20 tumor samples with patient-matched adjacent normal tissue</w:t>
      </w:r>
      <w:r w:rsidRPr="006F238E">
        <w:rPr>
          <w:rFonts w:ascii="Times New Roman" w:hAnsi="Times New Roman" w:cs="Times New Roman"/>
        </w:rPr>
        <w:t xml:space="preserve"> (ERMS n = 5, FHC n = 1, HB n = 3, MRT n = 2, NBL n = 2, OS n = 4, Teratoma n = 2, WT n = 1)</w:t>
      </w:r>
      <w:r w:rsidRPr="006F238E">
        <w:rPr>
          <w:rFonts w:ascii="Times New Roman" w:hAnsi="Times New Roman" w:cs="Times New Roman"/>
          <w:color w:val="000000" w:themeColor="text1"/>
        </w:rPr>
        <w:t xml:space="preserve">.  Variant calls were filtered to only contain high quality SNV calls (determined by BISCUIT) that were predicted to be highly deleterious to gene function (determined by VEP).  Solid tumor samples had </w:t>
      </w:r>
      <w:r w:rsidR="006F238E">
        <w:rPr>
          <w:rFonts w:ascii="Times New Roman" w:hAnsi="Times New Roman" w:cs="Times New Roman"/>
          <w:color w:val="000000" w:themeColor="text1"/>
        </w:rPr>
        <w:t>24</w:t>
      </w:r>
      <w:r w:rsidRPr="006F238E">
        <w:rPr>
          <w:rFonts w:ascii="Times New Roman" w:hAnsi="Times New Roman" w:cs="Times New Roman"/>
          <w:color w:val="000000" w:themeColor="text1"/>
        </w:rPr>
        <w:t xml:space="preserve"> somatic variants on average (min = </w:t>
      </w:r>
      <w:r w:rsidR="006F238E">
        <w:rPr>
          <w:rFonts w:ascii="Times New Roman" w:hAnsi="Times New Roman" w:cs="Times New Roman"/>
          <w:color w:val="000000" w:themeColor="text1"/>
        </w:rPr>
        <w:t>12</w:t>
      </w:r>
      <w:r w:rsidRPr="006F238E">
        <w:rPr>
          <w:rFonts w:ascii="Times New Roman" w:hAnsi="Times New Roman" w:cs="Times New Roman"/>
          <w:color w:val="000000" w:themeColor="text1"/>
        </w:rPr>
        <w:t xml:space="preserve">, max = </w:t>
      </w:r>
      <w:r w:rsidR="006F238E">
        <w:rPr>
          <w:rFonts w:ascii="Times New Roman" w:hAnsi="Times New Roman" w:cs="Times New Roman"/>
          <w:color w:val="000000" w:themeColor="text1"/>
        </w:rPr>
        <w:t>51</w:t>
      </w:r>
      <w:r w:rsidRPr="006F238E">
        <w:rPr>
          <w:rFonts w:ascii="Times New Roman" w:hAnsi="Times New Roman" w:cs="Times New Roman"/>
          <w:color w:val="000000" w:themeColor="text1"/>
        </w:rPr>
        <w:t xml:space="preserve">); a total of </w:t>
      </w:r>
      <w:r w:rsidR="006F238E">
        <w:rPr>
          <w:rFonts w:ascii="Times New Roman" w:hAnsi="Times New Roman" w:cs="Times New Roman"/>
          <w:color w:val="000000" w:themeColor="text1"/>
        </w:rPr>
        <w:t>460</w:t>
      </w:r>
      <w:r w:rsidRPr="006F238E">
        <w:rPr>
          <w:rFonts w:ascii="Times New Roman" w:hAnsi="Times New Roman" w:cs="Times New Roman"/>
          <w:color w:val="000000" w:themeColor="text1"/>
        </w:rPr>
        <w:t xml:space="preserve"> unique SNVs were called across all samples affecting </w:t>
      </w:r>
      <w:r w:rsidR="006F238E">
        <w:rPr>
          <w:rFonts w:ascii="Times New Roman" w:hAnsi="Times New Roman" w:cs="Times New Roman"/>
          <w:color w:val="000000" w:themeColor="text1"/>
        </w:rPr>
        <w:t>436</w:t>
      </w:r>
      <w:r w:rsidRPr="006F238E">
        <w:rPr>
          <w:rFonts w:ascii="Times New Roman" w:hAnsi="Times New Roman" w:cs="Times New Roman"/>
          <w:color w:val="000000" w:themeColor="text1"/>
        </w:rPr>
        <w:t xml:space="preserve"> genes.  The genes affected were largely sample specific, however, there were a set of </w:t>
      </w:r>
      <w:r w:rsidR="006F238E">
        <w:rPr>
          <w:rFonts w:ascii="Times New Roman" w:hAnsi="Times New Roman" w:cs="Times New Roman"/>
          <w:color w:val="000000" w:themeColor="text1"/>
        </w:rPr>
        <w:t>38</w:t>
      </w:r>
      <w:r w:rsidRPr="006F238E">
        <w:rPr>
          <w:rFonts w:ascii="Times New Roman" w:hAnsi="Times New Roman" w:cs="Times New Roman"/>
          <w:color w:val="000000" w:themeColor="text1"/>
        </w:rPr>
        <w:t xml:space="preserve"> genes that were mutated in 2 or more samples across multiple cancer types (SUPPL FIG 15, Table </w:t>
      </w:r>
      <w:r w:rsidR="008F3AB9">
        <w:rPr>
          <w:rFonts w:ascii="Times New Roman" w:hAnsi="Times New Roman" w:cs="Times New Roman"/>
          <w:color w:val="000000" w:themeColor="text1"/>
        </w:rPr>
        <w:t>S7</w:t>
      </w:r>
      <w:r w:rsidRPr="006F238E">
        <w:rPr>
          <w:rFonts w:ascii="Times New Roman" w:hAnsi="Times New Roman" w:cs="Times New Roman"/>
          <w:color w:val="000000" w:themeColor="text1"/>
        </w:rPr>
        <w:t xml:space="preserve">).  </w:t>
      </w:r>
    </w:p>
    <w:p w14:paraId="75EAED24" w14:textId="7A57C0EB" w:rsidR="00D21825" w:rsidRPr="006F238E" w:rsidRDefault="00D21825" w:rsidP="00D21825">
      <w:pPr>
        <w:spacing w:line="360" w:lineRule="auto"/>
        <w:jc w:val="both"/>
        <w:rPr>
          <w:rFonts w:ascii="Times New Roman" w:hAnsi="Times New Roman" w:cs="Times New Roman"/>
          <w:color w:val="000000" w:themeColor="text1"/>
        </w:rPr>
      </w:pPr>
      <w:r w:rsidRPr="006F238E">
        <w:rPr>
          <w:rFonts w:ascii="Times New Roman" w:hAnsi="Times New Roman" w:cs="Times New Roman"/>
          <w:color w:val="000000" w:themeColor="text1"/>
        </w:rPr>
        <w:tab/>
        <w:t>We also identified clinically reportable variants in 3 samples using VIC – an informatic tool specifically designed to identify clinically significant and actionable variants for molecular geneticists and pathologists.  P01-015-T-1 (FHC) contained a missense variant in MAP2K1 (OMIM: 176872).  P10-019 had 2 clinically significant variants – a missense variant in SMAD4 (OMIM:</w:t>
      </w:r>
      <w:r w:rsidRPr="006F238E">
        <w:rPr>
          <w:rFonts w:ascii="Times New Roman" w:hAnsi="Times New Roman" w:cs="Times New Roman"/>
        </w:rPr>
        <w:t xml:space="preserve"> </w:t>
      </w:r>
      <w:r w:rsidRPr="006F238E">
        <w:rPr>
          <w:rFonts w:ascii="Times New Roman" w:hAnsi="Times New Roman" w:cs="Times New Roman"/>
          <w:color w:val="000000" w:themeColor="text1"/>
        </w:rPr>
        <w:t>600993) and a missense variant in RB (OMIM: 614041).</w:t>
      </w:r>
    </w:p>
    <w:p w14:paraId="1390E48B" w14:textId="389C7500" w:rsidR="00D21825" w:rsidRPr="006F238E" w:rsidRDefault="00D21825" w:rsidP="00D21825">
      <w:pPr>
        <w:spacing w:line="360" w:lineRule="auto"/>
        <w:jc w:val="both"/>
        <w:rPr>
          <w:rFonts w:ascii="Times New Roman" w:hAnsi="Times New Roman" w:cs="Times New Roman"/>
          <w:color w:val="000000" w:themeColor="text1"/>
        </w:rPr>
      </w:pPr>
    </w:p>
    <w:p w14:paraId="1424BFDD" w14:textId="77777777" w:rsidR="00D21825" w:rsidRPr="006F238E" w:rsidRDefault="00D21825" w:rsidP="00D21825">
      <w:pPr>
        <w:spacing w:line="360" w:lineRule="auto"/>
        <w:jc w:val="both"/>
        <w:rPr>
          <w:rFonts w:ascii="Times New Roman" w:hAnsi="Times New Roman" w:cs="Times New Roman"/>
          <w:b/>
          <w:color w:val="000000" w:themeColor="text1"/>
        </w:rPr>
      </w:pPr>
      <w:r w:rsidRPr="006F238E">
        <w:rPr>
          <w:rFonts w:ascii="Times New Roman" w:hAnsi="Times New Roman" w:cs="Times New Roman"/>
          <w:b/>
          <w:color w:val="000000" w:themeColor="text1"/>
        </w:rPr>
        <w:t>Somatic Single Nucleotide Variants in cfDNA</w:t>
      </w:r>
    </w:p>
    <w:p w14:paraId="60E13330" w14:textId="48713CD2" w:rsidR="00D21825" w:rsidRPr="006F238E" w:rsidRDefault="00D21825" w:rsidP="00D21825">
      <w:pPr>
        <w:spacing w:line="360" w:lineRule="auto"/>
        <w:jc w:val="both"/>
        <w:rPr>
          <w:rFonts w:ascii="Times New Roman" w:hAnsi="Times New Roman" w:cs="Times New Roman"/>
          <w:color w:val="000000" w:themeColor="text1"/>
        </w:rPr>
      </w:pPr>
      <w:r w:rsidRPr="006F238E">
        <w:rPr>
          <w:rFonts w:ascii="Times New Roman" w:hAnsi="Times New Roman" w:cs="Times New Roman"/>
          <w:color w:val="000000" w:themeColor="text1"/>
        </w:rPr>
        <w:tab/>
        <w:t>Next, we analyzed patient-specific somatic mutations in cfDNA.  We performed SNV calling on 1</w:t>
      </w:r>
      <w:r w:rsidR="002B7C01">
        <w:rPr>
          <w:rFonts w:ascii="Times New Roman" w:hAnsi="Times New Roman" w:cs="Times New Roman"/>
          <w:color w:val="000000" w:themeColor="text1"/>
        </w:rPr>
        <w:t>5</w:t>
      </w:r>
      <w:r w:rsidRPr="006F238E">
        <w:rPr>
          <w:rFonts w:ascii="Times New Roman" w:hAnsi="Times New Roman" w:cs="Times New Roman"/>
          <w:color w:val="000000" w:themeColor="text1"/>
        </w:rPr>
        <w:t xml:space="preserve"> cfDNA samples with patient-matched somatic variant calls in tissue.  We then cross referenced the variant calls in cfDNA against all somatic calls in tissue to determine the number of somatic </w:t>
      </w:r>
      <w:proofErr w:type="gramStart"/>
      <w:r w:rsidRPr="006F238E">
        <w:rPr>
          <w:rFonts w:ascii="Times New Roman" w:hAnsi="Times New Roman" w:cs="Times New Roman"/>
          <w:color w:val="000000" w:themeColor="text1"/>
        </w:rPr>
        <w:t>tissue</w:t>
      </w:r>
      <w:proofErr w:type="gramEnd"/>
      <w:r w:rsidRPr="006F238E">
        <w:rPr>
          <w:rFonts w:ascii="Times New Roman" w:hAnsi="Times New Roman" w:cs="Times New Roman"/>
          <w:color w:val="000000" w:themeColor="text1"/>
        </w:rPr>
        <w:t xml:space="preserve"> SNVs also observed in cfDNA.  The </w:t>
      </w:r>
      <w:r w:rsidR="001A0062">
        <w:rPr>
          <w:rFonts w:ascii="Times New Roman" w:hAnsi="Times New Roman" w:cs="Times New Roman"/>
          <w:color w:val="000000" w:themeColor="text1"/>
        </w:rPr>
        <w:t>number of overlapping</w:t>
      </w:r>
      <w:r w:rsidRPr="006F238E">
        <w:rPr>
          <w:rFonts w:ascii="Times New Roman" w:hAnsi="Times New Roman" w:cs="Times New Roman"/>
          <w:color w:val="000000" w:themeColor="text1"/>
        </w:rPr>
        <w:t xml:space="preserve"> SNV</w:t>
      </w:r>
      <w:r w:rsidR="001A0062">
        <w:rPr>
          <w:rFonts w:ascii="Times New Roman" w:hAnsi="Times New Roman" w:cs="Times New Roman"/>
          <w:color w:val="000000" w:themeColor="text1"/>
        </w:rPr>
        <w:t xml:space="preserve">s was very low; </w:t>
      </w:r>
      <w:r w:rsidR="002B7C01">
        <w:rPr>
          <w:rFonts w:ascii="Times New Roman" w:hAnsi="Times New Roman" w:cs="Times New Roman"/>
          <w:color w:val="000000" w:themeColor="text1"/>
        </w:rPr>
        <w:t>1</w:t>
      </w:r>
      <w:r w:rsidR="001A0062">
        <w:rPr>
          <w:rFonts w:ascii="Times New Roman" w:hAnsi="Times New Roman" w:cs="Times New Roman"/>
          <w:color w:val="000000" w:themeColor="text1"/>
        </w:rPr>
        <w:t>/1</w:t>
      </w:r>
      <w:r w:rsidR="002B7C01">
        <w:rPr>
          <w:rFonts w:ascii="Times New Roman" w:hAnsi="Times New Roman" w:cs="Times New Roman"/>
          <w:color w:val="000000" w:themeColor="text1"/>
        </w:rPr>
        <w:t>5</w:t>
      </w:r>
      <w:r w:rsidR="001A0062">
        <w:rPr>
          <w:rFonts w:ascii="Times New Roman" w:hAnsi="Times New Roman" w:cs="Times New Roman"/>
          <w:color w:val="000000" w:themeColor="text1"/>
        </w:rPr>
        <w:t xml:space="preserve"> samples had no overlapping SNVs.  Four samples contained at least 1 overlapping SNV – P01-022 (N = 1), P01-21 (N = 1), P01-037 (N = 2), and P0-24 (N = 1), </w:t>
      </w:r>
      <w:r w:rsidR="001A0062" w:rsidRPr="006F238E">
        <w:rPr>
          <w:rFonts w:ascii="Times New Roman" w:hAnsi="Times New Roman" w:cs="Times New Roman"/>
          <w:color w:val="000000" w:themeColor="text1"/>
        </w:rPr>
        <w:t>(</w:t>
      </w:r>
      <w:r w:rsidR="005A7773">
        <w:rPr>
          <w:rFonts w:ascii="Times New Roman" w:hAnsi="Times New Roman" w:cs="Times New Roman"/>
          <w:color w:val="000000" w:themeColor="text1"/>
        </w:rPr>
        <w:t>SUPPL FIG 16</w:t>
      </w:r>
      <w:r w:rsidR="001A0062" w:rsidRPr="006F238E">
        <w:rPr>
          <w:rFonts w:ascii="Times New Roman" w:hAnsi="Times New Roman" w:cs="Times New Roman"/>
          <w:color w:val="000000" w:themeColor="text1"/>
        </w:rPr>
        <w:t xml:space="preserve">, Table </w:t>
      </w:r>
      <w:r w:rsidR="008F3AB9">
        <w:rPr>
          <w:rFonts w:ascii="Times New Roman" w:hAnsi="Times New Roman" w:cs="Times New Roman"/>
          <w:color w:val="000000" w:themeColor="text1"/>
        </w:rPr>
        <w:t>S8</w:t>
      </w:r>
      <w:r w:rsidR="001A0062" w:rsidRPr="006F238E">
        <w:rPr>
          <w:rFonts w:ascii="Times New Roman" w:hAnsi="Times New Roman" w:cs="Times New Roman"/>
          <w:color w:val="000000" w:themeColor="text1"/>
        </w:rPr>
        <w:t>)</w:t>
      </w:r>
      <w:r w:rsidR="001A0062">
        <w:rPr>
          <w:rFonts w:ascii="Times New Roman" w:hAnsi="Times New Roman" w:cs="Times New Roman"/>
          <w:color w:val="000000" w:themeColor="text1"/>
        </w:rPr>
        <w:t>.  Taken together, these results</w:t>
      </w:r>
      <w:r w:rsidRPr="006F238E">
        <w:rPr>
          <w:rFonts w:ascii="Times New Roman" w:hAnsi="Times New Roman" w:cs="Times New Roman"/>
          <w:color w:val="000000" w:themeColor="text1"/>
        </w:rPr>
        <w:t xml:space="preserve"> indicat</w:t>
      </w:r>
      <w:r w:rsidR="001A0062">
        <w:rPr>
          <w:rFonts w:ascii="Times New Roman" w:hAnsi="Times New Roman" w:cs="Times New Roman"/>
          <w:color w:val="000000" w:themeColor="text1"/>
        </w:rPr>
        <w:t>e</w:t>
      </w:r>
      <w:r w:rsidRPr="006F238E">
        <w:rPr>
          <w:rFonts w:ascii="Times New Roman" w:hAnsi="Times New Roman" w:cs="Times New Roman"/>
          <w:color w:val="000000" w:themeColor="text1"/>
        </w:rPr>
        <w:t xml:space="preserve"> a very low detection of tumor signal in cfDNA using SNVs.  </w:t>
      </w:r>
      <w:r w:rsidRPr="006F238E">
        <w:rPr>
          <w:rFonts w:ascii="Times New Roman" w:hAnsi="Times New Roman" w:cs="Times New Roman"/>
          <w:bCs/>
          <w:color w:val="000000" w:themeColor="text1"/>
        </w:rPr>
        <w:t>Overall, this analysis revealed that the cfDNA methylation is also more sensitive than detecting SNVs in plasma.</w:t>
      </w:r>
    </w:p>
    <w:p w14:paraId="654145EF" w14:textId="77777777" w:rsidR="00D21825" w:rsidRPr="006F238E" w:rsidRDefault="00D21825" w:rsidP="00D21825">
      <w:pPr>
        <w:spacing w:line="360" w:lineRule="auto"/>
        <w:jc w:val="both"/>
        <w:rPr>
          <w:rFonts w:ascii="Times New Roman" w:hAnsi="Times New Roman" w:cs="Times New Roman"/>
          <w:color w:val="000000" w:themeColor="text1"/>
        </w:rPr>
      </w:pPr>
    </w:p>
    <w:p w14:paraId="73084BFD" w14:textId="77777777" w:rsidR="00D21825" w:rsidRPr="006F238E" w:rsidRDefault="00D21825">
      <w:pPr>
        <w:rPr>
          <w:rFonts w:ascii="Times New Roman" w:hAnsi="Times New Roman" w:cs="Times New Roman"/>
        </w:rPr>
      </w:pPr>
    </w:p>
    <w:p w14:paraId="6EEF2925" w14:textId="2EDA53FE" w:rsidR="00D21825" w:rsidRPr="006F238E" w:rsidRDefault="006F238E">
      <w:pPr>
        <w:rPr>
          <w:rFonts w:ascii="Times New Roman" w:hAnsi="Times New Roman" w:cs="Times New Roman"/>
          <w:b/>
          <w:bCs/>
        </w:rPr>
      </w:pPr>
      <w:r w:rsidRPr="006F238E">
        <w:rPr>
          <w:rFonts w:ascii="Times New Roman" w:hAnsi="Times New Roman" w:cs="Times New Roman"/>
          <w:b/>
          <w:bCs/>
        </w:rPr>
        <w:t>REFERENCES</w:t>
      </w:r>
    </w:p>
    <w:p w14:paraId="628AEA72" w14:textId="77777777" w:rsidR="006F238E" w:rsidRPr="006F238E" w:rsidRDefault="006F238E">
      <w:pPr>
        <w:rPr>
          <w:rFonts w:ascii="Times New Roman" w:hAnsi="Times New Roman" w:cs="Times New Roman"/>
        </w:rPr>
      </w:pPr>
    </w:p>
    <w:p w14:paraId="0685971C" w14:textId="77777777" w:rsidR="00950B19" w:rsidRPr="00950B19" w:rsidRDefault="00D21825" w:rsidP="00950B19">
      <w:pPr>
        <w:pStyle w:val="EndNoteBibliography"/>
        <w:rPr>
          <w:noProof/>
        </w:rPr>
      </w:pPr>
      <w:r w:rsidRPr="006F238E">
        <w:rPr>
          <w:rFonts w:ascii="Times New Roman" w:hAnsi="Times New Roman" w:cs="Times New Roman"/>
        </w:rPr>
        <w:lastRenderedPageBreak/>
        <w:fldChar w:fldCharType="begin"/>
      </w:r>
      <w:r w:rsidRPr="006F238E">
        <w:rPr>
          <w:rFonts w:ascii="Times New Roman" w:hAnsi="Times New Roman" w:cs="Times New Roman"/>
        </w:rPr>
        <w:instrText xml:space="preserve"> ADDIN EN.REFLIST </w:instrText>
      </w:r>
      <w:r w:rsidRPr="006F238E">
        <w:rPr>
          <w:rFonts w:ascii="Times New Roman" w:hAnsi="Times New Roman" w:cs="Times New Roman"/>
        </w:rPr>
        <w:fldChar w:fldCharType="separate"/>
      </w:r>
      <w:r w:rsidR="00950B19" w:rsidRPr="00950B19">
        <w:rPr>
          <w:noProof/>
        </w:rPr>
        <w:t>1.</w:t>
      </w:r>
      <w:r w:rsidR="00950B19" w:rsidRPr="00950B19">
        <w:rPr>
          <w:noProof/>
        </w:rPr>
        <w:tab/>
        <w:t>McLaren W, Gil L, Hunt SE, Riat HS, Ritchie GR, Thormann A, et al. The Ensembl Variant Effect Predictor. Genome Biol. 2016;17(1):122.</w:t>
      </w:r>
    </w:p>
    <w:p w14:paraId="0A03A22B" w14:textId="0E2397DC" w:rsidR="00FA328E" w:rsidRPr="006F238E" w:rsidRDefault="00D21825">
      <w:pPr>
        <w:rPr>
          <w:rFonts w:ascii="Times New Roman" w:hAnsi="Times New Roman" w:cs="Times New Roman"/>
        </w:rPr>
      </w:pPr>
      <w:r w:rsidRPr="006F238E">
        <w:rPr>
          <w:rFonts w:ascii="Times New Roman" w:hAnsi="Times New Roman" w:cs="Times New Roman"/>
        </w:rPr>
        <w:fldChar w:fldCharType="end"/>
      </w:r>
    </w:p>
    <w:sectPr w:rsidR="00FA328E" w:rsidRPr="006F23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F3443B"/>
    <w:multiLevelType w:val="hybridMultilevel"/>
    <w:tmpl w:val="87B6E2DE"/>
    <w:lvl w:ilvl="0" w:tplc="6F9E68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10894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D21825"/>
    <w:rsid w:val="00032DED"/>
    <w:rsid w:val="00062003"/>
    <w:rsid w:val="00125F7B"/>
    <w:rsid w:val="0013296A"/>
    <w:rsid w:val="00136ACE"/>
    <w:rsid w:val="001A0062"/>
    <w:rsid w:val="002B04F7"/>
    <w:rsid w:val="002B7C01"/>
    <w:rsid w:val="002F430C"/>
    <w:rsid w:val="00342CF5"/>
    <w:rsid w:val="0036243E"/>
    <w:rsid w:val="00396E6C"/>
    <w:rsid w:val="003C7A20"/>
    <w:rsid w:val="00417B6A"/>
    <w:rsid w:val="00470F9A"/>
    <w:rsid w:val="00476DF1"/>
    <w:rsid w:val="0048102F"/>
    <w:rsid w:val="00491158"/>
    <w:rsid w:val="004F6B00"/>
    <w:rsid w:val="00534FB1"/>
    <w:rsid w:val="0056315C"/>
    <w:rsid w:val="00581167"/>
    <w:rsid w:val="005A7773"/>
    <w:rsid w:val="00622CB1"/>
    <w:rsid w:val="00687229"/>
    <w:rsid w:val="006F238E"/>
    <w:rsid w:val="006F6410"/>
    <w:rsid w:val="0073227A"/>
    <w:rsid w:val="007661D6"/>
    <w:rsid w:val="00767953"/>
    <w:rsid w:val="00834396"/>
    <w:rsid w:val="00871238"/>
    <w:rsid w:val="0088457D"/>
    <w:rsid w:val="008D3664"/>
    <w:rsid w:val="008F3AB9"/>
    <w:rsid w:val="008F74D0"/>
    <w:rsid w:val="00950B19"/>
    <w:rsid w:val="009522F7"/>
    <w:rsid w:val="00A352F6"/>
    <w:rsid w:val="00A905D8"/>
    <w:rsid w:val="00AB71BA"/>
    <w:rsid w:val="00AE6279"/>
    <w:rsid w:val="00B427F5"/>
    <w:rsid w:val="00B64750"/>
    <w:rsid w:val="00B84894"/>
    <w:rsid w:val="00BB243B"/>
    <w:rsid w:val="00C25002"/>
    <w:rsid w:val="00CB4FE3"/>
    <w:rsid w:val="00CD5C63"/>
    <w:rsid w:val="00D05105"/>
    <w:rsid w:val="00D16952"/>
    <w:rsid w:val="00D21825"/>
    <w:rsid w:val="00D317E0"/>
    <w:rsid w:val="00DF658D"/>
    <w:rsid w:val="00E40487"/>
    <w:rsid w:val="00E41C21"/>
    <w:rsid w:val="00E44C06"/>
    <w:rsid w:val="00E75AF4"/>
    <w:rsid w:val="00E86BA3"/>
    <w:rsid w:val="00EB2C1F"/>
    <w:rsid w:val="00F35848"/>
    <w:rsid w:val="00F613D1"/>
    <w:rsid w:val="00F71CD7"/>
    <w:rsid w:val="00FA3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67A5BB"/>
  <w15:chartTrackingRefBased/>
  <w15:docId w15:val="{DA75C3EA-BAD5-2543-A13C-A6E4BEAF9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8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1825"/>
    <w:rPr>
      <w:color w:val="0000FF"/>
      <w:u w:val="single"/>
    </w:rPr>
  </w:style>
  <w:style w:type="paragraph" w:customStyle="1" w:styleId="EndNoteBibliographyTitle">
    <w:name w:val="EndNote Bibliography Title"/>
    <w:basedOn w:val="Normal"/>
    <w:link w:val="EndNoteBibliographyTitleChar"/>
    <w:rsid w:val="00D21825"/>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D21825"/>
    <w:rPr>
      <w:rFonts w:ascii="Calibri" w:hAnsi="Calibri" w:cs="Calibri"/>
    </w:rPr>
  </w:style>
  <w:style w:type="paragraph" w:customStyle="1" w:styleId="EndNoteBibliography">
    <w:name w:val="EndNote Bibliography"/>
    <w:basedOn w:val="Normal"/>
    <w:link w:val="EndNoteBibliographyChar"/>
    <w:rsid w:val="00D21825"/>
    <w:rPr>
      <w:rFonts w:ascii="Calibri" w:hAnsi="Calibri" w:cs="Calibri"/>
    </w:rPr>
  </w:style>
  <w:style w:type="character" w:customStyle="1" w:styleId="EndNoteBibliographyChar">
    <w:name w:val="EndNote Bibliography Char"/>
    <w:basedOn w:val="DefaultParagraphFont"/>
    <w:link w:val="EndNoteBibliography"/>
    <w:rsid w:val="00D21825"/>
    <w:rPr>
      <w:rFonts w:ascii="Calibri" w:hAnsi="Calibri" w:cs="Calibri"/>
    </w:rPr>
  </w:style>
  <w:style w:type="paragraph" w:styleId="ListParagraph">
    <w:name w:val="List Paragraph"/>
    <w:basedOn w:val="Normal"/>
    <w:uiPriority w:val="34"/>
    <w:qFormat/>
    <w:rsid w:val="00DF65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ithubcom/zwdzwd/biscui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656</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Buckley</dc:creator>
  <cp:keywords/>
  <dc:description/>
  <cp:lastModifiedBy>David Buckley</cp:lastModifiedBy>
  <cp:revision>10</cp:revision>
  <dcterms:created xsi:type="dcterms:W3CDTF">2023-02-03T19:51:00Z</dcterms:created>
  <dcterms:modified xsi:type="dcterms:W3CDTF">2023-02-28T20:37:00Z</dcterms:modified>
</cp:coreProperties>
</file>