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84001" w14:textId="77777777" w:rsidR="00BE466F" w:rsidRDefault="00BE466F" w:rsidP="00BE466F">
      <w:pPr>
        <w:pStyle w:val="Heading1"/>
        <w:pageBreakBefore/>
        <w:widowControl w:val="0"/>
        <w:adjustRightInd w:val="0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Graphic Abstract</w:t>
      </w:r>
    </w:p>
    <w:p w14:paraId="132C2981" w14:textId="77777777" w:rsidR="00BE466F" w:rsidRDefault="00BE466F" w:rsidP="00BE466F">
      <w:pPr>
        <w:adjustRightInd w:val="0"/>
        <w:snapToGrid w:val="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  <w:lang w:eastAsia="en-US"/>
        </w:rPr>
        <w:t>Zinc Oxide Nanoparticles (</w:t>
      </w:r>
      <w:proofErr w:type="spellStart"/>
      <w:r>
        <w:rPr>
          <w:b/>
          <w:bCs/>
          <w:sz w:val="28"/>
          <w:szCs w:val="28"/>
          <w:lang w:eastAsia="en-US"/>
        </w:rPr>
        <w:t>ZnO</w:t>
      </w:r>
      <w:proofErr w:type="spellEnd"/>
      <w:r>
        <w:rPr>
          <w:b/>
          <w:bCs/>
          <w:sz w:val="28"/>
          <w:szCs w:val="28"/>
          <w:lang w:eastAsia="en-US"/>
        </w:rPr>
        <w:t xml:space="preserve"> NPs) Treated Two Types of Osteosarcoma Cell Lines for Identifying Differentially Expressed Genes</w:t>
      </w:r>
    </w:p>
    <w:p w14:paraId="2040E3C0" w14:textId="77777777" w:rsidR="00BE466F" w:rsidRDefault="00BE466F" w:rsidP="00BE466F">
      <w:pPr>
        <w:adjustRightInd w:val="0"/>
        <w:snapToGrid w:val="0"/>
        <w:jc w:val="center"/>
        <w:rPr>
          <w:sz w:val="21"/>
          <w:szCs w:val="21"/>
          <w:vertAlign w:val="superscript"/>
        </w:rPr>
      </w:pPr>
      <w:proofErr w:type="spellStart"/>
      <w:r>
        <w:rPr>
          <w:sz w:val="21"/>
          <w:szCs w:val="21"/>
        </w:rPr>
        <w:t>Xiangfei</w:t>
      </w:r>
      <w:proofErr w:type="spellEnd"/>
      <w:r>
        <w:rPr>
          <w:sz w:val="21"/>
          <w:szCs w:val="21"/>
        </w:rPr>
        <w:t xml:space="preserve"> Guo, </w:t>
      </w:r>
      <w:proofErr w:type="spellStart"/>
      <w:r>
        <w:rPr>
          <w:sz w:val="21"/>
          <w:szCs w:val="21"/>
        </w:rPr>
        <w:t>Linbang</w:t>
      </w:r>
      <w:proofErr w:type="spellEnd"/>
      <w:r>
        <w:rPr>
          <w:sz w:val="21"/>
          <w:szCs w:val="21"/>
        </w:rPr>
        <w:t xml:space="preserve"> Wang, </w:t>
      </w:r>
      <w:proofErr w:type="spellStart"/>
      <w:r>
        <w:rPr>
          <w:sz w:val="21"/>
          <w:szCs w:val="21"/>
        </w:rPr>
        <w:t>Honghao</w:t>
      </w:r>
      <w:proofErr w:type="spellEnd"/>
      <w:r>
        <w:rPr>
          <w:sz w:val="21"/>
          <w:szCs w:val="21"/>
        </w:rPr>
        <w:t xml:space="preserve"> Yang, </w:t>
      </w:r>
      <w:proofErr w:type="spellStart"/>
      <w:r>
        <w:rPr>
          <w:sz w:val="21"/>
          <w:szCs w:val="21"/>
        </w:rPr>
        <w:t>Guanping</w:t>
      </w:r>
      <w:proofErr w:type="spellEnd"/>
      <w:r>
        <w:rPr>
          <w:sz w:val="21"/>
          <w:szCs w:val="21"/>
        </w:rPr>
        <w:t xml:space="preserve"> He</w:t>
      </w:r>
    </w:p>
    <w:p w14:paraId="746E04D4" w14:textId="77777777" w:rsidR="00BE466F" w:rsidRDefault="00BE466F" w:rsidP="00BE466F">
      <w:pPr>
        <w:adjustRightInd w:val="0"/>
        <w:snapToGrid w:val="0"/>
        <w:jc w:val="center"/>
        <w:rPr>
          <w:rFonts w:eastAsia="Helvetica-AME"/>
          <w:b/>
          <w:kern w:val="0"/>
          <w:sz w:val="32"/>
          <w:szCs w:val="32"/>
        </w:rPr>
      </w:pPr>
      <w:r>
        <w:rPr>
          <w:noProof/>
        </w:rPr>
        <w:drawing>
          <wp:inline distT="0" distB="0" distL="114300" distR="114300" wp14:anchorId="3D6ABC6C" wp14:editId="42CB445D">
            <wp:extent cx="5039995" cy="2213610"/>
            <wp:effectExtent l="0" t="0" r="8255" b="15240"/>
            <wp:docPr id="21" name="图片 1" descr="A diagram of a dna analysi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 descr="A diagram of a dna analysi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21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C2F2E" w14:textId="77777777" w:rsidR="00BE466F" w:rsidRDefault="00BE466F" w:rsidP="00BE466F">
      <w:pPr>
        <w:adjustRightInd w:val="0"/>
        <w:snapToGrid w:val="0"/>
        <w:rPr>
          <w:kern w:val="0"/>
        </w:rPr>
      </w:pPr>
      <w:r>
        <w:rPr>
          <w:rFonts w:eastAsia="SimSun"/>
        </w:rPr>
        <w:t xml:space="preserve">In this study, we use RNA-seq analysis to deeply investigate the potential biological mechanism in the process of </w:t>
      </w:r>
      <w:proofErr w:type="spellStart"/>
      <w:r>
        <w:rPr>
          <w:rFonts w:eastAsia="SimSun"/>
        </w:rPr>
        <w:t>ZnO</w:t>
      </w:r>
      <w:proofErr w:type="spellEnd"/>
      <w:r>
        <w:rPr>
          <w:rFonts w:eastAsia="SimSun"/>
        </w:rPr>
        <w:t xml:space="preserve"> NPs-treated different types of OS cell lines. We detected </w:t>
      </w:r>
      <w:proofErr w:type="gramStart"/>
      <w:r>
        <w:rPr>
          <w:rFonts w:eastAsia="SimSun"/>
        </w:rPr>
        <w:t>that 928 genes (DEGs)</w:t>
      </w:r>
      <w:proofErr w:type="gramEnd"/>
      <w:r>
        <w:rPr>
          <w:rFonts w:eastAsia="SimSun"/>
        </w:rPr>
        <w:t xml:space="preserve"> differentially expressed both in 143B and MG-63 cells, and</w:t>
      </w:r>
      <w:r>
        <w:t xml:space="preserve"> </w:t>
      </w:r>
      <w:r>
        <w:rPr>
          <w:rFonts w:eastAsia="SimSun"/>
        </w:rPr>
        <w:t>we validated the top eight DEGs using RT-qPCR. Kyoto Encyclopedia of Genes and Genomes (KEGG) classification analysis found that the MAPK, Toll-like receptor and NF-</w:t>
      </w:r>
      <w:proofErr w:type="spellStart"/>
      <w:r>
        <w:rPr>
          <w:rFonts w:eastAsia="SimSun"/>
        </w:rPr>
        <w:t>κB</w:t>
      </w:r>
      <w:proofErr w:type="spellEnd"/>
      <w:r>
        <w:rPr>
          <w:rFonts w:eastAsia="SimSun"/>
        </w:rPr>
        <w:t xml:space="preserve"> pathways were co-enriched in both OS cell lines. The Protein-protein Interaction (PPI) analysis identified HMOX1, MAFB, CXCL10, and CXCL11 as key players involved in various biological events in OS cells following </w:t>
      </w:r>
      <w:proofErr w:type="spellStart"/>
      <w:r>
        <w:rPr>
          <w:rFonts w:eastAsia="SimSun"/>
        </w:rPr>
        <w:t>ZnO</w:t>
      </w:r>
      <w:proofErr w:type="spellEnd"/>
      <w:r>
        <w:rPr>
          <w:rFonts w:eastAsia="SimSun"/>
        </w:rPr>
        <w:t xml:space="preserve"> NPs treatment. Our findings provide insights into the potential antitumor mechanisms and exploitable biological effects arising from </w:t>
      </w:r>
      <w:proofErr w:type="spellStart"/>
      <w:r>
        <w:rPr>
          <w:rFonts w:eastAsia="SimSun"/>
        </w:rPr>
        <w:t>ZnO</w:t>
      </w:r>
      <w:proofErr w:type="spellEnd"/>
      <w:r>
        <w:rPr>
          <w:rFonts w:eastAsia="SimSun"/>
        </w:rPr>
        <w:t xml:space="preserve"> NPs treatment in OS.</w:t>
      </w:r>
    </w:p>
    <w:p w14:paraId="7CFAAC25" w14:textId="77777777" w:rsidR="001777A1" w:rsidRDefault="001777A1"/>
    <w:sectPr w:rsidR="001777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-AME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6F"/>
    <w:rsid w:val="001777A1"/>
    <w:rsid w:val="00BE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C0F51"/>
  <w15:chartTrackingRefBased/>
  <w15:docId w15:val="{6E794F2A-0790-4A18-8BEA-3D5E2272E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66F"/>
    <w:pPr>
      <w:widowControl w:val="0"/>
      <w:spacing w:after="0" w:line="480" w:lineRule="auto"/>
      <w:jc w:val="both"/>
    </w:pPr>
    <w:rPr>
      <w:rFonts w:ascii="Times New Roman" w:eastAsiaTheme="minorEastAsia" w:hAnsi="Times New Roman" w:cs="Times New Roman"/>
      <w:sz w:val="24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466F"/>
    <w:pPr>
      <w:widowControl/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66F"/>
    <w:rPr>
      <w:rFonts w:ascii="SimSun" w:eastAsia="SimSun" w:hAnsi="SimSun" w:cs="SimSun"/>
      <w:b/>
      <w:bCs/>
      <w:kern w:val="36"/>
      <w:sz w:val="48"/>
      <w:szCs w:val="48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2023-09-13T16:18:00Z</dcterms:created>
  <dcterms:modified xsi:type="dcterms:W3CDTF">2023-09-13T16:18:00Z</dcterms:modified>
</cp:coreProperties>
</file>