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Supplyment Fig.1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</w:t>
      </w:r>
    </w:p>
    <w:p>
      <w:p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drawing>
          <wp:inline distT="0" distB="0" distL="114300" distR="114300">
            <wp:extent cx="2782570" cy="3850005"/>
            <wp:effectExtent l="0" t="0" r="6350" b="5715"/>
            <wp:docPr id="1" name="图片 1" descr="S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Fig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82570" cy="385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Rus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was synthesized and analyzed by HPLC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in I/R injury.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)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The standard of Rus. B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)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Rus in blood. C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) 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Rus in brain.</w:t>
      </w:r>
    </w:p>
    <w:p>
      <w:pPr>
        <w:jc w:val="center"/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8"/>
          <w:szCs w:val="18"/>
          <w:lang w:val="en-US" w:eastAsia="zh-CN"/>
        </w:rPr>
        <w:t>Supplyment Fig.2</w:t>
      </w: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</w:t>
      </w:r>
    </w:p>
    <w:p>
      <w:p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drawing>
          <wp:inline distT="0" distB="0" distL="114300" distR="114300">
            <wp:extent cx="3783965" cy="3087370"/>
            <wp:effectExtent l="0" t="0" r="10795" b="6350"/>
            <wp:docPr id="2" name="图片 2" descr="S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Fig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83965" cy="308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18"/>
          <w:szCs w:val="18"/>
          <w:lang w:val="en-US" w:eastAsia="zh-CN"/>
        </w:rPr>
        <w:t>Effect of Rus/Edara on regional cerebral blood flow in mice with cerebral I/R. The representative images of cerebral blood flow of ipsilateral cortex in different groups. The magnitude of CBF is represented by different colors, with blue to red denoting low to high.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465618"/>
    <w:rsid w:val="17B77198"/>
    <w:rsid w:val="1D6A5B9D"/>
    <w:rsid w:val="4B4D7100"/>
    <w:rsid w:val="5A2A134C"/>
    <w:rsid w:val="734853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190</Words>
  <Characters>986</Characters>
  <Lines>0</Lines>
  <Paragraphs>0</Paragraphs>
  <TotalTime>20</TotalTime>
  <ScaleCrop>false</ScaleCrop>
  <LinksUpToDate>false</LinksUpToDate>
  <CharactersWithSpaces>1170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宫帅</cp:lastModifiedBy>
  <dcterms:modified xsi:type="dcterms:W3CDTF">2020-01-13T09:00:03Z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