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D10CB" w14:textId="06411333" w:rsidR="00ED543A" w:rsidRPr="006345C9" w:rsidRDefault="00234000" w:rsidP="006345C9">
      <w:pPr>
        <w:jc w:val="center"/>
        <w:rPr>
          <w:rFonts w:ascii="Times New Roman" w:hAnsi="Times New Roman" w:cs="Times New Roman"/>
          <w:b/>
          <w:bCs/>
          <w:sz w:val="24"/>
          <w:szCs w:val="24"/>
        </w:rPr>
      </w:pPr>
      <w:r w:rsidRPr="006345C9">
        <w:rPr>
          <w:rFonts w:ascii="Times New Roman" w:hAnsi="Times New Roman" w:cs="Times New Roman"/>
          <w:b/>
          <w:bCs/>
          <w:sz w:val="24"/>
          <w:szCs w:val="24"/>
        </w:rPr>
        <w:t>Response to the HEB reviewers’ comments</w:t>
      </w:r>
    </w:p>
    <w:p w14:paraId="098A46F3" w14:textId="519D3788" w:rsidR="00234000" w:rsidRPr="0066564B" w:rsidRDefault="00234000">
      <w:pPr>
        <w:rPr>
          <w:rFonts w:ascii="Times New Roman" w:hAnsi="Times New Roman" w:cs="Times New Roman"/>
        </w:rPr>
      </w:pPr>
      <w:r w:rsidRPr="0066564B">
        <w:rPr>
          <w:rFonts w:ascii="Times New Roman" w:hAnsi="Times New Roman" w:cs="Times New Roman"/>
        </w:rPr>
        <w:t>Th</w:t>
      </w:r>
      <w:r w:rsidR="006345C9" w:rsidRPr="0066564B">
        <w:rPr>
          <w:rFonts w:ascii="Times New Roman" w:hAnsi="Times New Roman" w:cs="Times New Roman"/>
        </w:rPr>
        <w:t>is</w:t>
      </w:r>
      <w:r w:rsidRPr="0066564B">
        <w:rPr>
          <w:rFonts w:ascii="Times New Roman" w:hAnsi="Times New Roman" w:cs="Times New Roman"/>
        </w:rPr>
        <w:t xml:space="preserve"> manuscript was submitted to the </w:t>
      </w:r>
      <w:r w:rsidRPr="0066564B">
        <w:rPr>
          <w:rFonts w:ascii="Times New Roman" w:hAnsi="Times New Roman" w:cs="Times New Roman"/>
          <w:bCs/>
          <w:color w:val="000000"/>
        </w:rPr>
        <w:t>“Horticulture, Environment, and Biotechnology (</w:t>
      </w:r>
      <w:r w:rsidRPr="0066564B">
        <w:rPr>
          <w:rFonts w:ascii="Times New Roman" w:hAnsi="Times New Roman" w:cs="Times New Roman"/>
        </w:rPr>
        <w:t>HEB)</w:t>
      </w:r>
      <w:r w:rsidRPr="0066564B">
        <w:rPr>
          <w:rFonts w:ascii="Times New Roman" w:hAnsi="Times New Roman" w:cs="Times New Roman"/>
          <w:bCs/>
          <w:color w:val="000000"/>
        </w:rPr>
        <w:t>”</w:t>
      </w:r>
      <w:r w:rsidR="0082079D" w:rsidRPr="0066564B">
        <w:rPr>
          <w:rFonts w:ascii="Times New Roman" w:hAnsi="Times New Roman" w:cs="Times New Roman"/>
          <w:bCs/>
          <w:color w:val="000000"/>
        </w:rPr>
        <w:t xml:space="preserve"> on November 29</w:t>
      </w:r>
      <w:r w:rsidR="0082079D" w:rsidRPr="0066564B">
        <w:rPr>
          <w:rFonts w:ascii="Times New Roman" w:hAnsi="Times New Roman" w:cs="Times New Roman"/>
          <w:bCs/>
          <w:color w:val="000000"/>
          <w:vertAlign w:val="superscript"/>
        </w:rPr>
        <w:t>th</w:t>
      </w:r>
      <w:r w:rsidR="0082079D" w:rsidRPr="0066564B">
        <w:rPr>
          <w:rFonts w:ascii="Times New Roman" w:hAnsi="Times New Roman" w:cs="Times New Roman"/>
          <w:bCs/>
          <w:color w:val="000000"/>
        </w:rPr>
        <w:t>, 2022. The reviewers gave some comments which are addressed below.</w:t>
      </w:r>
    </w:p>
    <w:p w14:paraId="13CA9A13" w14:textId="5AA612A6" w:rsidR="00234000" w:rsidRPr="0066564B" w:rsidRDefault="00234000">
      <w:pPr>
        <w:rPr>
          <w:rFonts w:ascii="Times New Roman" w:hAnsi="Times New Roman" w:cs="Times New Roman"/>
        </w:rPr>
      </w:pPr>
      <w:r w:rsidRPr="0066564B">
        <w:rPr>
          <w:rFonts w:ascii="Times New Roman" w:hAnsi="Times New Roman" w:cs="Times New Roman"/>
        </w:rPr>
        <w:br/>
      </w:r>
      <w:r w:rsidRPr="0066564B">
        <w:rPr>
          <w:rFonts w:ascii="Times New Roman" w:hAnsi="Times New Roman" w:cs="Times New Roman"/>
          <w:i/>
          <w:iCs/>
        </w:rPr>
        <w:t>Reviewer #1:</w:t>
      </w:r>
      <w:r w:rsidRPr="0066564B">
        <w:rPr>
          <w:rFonts w:ascii="Times New Roman" w:hAnsi="Times New Roman" w:cs="Times New Roman"/>
        </w:rPr>
        <w:t xml:space="preserve"> The article, 'Characterization of yield and fruit quality parameters of Vietnamese elite tomato lines generated through phenotypic selection and conventional breeding methods', deals with developing and characterizing new elite lines in Vietnam by bulk breeding methods. The elite lines can be potentially parental lines to produce F1 cultivars adapted to Vietnam and other southeast Asian countries. The study is worth being published. However, there are no check or control varieties or cultivars in the experimental design. They </w:t>
      </w:r>
      <w:proofErr w:type="gramStart"/>
      <w:r w:rsidRPr="0066564B">
        <w:rPr>
          <w:rFonts w:ascii="Times New Roman" w:hAnsi="Times New Roman" w:cs="Times New Roman"/>
        </w:rPr>
        <w:t>have to</w:t>
      </w:r>
      <w:proofErr w:type="gramEnd"/>
      <w:r w:rsidRPr="0066564B">
        <w:rPr>
          <w:rFonts w:ascii="Times New Roman" w:hAnsi="Times New Roman" w:cs="Times New Roman"/>
        </w:rPr>
        <w:t xml:space="preserve"> be included when characterizing new elite lines or cultivars released. I suggest the authors to include check or control varieties or cultivars and resubmit the manuscript. The initial eight tomato accessions from World Vegetable Centers and/or cultivars or varieties popular in Vietnam would be good for the check and control.</w:t>
      </w:r>
      <w:r w:rsidRPr="0066564B">
        <w:rPr>
          <w:rFonts w:ascii="Times New Roman" w:hAnsi="Times New Roman" w:cs="Times New Roman"/>
        </w:rPr>
        <w:br/>
      </w:r>
      <w:r w:rsidRPr="0066564B">
        <w:rPr>
          <w:rFonts w:ascii="Times New Roman" w:hAnsi="Times New Roman" w:cs="Times New Roman"/>
        </w:rPr>
        <w:br/>
      </w:r>
      <w:r w:rsidRPr="0066564B">
        <w:rPr>
          <w:rFonts w:ascii="Times New Roman" w:hAnsi="Times New Roman" w:cs="Times New Roman"/>
          <w:i/>
          <w:iCs/>
        </w:rPr>
        <w:t>Reviewer #2:</w:t>
      </w:r>
      <w:r w:rsidRPr="0066564B">
        <w:rPr>
          <w:rFonts w:ascii="Times New Roman" w:hAnsi="Times New Roman" w:cs="Times New Roman"/>
        </w:rPr>
        <w:t xml:space="preserve"> In the manuscript of HEAB-D-22-00488, authors developed new elite tomato lines using a bulk population breeding method.  </w:t>
      </w:r>
      <w:proofErr w:type="gramStart"/>
      <w:r w:rsidRPr="0066564B">
        <w:rPr>
          <w:rFonts w:ascii="Times New Roman" w:hAnsi="Times New Roman" w:cs="Times New Roman"/>
        </w:rPr>
        <w:t>This lines</w:t>
      </w:r>
      <w:proofErr w:type="gramEnd"/>
      <w:r w:rsidRPr="0066564B">
        <w:rPr>
          <w:rFonts w:ascii="Times New Roman" w:hAnsi="Times New Roman" w:cs="Times New Roman"/>
        </w:rPr>
        <w:t xml:space="preserve"> seems to exhibit superior traits and thus would be a useful resource for tomato breeding in Vietnam and other Asian countries. However, this manuscript doesn't clearly </w:t>
      </w:r>
      <w:proofErr w:type="gramStart"/>
      <w:r w:rsidRPr="0066564B">
        <w:rPr>
          <w:rFonts w:ascii="Times New Roman" w:hAnsi="Times New Roman" w:cs="Times New Roman"/>
        </w:rPr>
        <w:t>stated</w:t>
      </w:r>
      <w:proofErr w:type="gramEnd"/>
      <w:r w:rsidRPr="0066564B">
        <w:rPr>
          <w:rFonts w:ascii="Times New Roman" w:hAnsi="Times New Roman" w:cs="Times New Roman"/>
        </w:rPr>
        <w:t xml:space="preserve"> an experimental design about randomization. In addition, the performance of 10 elite lines </w:t>
      </w:r>
      <w:proofErr w:type="gramStart"/>
      <w:r w:rsidRPr="0066564B">
        <w:rPr>
          <w:rFonts w:ascii="Times New Roman" w:hAnsi="Times New Roman" w:cs="Times New Roman"/>
        </w:rPr>
        <w:t>need</w:t>
      </w:r>
      <w:proofErr w:type="gramEnd"/>
      <w:r w:rsidRPr="0066564B">
        <w:rPr>
          <w:rFonts w:ascii="Times New Roman" w:hAnsi="Times New Roman" w:cs="Times New Roman"/>
        </w:rPr>
        <w:t xml:space="preserve"> to be analyzed with control check(s) such as elite cultivars grown in Vietnam. The one-way ANOVA for statistical analysis was conducted using the Excel Analysis Tools. Authors should use SAS or R which are commonly used as reliable tools for statistical analysis in research community. These issues need to be addressed before publication in HEB.</w:t>
      </w:r>
      <w:r w:rsidRPr="0066564B">
        <w:rPr>
          <w:rFonts w:ascii="Times New Roman" w:hAnsi="Times New Roman" w:cs="Times New Roman"/>
        </w:rPr>
        <w:br/>
      </w:r>
    </w:p>
    <w:p w14:paraId="3026621E" w14:textId="3F11EF91" w:rsidR="0082079D" w:rsidRPr="0066564B" w:rsidRDefault="0082079D">
      <w:pPr>
        <w:rPr>
          <w:rFonts w:ascii="Times New Roman" w:hAnsi="Times New Roman" w:cs="Times New Roman"/>
          <w:b/>
          <w:bCs/>
        </w:rPr>
      </w:pPr>
      <w:r w:rsidRPr="0066564B">
        <w:rPr>
          <w:rFonts w:ascii="Times New Roman" w:hAnsi="Times New Roman" w:cs="Times New Roman"/>
          <w:b/>
          <w:bCs/>
        </w:rPr>
        <w:t>Answers:</w:t>
      </w:r>
    </w:p>
    <w:p w14:paraId="1F9184CB" w14:textId="24EDCBCE" w:rsidR="00C92EBC" w:rsidRPr="0066564B" w:rsidRDefault="0082079D">
      <w:pPr>
        <w:rPr>
          <w:rFonts w:ascii="Times New Roman" w:hAnsi="Times New Roman" w:cs="Times New Roman"/>
        </w:rPr>
      </w:pPr>
      <w:r w:rsidRPr="0066564B">
        <w:rPr>
          <w:rFonts w:ascii="Times New Roman" w:hAnsi="Times New Roman" w:cs="Times New Roman"/>
        </w:rPr>
        <w:t>1. Regarding the control varieties, we agree that having control data is important to show the significanc</w:t>
      </w:r>
      <w:r w:rsidR="00CA0D74" w:rsidRPr="0066564B">
        <w:rPr>
          <w:rFonts w:ascii="Times New Roman" w:hAnsi="Times New Roman" w:cs="Times New Roman"/>
        </w:rPr>
        <w:t>e</w:t>
      </w:r>
      <w:r w:rsidRPr="0066564B">
        <w:rPr>
          <w:rFonts w:ascii="Times New Roman" w:hAnsi="Times New Roman" w:cs="Times New Roman"/>
        </w:rPr>
        <w:t xml:space="preserve"> of newly developed elite tomato lines. One popular cultivar in Vietnam, C155, was included in the experiment design and grown together with the </w:t>
      </w:r>
      <w:r w:rsidR="00251662" w:rsidRPr="0066564B">
        <w:rPr>
          <w:rFonts w:ascii="Times New Roman" w:hAnsi="Times New Roman" w:cs="Times New Roman"/>
        </w:rPr>
        <w:t xml:space="preserve">F8 population of </w:t>
      </w:r>
      <w:r w:rsidRPr="0066564B">
        <w:rPr>
          <w:rFonts w:ascii="Times New Roman" w:hAnsi="Times New Roman" w:cs="Times New Roman"/>
        </w:rPr>
        <w:t xml:space="preserve">ET lines. </w:t>
      </w:r>
      <w:r w:rsidR="00C92EBC" w:rsidRPr="0066564B">
        <w:rPr>
          <w:rFonts w:ascii="Times New Roman" w:hAnsi="Times New Roman" w:cs="Times New Roman"/>
        </w:rPr>
        <w:t>This line was officially accepted by the Ministry of Agriculture and Rural Development (Vietnam), according to the Decision number 632/QĐ-TT-CLT on December 24</w:t>
      </w:r>
      <w:r w:rsidR="00C92EBC" w:rsidRPr="0066564B">
        <w:rPr>
          <w:rFonts w:ascii="Times New Roman" w:hAnsi="Times New Roman" w:cs="Times New Roman"/>
          <w:vertAlign w:val="superscript"/>
        </w:rPr>
        <w:t>th</w:t>
      </w:r>
      <w:r w:rsidR="00C92EBC" w:rsidRPr="0066564B">
        <w:rPr>
          <w:rFonts w:ascii="Times New Roman" w:hAnsi="Times New Roman" w:cs="Times New Roman"/>
        </w:rPr>
        <w:t xml:space="preserve">, 2010 </w:t>
      </w:r>
      <w:r w:rsidR="00C92EBC" w:rsidRPr="0066564B">
        <w:rPr>
          <w:rFonts w:ascii="Times New Roman" w:hAnsi="Times New Roman" w:cs="Times New Roman"/>
          <w:i/>
          <w:iCs/>
        </w:rPr>
        <w:t>(https://www.giongcayanqua.vn/san-pham/cay-rau-giong/giong-ca-chua-c155/</w:t>
      </w:r>
      <w:r w:rsidR="00C92EBC" w:rsidRPr="0066564B">
        <w:rPr>
          <w:rFonts w:ascii="Times New Roman" w:hAnsi="Times New Roman" w:cs="Times New Roman"/>
        </w:rPr>
        <w:t>). This line has been used as a control cultivar in previous studies, such as:</w:t>
      </w:r>
    </w:p>
    <w:p w14:paraId="496347B7" w14:textId="2467DD3E" w:rsidR="00CA0D74" w:rsidRPr="0066564B" w:rsidRDefault="00CA0D74" w:rsidP="00CA0D74">
      <w:pPr>
        <w:rPr>
          <w:rFonts w:ascii="Times New Roman" w:hAnsi="Times New Roman" w:cs="Times New Roman"/>
        </w:rPr>
      </w:pPr>
      <w:r w:rsidRPr="0066564B">
        <w:rPr>
          <w:rFonts w:ascii="Times New Roman" w:hAnsi="Times New Roman" w:cs="Times New Roman"/>
        </w:rPr>
        <w:t>- Nguyen TM, Tran KT, Duong TN (2007) The results of the experiments on tomato collection at Thai Nguyen province. Vietnam J Agric Rural Dev 17:21-26</w:t>
      </w:r>
    </w:p>
    <w:p w14:paraId="4855ABE2" w14:textId="1A32A81B" w:rsidR="00CA0D74" w:rsidRPr="0066564B" w:rsidRDefault="00CA0D74" w:rsidP="00CA0D74">
      <w:pPr>
        <w:rPr>
          <w:rFonts w:ascii="Times New Roman" w:hAnsi="Times New Roman" w:cs="Times New Roman"/>
        </w:rPr>
      </w:pPr>
      <w:r w:rsidRPr="0066564B">
        <w:rPr>
          <w:rFonts w:ascii="Times New Roman" w:hAnsi="Times New Roman" w:cs="Times New Roman"/>
        </w:rPr>
        <w:t>- Doan XC, Nguyen DT, Doan TTT, Nguyen TTH (2021) The result of breeding and testing VT15 hybrids tomato. Vietnam J Agric Rural Dev 9:34–41</w:t>
      </w:r>
    </w:p>
    <w:p w14:paraId="2E205648" w14:textId="44069DF4" w:rsidR="0082079D" w:rsidRPr="0066564B" w:rsidRDefault="00CA0D74">
      <w:pPr>
        <w:rPr>
          <w:rFonts w:ascii="Times New Roman" w:hAnsi="Times New Roman" w:cs="Times New Roman"/>
        </w:rPr>
      </w:pPr>
      <w:r w:rsidRPr="0066564B">
        <w:rPr>
          <w:rFonts w:ascii="Times New Roman" w:hAnsi="Times New Roman" w:cs="Times New Roman"/>
        </w:rPr>
        <w:t>In the previous draft, we</w:t>
      </w:r>
      <w:r w:rsidR="0082079D" w:rsidRPr="0066564B">
        <w:rPr>
          <w:rFonts w:ascii="Times New Roman" w:hAnsi="Times New Roman" w:cs="Times New Roman"/>
        </w:rPr>
        <w:t xml:space="preserve"> </w:t>
      </w:r>
      <w:r w:rsidRPr="0066564B">
        <w:rPr>
          <w:rFonts w:ascii="Times New Roman" w:hAnsi="Times New Roman" w:cs="Times New Roman"/>
        </w:rPr>
        <w:t>decided</w:t>
      </w:r>
      <w:r w:rsidR="0082079D" w:rsidRPr="0066564B">
        <w:rPr>
          <w:rFonts w:ascii="Times New Roman" w:hAnsi="Times New Roman" w:cs="Times New Roman"/>
        </w:rPr>
        <w:t xml:space="preserve"> not</w:t>
      </w:r>
      <w:r w:rsidRPr="0066564B">
        <w:rPr>
          <w:rFonts w:ascii="Times New Roman" w:hAnsi="Times New Roman" w:cs="Times New Roman"/>
        </w:rPr>
        <w:t xml:space="preserve"> to</w:t>
      </w:r>
      <w:r w:rsidR="0082079D" w:rsidRPr="0066564B">
        <w:rPr>
          <w:rFonts w:ascii="Times New Roman" w:hAnsi="Times New Roman" w:cs="Times New Roman"/>
        </w:rPr>
        <w:t xml:space="preserve"> include the data because we thought it is not important. </w:t>
      </w:r>
      <w:r w:rsidRPr="0066564B">
        <w:rPr>
          <w:rFonts w:ascii="Times New Roman" w:hAnsi="Times New Roman" w:cs="Times New Roman"/>
        </w:rPr>
        <w:t>In the present manuscript,</w:t>
      </w:r>
      <w:r w:rsidR="0082079D" w:rsidRPr="0066564B">
        <w:rPr>
          <w:rFonts w:ascii="Times New Roman" w:hAnsi="Times New Roman" w:cs="Times New Roman"/>
        </w:rPr>
        <w:t xml:space="preserve"> data of the control was added to the dataset in the </w:t>
      </w:r>
      <w:r w:rsidR="0082079D" w:rsidRPr="0066564B">
        <w:rPr>
          <w:rFonts w:ascii="Times New Roman" w:hAnsi="Times New Roman" w:cs="Times New Roman"/>
          <w:b/>
          <w:bCs/>
        </w:rPr>
        <w:t>Table 2</w:t>
      </w:r>
      <w:r w:rsidR="0082079D" w:rsidRPr="0066564B">
        <w:rPr>
          <w:rFonts w:ascii="Times New Roman" w:hAnsi="Times New Roman" w:cs="Times New Roman"/>
        </w:rPr>
        <w:t xml:space="preserve"> and </w:t>
      </w:r>
      <w:r w:rsidR="0082079D" w:rsidRPr="0066564B">
        <w:rPr>
          <w:rFonts w:ascii="Times New Roman" w:hAnsi="Times New Roman" w:cs="Times New Roman"/>
          <w:b/>
          <w:bCs/>
        </w:rPr>
        <w:t>Table 3</w:t>
      </w:r>
      <w:r w:rsidR="0082079D" w:rsidRPr="0066564B">
        <w:rPr>
          <w:rFonts w:ascii="Times New Roman" w:hAnsi="Times New Roman" w:cs="Times New Roman"/>
        </w:rPr>
        <w:t>. Comparison of ET lines and the control was mentioned in the Materials and Methods (</w:t>
      </w:r>
      <w:r w:rsidR="00C92EBC" w:rsidRPr="0066564B">
        <w:rPr>
          <w:rFonts w:ascii="Times New Roman" w:hAnsi="Times New Roman" w:cs="Times New Roman"/>
        </w:rPr>
        <w:t>lines 13</w:t>
      </w:r>
      <w:r w:rsidR="0066564B">
        <w:rPr>
          <w:rFonts w:ascii="Times New Roman" w:hAnsi="Times New Roman" w:cs="Times New Roman"/>
        </w:rPr>
        <w:t>8</w:t>
      </w:r>
      <w:r w:rsidR="00C92EBC" w:rsidRPr="0066564B">
        <w:rPr>
          <w:rFonts w:ascii="Times New Roman" w:hAnsi="Times New Roman" w:cs="Times New Roman"/>
        </w:rPr>
        <w:t>-14</w:t>
      </w:r>
      <w:r w:rsidR="0066564B">
        <w:rPr>
          <w:rFonts w:ascii="Times New Roman" w:hAnsi="Times New Roman" w:cs="Times New Roman"/>
        </w:rPr>
        <w:t>0</w:t>
      </w:r>
      <w:r w:rsidR="00C92EBC" w:rsidRPr="0066564B">
        <w:rPr>
          <w:rFonts w:ascii="Times New Roman" w:hAnsi="Times New Roman" w:cs="Times New Roman"/>
        </w:rPr>
        <w:t>),</w:t>
      </w:r>
      <w:r w:rsidR="0082079D" w:rsidRPr="0066564B">
        <w:rPr>
          <w:rFonts w:ascii="Times New Roman" w:hAnsi="Times New Roman" w:cs="Times New Roman"/>
        </w:rPr>
        <w:t xml:space="preserve"> </w:t>
      </w:r>
      <w:r w:rsidRPr="0066564B">
        <w:rPr>
          <w:rFonts w:ascii="Times New Roman" w:hAnsi="Times New Roman" w:cs="Times New Roman"/>
        </w:rPr>
        <w:t>Results (lines 21</w:t>
      </w:r>
      <w:r w:rsidR="0066564B">
        <w:rPr>
          <w:rFonts w:ascii="Times New Roman" w:hAnsi="Times New Roman" w:cs="Times New Roman"/>
        </w:rPr>
        <w:t>7</w:t>
      </w:r>
      <w:r w:rsidRPr="0066564B">
        <w:rPr>
          <w:rFonts w:ascii="Times New Roman" w:hAnsi="Times New Roman" w:cs="Times New Roman"/>
        </w:rPr>
        <w:t>-21</w:t>
      </w:r>
      <w:r w:rsidR="0066564B">
        <w:rPr>
          <w:rFonts w:ascii="Times New Roman" w:hAnsi="Times New Roman" w:cs="Times New Roman"/>
        </w:rPr>
        <w:t>8</w:t>
      </w:r>
      <w:r w:rsidRPr="0066564B">
        <w:rPr>
          <w:rFonts w:ascii="Times New Roman" w:hAnsi="Times New Roman" w:cs="Times New Roman"/>
        </w:rPr>
        <w:t xml:space="preserve">, </w:t>
      </w:r>
      <w:r w:rsidR="0066564B">
        <w:rPr>
          <w:rFonts w:ascii="Times New Roman" w:hAnsi="Times New Roman" w:cs="Times New Roman"/>
        </w:rPr>
        <w:t xml:space="preserve">220-221, </w:t>
      </w:r>
      <w:r w:rsidRPr="0066564B">
        <w:rPr>
          <w:rFonts w:ascii="Times New Roman" w:hAnsi="Times New Roman" w:cs="Times New Roman"/>
        </w:rPr>
        <w:t>24</w:t>
      </w:r>
      <w:r w:rsidR="0066564B">
        <w:rPr>
          <w:rFonts w:ascii="Times New Roman" w:hAnsi="Times New Roman" w:cs="Times New Roman"/>
        </w:rPr>
        <w:t>7</w:t>
      </w:r>
      <w:r w:rsidRPr="0066564B">
        <w:rPr>
          <w:rFonts w:ascii="Times New Roman" w:hAnsi="Times New Roman" w:cs="Times New Roman"/>
        </w:rPr>
        <w:t>-24</w:t>
      </w:r>
      <w:r w:rsidR="0066564B">
        <w:rPr>
          <w:rFonts w:ascii="Times New Roman" w:hAnsi="Times New Roman" w:cs="Times New Roman"/>
        </w:rPr>
        <w:t>8</w:t>
      </w:r>
      <w:r w:rsidRPr="0066564B">
        <w:rPr>
          <w:rFonts w:ascii="Times New Roman" w:hAnsi="Times New Roman" w:cs="Times New Roman"/>
        </w:rPr>
        <w:t>, 2</w:t>
      </w:r>
      <w:r w:rsidR="0066564B">
        <w:rPr>
          <w:rFonts w:ascii="Times New Roman" w:hAnsi="Times New Roman" w:cs="Times New Roman"/>
        </w:rPr>
        <w:t>50</w:t>
      </w:r>
      <w:r w:rsidRPr="0066564B">
        <w:rPr>
          <w:rFonts w:ascii="Times New Roman" w:hAnsi="Times New Roman" w:cs="Times New Roman"/>
        </w:rPr>
        <w:t>-25</w:t>
      </w:r>
      <w:r w:rsidR="0066564B">
        <w:rPr>
          <w:rFonts w:ascii="Times New Roman" w:hAnsi="Times New Roman" w:cs="Times New Roman"/>
        </w:rPr>
        <w:t>1</w:t>
      </w:r>
      <w:r w:rsidRPr="0066564B">
        <w:rPr>
          <w:rFonts w:ascii="Times New Roman" w:hAnsi="Times New Roman" w:cs="Times New Roman"/>
        </w:rPr>
        <w:t>), and Discussions (lines 324-325).</w:t>
      </w:r>
    </w:p>
    <w:p w14:paraId="18F604FA" w14:textId="650241D6" w:rsidR="000003AB" w:rsidRPr="0066564B" w:rsidRDefault="00CA0D74" w:rsidP="000003AB">
      <w:pPr>
        <w:rPr>
          <w:rFonts w:ascii="Times New Roman" w:hAnsi="Times New Roman" w:cs="Times New Roman"/>
        </w:rPr>
      </w:pPr>
      <w:r w:rsidRPr="0066564B">
        <w:rPr>
          <w:rFonts w:ascii="Times New Roman" w:hAnsi="Times New Roman" w:cs="Times New Roman"/>
        </w:rPr>
        <w:lastRenderedPageBreak/>
        <w:t xml:space="preserve">2. Regarding the statistical analysis, we understand that there are various reliable </w:t>
      </w:r>
      <w:proofErr w:type="spellStart"/>
      <w:r w:rsidRPr="0066564B">
        <w:rPr>
          <w:rFonts w:ascii="Times New Roman" w:hAnsi="Times New Roman" w:cs="Times New Roman"/>
        </w:rPr>
        <w:t>softwares</w:t>
      </w:r>
      <w:proofErr w:type="spellEnd"/>
      <w:r w:rsidRPr="0066564B">
        <w:rPr>
          <w:rFonts w:ascii="Times New Roman" w:hAnsi="Times New Roman" w:cs="Times New Roman"/>
        </w:rPr>
        <w:t xml:space="preserve"> that available for scientists. </w:t>
      </w:r>
      <w:r w:rsidR="000003AB" w:rsidRPr="0066564B">
        <w:rPr>
          <w:rFonts w:ascii="Times New Roman" w:hAnsi="Times New Roman" w:cs="Times New Roman"/>
        </w:rPr>
        <w:t>Among them, t</w:t>
      </w:r>
      <w:r w:rsidRPr="0066564B">
        <w:rPr>
          <w:rFonts w:ascii="Times New Roman" w:hAnsi="Times New Roman" w:cs="Times New Roman"/>
        </w:rPr>
        <w:t xml:space="preserve">he </w:t>
      </w:r>
      <w:r w:rsidR="000003AB" w:rsidRPr="0066564B">
        <w:rPr>
          <w:rFonts w:ascii="Times New Roman" w:hAnsi="Times New Roman" w:cs="Times New Roman"/>
        </w:rPr>
        <w:t>D</w:t>
      </w:r>
      <w:r w:rsidRPr="0066564B">
        <w:rPr>
          <w:rFonts w:ascii="Times New Roman" w:hAnsi="Times New Roman" w:cs="Times New Roman"/>
        </w:rPr>
        <w:t xml:space="preserve">ata </w:t>
      </w:r>
      <w:r w:rsidR="000003AB" w:rsidRPr="0066564B">
        <w:rPr>
          <w:rFonts w:ascii="Times New Roman" w:hAnsi="Times New Roman" w:cs="Times New Roman"/>
        </w:rPr>
        <w:t>A</w:t>
      </w:r>
      <w:r w:rsidRPr="0066564B">
        <w:rPr>
          <w:rFonts w:ascii="Times New Roman" w:hAnsi="Times New Roman" w:cs="Times New Roman"/>
        </w:rPr>
        <w:t xml:space="preserve">nalysis </w:t>
      </w:r>
      <w:r w:rsidR="000003AB" w:rsidRPr="0066564B">
        <w:rPr>
          <w:rFonts w:ascii="Times New Roman" w:hAnsi="Times New Roman" w:cs="Times New Roman"/>
        </w:rPr>
        <w:t>T</w:t>
      </w:r>
      <w:r w:rsidRPr="0066564B">
        <w:rPr>
          <w:rFonts w:ascii="Times New Roman" w:hAnsi="Times New Roman" w:cs="Times New Roman"/>
        </w:rPr>
        <w:t xml:space="preserve">ool of </w:t>
      </w:r>
      <w:r w:rsidR="00067A6A" w:rsidRPr="0066564B">
        <w:rPr>
          <w:rFonts w:ascii="Times New Roman" w:hAnsi="Times New Roman" w:cs="Times New Roman"/>
        </w:rPr>
        <w:t xml:space="preserve">Microsoft </w:t>
      </w:r>
      <w:r w:rsidRPr="0066564B">
        <w:rPr>
          <w:rFonts w:ascii="Times New Roman" w:hAnsi="Times New Roman" w:cs="Times New Roman"/>
        </w:rPr>
        <w:t xml:space="preserve">Excel has been integrated and widely used </w:t>
      </w:r>
      <w:r w:rsidR="000003AB" w:rsidRPr="0066564B">
        <w:rPr>
          <w:rFonts w:ascii="Times New Roman" w:hAnsi="Times New Roman" w:cs="Times New Roman"/>
        </w:rPr>
        <w:t>for analysis in a convenient and reliable way. It has been employed to conduct the one-way ANOVA precisely and easily, as explained by the previous studies such as:</w:t>
      </w:r>
    </w:p>
    <w:p w14:paraId="72DDE49A" w14:textId="260C2B60" w:rsidR="000003AB" w:rsidRPr="0066564B" w:rsidRDefault="000003AB" w:rsidP="00251662">
      <w:pPr>
        <w:ind w:firstLine="720"/>
        <w:rPr>
          <w:rFonts w:ascii="Times New Roman" w:hAnsi="Times New Roman" w:cs="Times New Roman"/>
        </w:rPr>
      </w:pPr>
      <w:r w:rsidRPr="0066564B">
        <w:rPr>
          <w:rFonts w:ascii="Times New Roman" w:hAnsi="Times New Roman" w:cs="Times New Roman"/>
        </w:rPr>
        <w:t>- Quirk TJ (2012) One-Way Analysis of Variance (ANOVA). In: Excel 2007 for Educational and Psychological Statistics. Springer, New York, NY. https://doi.org/10.1007/978-1-4614-3725-3_8</w:t>
      </w:r>
    </w:p>
    <w:p w14:paraId="4D3D813F" w14:textId="113972C5" w:rsidR="000003AB" w:rsidRDefault="000003AB" w:rsidP="00251662">
      <w:pPr>
        <w:ind w:firstLine="720"/>
        <w:rPr>
          <w:rFonts w:ascii="Times New Roman" w:hAnsi="Times New Roman" w:cs="Times New Roman"/>
        </w:rPr>
      </w:pPr>
      <w:r w:rsidRPr="0066564B">
        <w:rPr>
          <w:rFonts w:ascii="Times New Roman" w:hAnsi="Times New Roman" w:cs="Times New Roman"/>
        </w:rPr>
        <w:t xml:space="preserve">- Laverty W and Kelly I (2019) Using Excel to Explore the Effects of Assumption Violations on One-Way Analysis of Variance (ANOVA) Statistical Procedures. Open Journal of Statistics 9:458-469. </w:t>
      </w:r>
      <w:hyperlink r:id="rId5" w:history="1">
        <w:r w:rsidR="0066564B" w:rsidRPr="00BA5B3A">
          <w:rPr>
            <w:rStyle w:val="Hyperlink"/>
            <w:rFonts w:ascii="Times New Roman" w:hAnsi="Times New Roman" w:cs="Times New Roman"/>
          </w:rPr>
          <w:t>https://doi.org/10.4236/ojs.2019.94031</w:t>
        </w:r>
      </w:hyperlink>
    </w:p>
    <w:p w14:paraId="3134A56C" w14:textId="1074F835" w:rsidR="0066564B" w:rsidRPr="0066564B" w:rsidRDefault="0066564B" w:rsidP="00251662">
      <w:pPr>
        <w:ind w:firstLine="720"/>
        <w:rPr>
          <w:rFonts w:ascii="Times New Roman" w:hAnsi="Times New Roman" w:cs="Times New Roman"/>
        </w:rPr>
      </w:pPr>
      <w:r>
        <w:rPr>
          <w:rFonts w:ascii="Times New Roman" w:hAnsi="Times New Roman" w:cs="Times New Roman"/>
        </w:rPr>
        <w:t>Above studies were additionally cited in our manuscript (line 167).</w:t>
      </w:r>
    </w:p>
    <w:p w14:paraId="4E44A71A" w14:textId="2F216ADC" w:rsidR="00067A6A" w:rsidRPr="0066564B" w:rsidRDefault="00067A6A">
      <w:pPr>
        <w:rPr>
          <w:rFonts w:ascii="Times New Roman" w:hAnsi="Times New Roman" w:cs="Times New Roman"/>
        </w:rPr>
      </w:pPr>
      <w:r w:rsidRPr="0066564B">
        <w:rPr>
          <w:rFonts w:ascii="Times New Roman" w:hAnsi="Times New Roman" w:cs="Times New Roman"/>
        </w:rPr>
        <w:t xml:space="preserve">Below are the </w:t>
      </w:r>
      <w:r w:rsidR="00251662" w:rsidRPr="0066564B">
        <w:rPr>
          <w:rFonts w:ascii="Times New Roman" w:hAnsi="Times New Roman" w:cs="Times New Roman"/>
        </w:rPr>
        <w:t xml:space="preserve">published </w:t>
      </w:r>
      <w:r w:rsidRPr="0066564B">
        <w:rPr>
          <w:rFonts w:ascii="Times New Roman" w:hAnsi="Times New Roman" w:cs="Times New Roman"/>
        </w:rPr>
        <w:t>studies that used Microsoft Excel to conduct one-way ANOVA analysis:</w:t>
      </w:r>
    </w:p>
    <w:p w14:paraId="76B0E825" w14:textId="30B6FD7D" w:rsidR="00CA0D74" w:rsidRPr="0066564B" w:rsidRDefault="00067A6A" w:rsidP="00067A6A">
      <w:pPr>
        <w:pStyle w:val="ListParagraph"/>
        <w:numPr>
          <w:ilvl w:val="0"/>
          <w:numId w:val="1"/>
        </w:numPr>
        <w:rPr>
          <w:rFonts w:ascii="Times New Roman" w:hAnsi="Times New Roman" w:cs="Times New Roman"/>
        </w:rPr>
      </w:pPr>
      <w:proofErr w:type="spellStart"/>
      <w:r w:rsidRPr="0066564B">
        <w:rPr>
          <w:rFonts w:ascii="Times New Roman" w:hAnsi="Times New Roman" w:cs="Times New Roman"/>
        </w:rPr>
        <w:t>Annah</w:t>
      </w:r>
      <w:proofErr w:type="spellEnd"/>
      <w:r w:rsidRPr="0066564B">
        <w:rPr>
          <w:rFonts w:ascii="Times New Roman" w:hAnsi="Times New Roman" w:cs="Times New Roman"/>
        </w:rPr>
        <w:t xml:space="preserve"> MO, </w:t>
      </w:r>
      <w:proofErr w:type="spellStart"/>
      <w:r w:rsidRPr="0066564B">
        <w:rPr>
          <w:rFonts w:ascii="Times New Roman" w:hAnsi="Times New Roman" w:cs="Times New Roman"/>
        </w:rPr>
        <w:t>Zephania</w:t>
      </w:r>
      <w:proofErr w:type="spellEnd"/>
      <w:r w:rsidRPr="0066564B">
        <w:rPr>
          <w:rFonts w:ascii="Times New Roman" w:hAnsi="Times New Roman" w:cs="Times New Roman"/>
        </w:rPr>
        <w:t xml:space="preserve"> B, Kenneth K, Catherine K, Anne N, Loyce N (2022) Biomarker Raman bands of estradiol, follicle-stimulating, luteinizing, and progesterone hormones in blood. Vibrational Spectroscopy 122:103425. </w:t>
      </w:r>
      <w:r w:rsidR="006345C9" w:rsidRPr="0066564B">
        <w:rPr>
          <w:rFonts w:ascii="Times New Roman" w:hAnsi="Times New Roman" w:cs="Times New Roman"/>
        </w:rPr>
        <w:t>https://doi.org/10.1016/j.vibspec.2022.103425</w:t>
      </w:r>
      <w:r w:rsidRPr="0066564B">
        <w:rPr>
          <w:rFonts w:ascii="Times New Roman" w:hAnsi="Times New Roman" w:cs="Times New Roman"/>
        </w:rPr>
        <w:t xml:space="preserve">. </w:t>
      </w:r>
    </w:p>
    <w:p w14:paraId="15EE2FB8" w14:textId="32EA4BBA" w:rsidR="006345C9" w:rsidRPr="0066564B" w:rsidRDefault="006345C9" w:rsidP="00067A6A">
      <w:pPr>
        <w:pStyle w:val="ListParagraph"/>
        <w:numPr>
          <w:ilvl w:val="0"/>
          <w:numId w:val="1"/>
        </w:numPr>
        <w:rPr>
          <w:rFonts w:ascii="Times New Roman" w:hAnsi="Times New Roman" w:cs="Times New Roman"/>
        </w:rPr>
      </w:pPr>
      <w:r w:rsidRPr="0066564B">
        <w:rPr>
          <w:rFonts w:ascii="Times New Roman" w:hAnsi="Times New Roman" w:cs="Times New Roman"/>
        </w:rPr>
        <w:t>Hruska Z, Yao H, Kincaid R, Darlington D, Brown RL, Bhatnagar D and Cleveland TE (2013), Fluorescence Imaging Spectroscopy (FIS) for Comparing Spectra from Corn Ears Naturally and Artificially Infected with Aflatoxin Producing Fungus. Journal of Food Science, 78: T1313-T1320. https://doi.org/10.1111/1750-3841.12202</w:t>
      </w:r>
    </w:p>
    <w:p w14:paraId="41374E04" w14:textId="1AEF2822" w:rsidR="006345C9" w:rsidRPr="0066564B" w:rsidRDefault="006345C9" w:rsidP="006345C9">
      <w:pPr>
        <w:pStyle w:val="ListParagraph"/>
        <w:numPr>
          <w:ilvl w:val="0"/>
          <w:numId w:val="1"/>
        </w:numPr>
        <w:rPr>
          <w:rFonts w:ascii="Times New Roman" w:hAnsi="Times New Roman" w:cs="Times New Roman"/>
        </w:rPr>
      </w:pPr>
      <w:proofErr w:type="spellStart"/>
      <w:r w:rsidRPr="0066564B">
        <w:rPr>
          <w:rFonts w:ascii="Times New Roman" w:hAnsi="Times New Roman" w:cs="Times New Roman"/>
        </w:rPr>
        <w:t>Kirati</w:t>
      </w:r>
      <w:proofErr w:type="spellEnd"/>
      <w:r w:rsidRPr="0066564B">
        <w:rPr>
          <w:rFonts w:ascii="Times New Roman" w:hAnsi="Times New Roman" w:cs="Times New Roman"/>
        </w:rPr>
        <w:t xml:space="preserve"> N, Dania C, </w:t>
      </w:r>
      <w:proofErr w:type="spellStart"/>
      <w:r w:rsidRPr="0066564B">
        <w:rPr>
          <w:rFonts w:ascii="Times New Roman" w:hAnsi="Times New Roman" w:cs="Times New Roman"/>
        </w:rPr>
        <w:t>Jakkrit</w:t>
      </w:r>
      <w:proofErr w:type="spellEnd"/>
      <w:r w:rsidRPr="0066564B">
        <w:rPr>
          <w:rFonts w:ascii="Times New Roman" w:hAnsi="Times New Roman" w:cs="Times New Roman"/>
        </w:rPr>
        <w:t xml:space="preserve"> N, </w:t>
      </w:r>
      <w:proofErr w:type="spellStart"/>
      <w:r w:rsidRPr="0066564B">
        <w:rPr>
          <w:rFonts w:ascii="Times New Roman" w:hAnsi="Times New Roman" w:cs="Times New Roman"/>
        </w:rPr>
        <w:t>Ekkasit</w:t>
      </w:r>
      <w:proofErr w:type="spellEnd"/>
      <w:r w:rsidRPr="0066564B">
        <w:rPr>
          <w:rFonts w:ascii="Times New Roman" w:hAnsi="Times New Roman" w:cs="Times New Roman"/>
        </w:rPr>
        <w:t xml:space="preserve"> K (2021) Locomotor activity and resting local field potential oscillatory rhythms of 6-OHDA mouse model of Parkinson’s disease in response to acute and repeated treatments with L-dopa. Neuroscience Letters 759:136007. https://doi.org/10.1016/j.neulet.2021.136007.</w:t>
      </w:r>
    </w:p>
    <w:p w14:paraId="65265C84" w14:textId="19405FE5" w:rsidR="006345C9" w:rsidRPr="0066564B" w:rsidRDefault="006345C9" w:rsidP="006345C9">
      <w:pPr>
        <w:pStyle w:val="ListParagraph"/>
        <w:numPr>
          <w:ilvl w:val="0"/>
          <w:numId w:val="1"/>
        </w:numPr>
        <w:rPr>
          <w:rFonts w:ascii="Times New Roman" w:hAnsi="Times New Roman" w:cs="Times New Roman"/>
        </w:rPr>
      </w:pPr>
      <w:r w:rsidRPr="0066564B">
        <w:rPr>
          <w:rFonts w:ascii="Times New Roman" w:hAnsi="Times New Roman" w:cs="Times New Roman"/>
        </w:rPr>
        <w:t>And many other recent publications.</w:t>
      </w:r>
    </w:p>
    <w:p w14:paraId="351799F8" w14:textId="7D2415E4" w:rsidR="006345C9" w:rsidRPr="0066564B" w:rsidRDefault="006345C9" w:rsidP="006345C9">
      <w:pPr>
        <w:rPr>
          <w:rFonts w:ascii="Times New Roman" w:hAnsi="Times New Roman" w:cs="Times New Roman"/>
        </w:rPr>
      </w:pPr>
      <w:r w:rsidRPr="0066564B">
        <w:rPr>
          <w:rFonts w:ascii="Times New Roman" w:hAnsi="Times New Roman" w:cs="Times New Roman"/>
        </w:rPr>
        <w:t>Therefore, we believe that Microsoft Excel is a reliable tool for the statistical analysis, especially to quickly perform one-way ANOVA analysis with single factor.</w:t>
      </w:r>
    </w:p>
    <w:sectPr w:rsidR="006345C9" w:rsidRPr="0066564B">
      <w:pgSz w:w="12240" w:h="15840"/>
      <w:pgMar w:top="170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932264"/>
    <w:multiLevelType w:val="hybridMultilevel"/>
    <w:tmpl w:val="AC0A78B4"/>
    <w:lvl w:ilvl="0" w:tplc="C8CCF474">
      <w:start w:val="2"/>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2313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0"/>
  </w:compat>
  <w:rsids>
    <w:rsidRoot w:val="00234000"/>
    <w:rsid w:val="000003AB"/>
    <w:rsid w:val="00067A6A"/>
    <w:rsid w:val="00234000"/>
    <w:rsid w:val="00251662"/>
    <w:rsid w:val="006345C9"/>
    <w:rsid w:val="0066564B"/>
    <w:rsid w:val="0082079D"/>
    <w:rsid w:val="009C7B43"/>
    <w:rsid w:val="00C92EBC"/>
    <w:rsid w:val="00CA0D74"/>
    <w:rsid w:val="00ED543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2494D"/>
  <w15:chartTrackingRefBased/>
  <w15:docId w15:val="{ABA63E9D-6C27-4934-A6AC-9B552692E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2EBC"/>
    <w:rPr>
      <w:color w:val="0000FF" w:themeColor="hyperlink"/>
      <w:u w:val="single"/>
    </w:rPr>
  </w:style>
  <w:style w:type="character" w:styleId="UnresolvedMention">
    <w:name w:val="Unresolved Mention"/>
    <w:basedOn w:val="DefaultParagraphFont"/>
    <w:uiPriority w:val="99"/>
    <w:semiHidden/>
    <w:unhideWhenUsed/>
    <w:rsid w:val="00C92EBC"/>
    <w:rPr>
      <w:color w:val="605E5C"/>
      <w:shd w:val="clear" w:color="auto" w:fill="E1DFDD"/>
    </w:rPr>
  </w:style>
  <w:style w:type="paragraph" w:styleId="ListParagraph">
    <w:name w:val="List Paragraph"/>
    <w:basedOn w:val="Normal"/>
    <w:uiPriority w:val="34"/>
    <w:qFormat/>
    <w:rsid w:val="00067A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i.org/10.4236/ojs.2019.9403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Pages>
  <Words>781</Words>
  <Characters>4454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CamChau Nguyen</dc:creator>
  <cp:keywords/>
  <dc:description/>
  <cp:lastModifiedBy>CamChau Nguyen</cp:lastModifiedBy>
  <cp:revision>3</cp:revision>
  <dcterms:created xsi:type="dcterms:W3CDTF">2023-02-23T08:41:00Z</dcterms:created>
  <dcterms:modified xsi:type="dcterms:W3CDTF">2023-02-25T00:28:00Z</dcterms:modified>
</cp:coreProperties>
</file>