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3B5E" w14:textId="77777777" w:rsidR="00C80CAA" w:rsidRDefault="00C80CAA" w:rsidP="00C80C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7.</w:t>
      </w:r>
      <w:r>
        <w:rPr>
          <w:rFonts w:ascii="Times New Roman" w:hAnsi="Times New Roman" w:cs="Times New Roman"/>
          <w:sz w:val="24"/>
          <w:szCs w:val="24"/>
        </w:rPr>
        <w:t xml:space="preserve"> ROBIS results of systematic reviews.</w:t>
      </w:r>
    </w:p>
    <w:tbl>
      <w:tblPr>
        <w:tblW w:w="9987" w:type="dxa"/>
        <w:tblInd w:w="-631" w:type="dxa"/>
        <w:tblBorders>
          <w:bottom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482"/>
        <w:gridCol w:w="1276"/>
        <w:gridCol w:w="2126"/>
        <w:gridCol w:w="1843"/>
        <w:gridCol w:w="1559"/>
        <w:gridCol w:w="1701"/>
      </w:tblGrid>
      <w:tr w:rsidR="00C80CAA" w:rsidRPr="00B44752" w14:paraId="7A633A93" w14:textId="77777777" w:rsidTr="00C13F88">
        <w:trPr>
          <w:trHeight w:val="147"/>
        </w:trPr>
        <w:tc>
          <w:tcPr>
            <w:tcW w:w="1482" w:type="dxa"/>
            <w:vMerge w:val="restart"/>
            <w:shd w:val="clear" w:color="auto" w:fill="FFFFFF"/>
          </w:tcPr>
          <w:p w14:paraId="09567B17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Review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5BCD115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Phase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7AE0784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Phase 3</w:t>
            </w:r>
          </w:p>
        </w:tc>
      </w:tr>
      <w:tr w:rsidR="00C80CAA" w:rsidRPr="00DA7C8F" w14:paraId="6EE8C704" w14:textId="77777777" w:rsidTr="00C13F88">
        <w:trPr>
          <w:trHeight w:val="147"/>
        </w:trPr>
        <w:tc>
          <w:tcPr>
            <w:tcW w:w="1482" w:type="dxa"/>
            <w:vMerge/>
            <w:shd w:val="clear" w:color="auto" w:fill="FFFFFF"/>
          </w:tcPr>
          <w:p w14:paraId="4BCB219F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AD5B34B" w14:textId="77777777" w:rsidR="00C80CAA" w:rsidRPr="00B44752" w:rsidRDefault="00C80CAA" w:rsidP="00C13F88">
            <w:pPr>
              <w:spacing w:after="0" w:line="240" w:lineRule="auto"/>
              <w:ind w:left="177"/>
              <w:contextualSpacing/>
              <w:jc w:val="center"/>
              <w:rPr>
                <w:b/>
                <w:sz w:val="20"/>
                <w:szCs w:val="20"/>
              </w:rPr>
            </w:pPr>
            <w:r w:rsidRPr="00B44752">
              <w:rPr>
                <w:b/>
                <w:sz w:val="20"/>
                <w:szCs w:val="20"/>
              </w:rPr>
              <w:t>1. STUDY ELIGIBILITY CRITERIA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034C189F" w14:textId="77777777" w:rsidR="00C80CAA" w:rsidRPr="008F68FD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F68FD">
              <w:rPr>
                <w:rFonts w:eastAsia="Times New Roman" w:cs="Arial"/>
                <w:b/>
                <w:bCs/>
                <w:sz w:val="20"/>
                <w:szCs w:val="20"/>
              </w:rPr>
              <w:t>2.  IDENTIFICATION AND SELECTION OF STUDIES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9592D1C" w14:textId="77777777" w:rsidR="00C80CAA" w:rsidRPr="008F68FD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F68FD">
              <w:rPr>
                <w:rFonts w:eastAsia="Times New Roman" w:cs="Arial"/>
                <w:b/>
                <w:bCs/>
                <w:sz w:val="20"/>
                <w:szCs w:val="20"/>
              </w:rPr>
              <w:t>3. DATA COLLECTION AND STUDY APPRAISAL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14:paraId="0D243822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B44752">
              <w:rPr>
                <w:rFonts w:eastAsia="Times New Roman" w:cs="Arial"/>
                <w:b/>
                <w:bCs/>
                <w:sz w:val="20"/>
                <w:szCs w:val="20"/>
              </w:rPr>
              <w:t>4. SYNTHESIS AND FINDINGS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418A3A3B" w14:textId="77777777" w:rsidR="00C80CAA" w:rsidRPr="008F68FD" w:rsidRDefault="00C80CAA" w:rsidP="00C13F88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F68FD">
              <w:rPr>
                <w:rFonts w:eastAsia="Times New Roman" w:cs="Arial"/>
                <w:b/>
                <w:bCs/>
                <w:sz w:val="20"/>
                <w:szCs w:val="20"/>
              </w:rPr>
              <w:t>RISK OF BIAS IN THE REVIEW</w:t>
            </w:r>
          </w:p>
        </w:tc>
      </w:tr>
      <w:tr w:rsidR="00C80CAA" w:rsidRPr="00B44752" w14:paraId="4FFB69AC" w14:textId="77777777" w:rsidTr="00C13F88">
        <w:trPr>
          <w:trHeight w:val="147"/>
        </w:trPr>
        <w:tc>
          <w:tcPr>
            <w:tcW w:w="1482" w:type="dxa"/>
            <w:shd w:val="clear" w:color="auto" w:fill="FFFFFF"/>
          </w:tcPr>
          <w:p w14:paraId="7327DFA2" w14:textId="77777777" w:rsidR="00C80CAA" w:rsidRPr="00B44752" w:rsidRDefault="00C80CAA" w:rsidP="00C13F88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DE365A">
              <w:rPr>
                <w:rFonts w:eastAsia="Times New Roman" w:cs="Arial"/>
                <w:bCs/>
                <w:sz w:val="24"/>
                <w:szCs w:val="24"/>
                <w:lang w:eastAsia="en-GB"/>
              </w:rPr>
              <w:t xml:space="preserve">La </w:t>
            </w:r>
            <w:proofErr w:type="spellStart"/>
            <w:r w:rsidRPr="00DE365A">
              <w:rPr>
                <w:rFonts w:eastAsia="Times New Roman" w:cs="Arial"/>
                <w:bCs/>
                <w:sz w:val="24"/>
                <w:szCs w:val="24"/>
                <w:lang w:eastAsia="en-GB"/>
              </w:rPr>
              <w:t>Touche</w:t>
            </w:r>
            <w:proofErr w:type="spellEnd"/>
            <w:r>
              <w:rPr>
                <w:rFonts w:eastAsia="Times New Roman" w:cs="Arial"/>
                <w:bCs/>
                <w:sz w:val="24"/>
                <w:szCs w:val="24"/>
                <w:lang w:eastAsia="en-GB"/>
              </w:rPr>
              <w:t xml:space="preserve"> et al.,</w:t>
            </w:r>
            <w:r w:rsidRPr="00DE365A">
              <w:rPr>
                <w:rFonts w:eastAsia="Times New Roman" w:cs="Arial"/>
                <w:bCs/>
                <w:sz w:val="24"/>
                <w:szCs w:val="24"/>
                <w:lang w:eastAsia="en-GB"/>
              </w:rPr>
              <w:t xml:space="preserve"> 2020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BBB3B5E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8E1662E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A19D52B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13A007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EED201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</w:tr>
      <w:tr w:rsidR="00C80CAA" w:rsidRPr="00B44752" w14:paraId="13182AF3" w14:textId="77777777" w:rsidTr="00C13F88">
        <w:trPr>
          <w:trHeight w:val="147"/>
        </w:trPr>
        <w:tc>
          <w:tcPr>
            <w:tcW w:w="1482" w:type="dxa"/>
            <w:shd w:val="pct15" w:color="auto" w:fill="FFFFFF"/>
          </w:tcPr>
          <w:p w14:paraId="7B11C83E" w14:textId="77777777" w:rsidR="00C80CAA" w:rsidRPr="00B44752" w:rsidRDefault="00C80CAA" w:rsidP="00C13F88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proofErr w:type="spellStart"/>
            <w:r w:rsidRPr="00DE365A">
              <w:rPr>
                <w:rFonts w:eastAsia="Times New Roman" w:cs="Arial"/>
                <w:bCs/>
                <w:sz w:val="24"/>
                <w:szCs w:val="24"/>
                <w:lang w:eastAsia="en-GB"/>
              </w:rPr>
              <w:t>Lemmens</w:t>
            </w:r>
            <w:proofErr w:type="spellEnd"/>
            <w:r w:rsidRPr="00DE365A">
              <w:rPr>
                <w:rFonts w:eastAsia="Times New Roman" w:cs="Arial"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  <w:lang w:eastAsia="en-GB"/>
              </w:rPr>
              <w:t xml:space="preserve">et al., </w:t>
            </w:r>
            <w:r w:rsidRPr="00DE365A">
              <w:rPr>
                <w:rFonts w:eastAsia="Times New Roman" w:cs="Arial"/>
                <w:bCs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743BEDC7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3A1DE3DA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FBD4B4"/>
                <w:lang w:eastAsia="en-GB"/>
              </w:rPr>
              <w:sym w:font="Wingdings" w:char="F04C"/>
            </w:r>
          </w:p>
        </w:tc>
        <w:tc>
          <w:tcPr>
            <w:tcW w:w="1843" w:type="dxa"/>
            <w:shd w:val="pct15" w:color="auto" w:fill="FFFFFF"/>
            <w:vAlign w:val="center"/>
          </w:tcPr>
          <w:p w14:paraId="27BB0614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559" w:type="dxa"/>
            <w:shd w:val="pct15" w:color="auto" w:fill="FFFFFF"/>
            <w:vAlign w:val="center"/>
          </w:tcPr>
          <w:p w14:paraId="4CE4E59C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0449824B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FBD4B4"/>
                <w:lang w:eastAsia="en-GB"/>
              </w:rPr>
              <w:sym w:font="Wingdings" w:char="F04C"/>
            </w:r>
          </w:p>
        </w:tc>
      </w:tr>
      <w:tr w:rsidR="00C80CAA" w:rsidRPr="00B44752" w14:paraId="42161C8E" w14:textId="77777777" w:rsidTr="00C13F88">
        <w:trPr>
          <w:trHeight w:val="147"/>
        </w:trPr>
        <w:tc>
          <w:tcPr>
            <w:tcW w:w="1482" w:type="dxa"/>
            <w:shd w:val="clear" w:color="auto" w:fill="FFFFFF"/>
          </w:tcPr>
          <w:p w14:paraId="21346C7E" w14:textId="77777777" w:rsidR="00C80CAA" w:rsidRPr="00B44752" w:rsidRDefault="00C80CAA" w:rsidP="00C13F88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en-GB"/>
              </w:rPr>
              <w:t>Long et al., 2022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332EACC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6689D3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FBD4B4"/>
                <w:lang w:eastAsia="en-GB"/>
              </w:rPr>
              <w:sym w:font="Wingdings" w:char="F04C"/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FC224EB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FBD4B4"/>
                <w:lang w:eastAsia="en-GB"/>
              </w:rPr>
              <w:sym w:font="Wingdings" w:char="F04C"/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60F06DE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FBD4B4"/>
                <w:lang w:eastAsia="en-GB"/>
              </w:rPr>
              <w:sym w:font="Wingdings" w:char="F04C"/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872EAB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FBD4B4"/>
                <w:lang w:eastAsia="en-GB"/>
              </w:rPr>
              <w:sym w:font="Wingdings" w:char="F04C"/>
            </w:r>
          </w:p>
        </w:tc>
      </w:tr>
      <w:tr w:rsidR="00C80CAA" w:rsidRPr="00B44752" w14:paraId="0EB31381" w14:textId="77777777" w:rsidTr="00C13F88">
        <w:trPr>
          <w:trHeight w:val="147"/>
        </w:trPr>
        <w:tc>
          <w:tcPr>
            <w:tcW w:w="1482" w:type="dxa"/>
            <w:shd w:val="pct15" w:color="auto" w:fill="FFFFFF"/>
          </w:tcPr>
          <w:p w14:paraId="65524388" w14:textId="77777777" w:rsidR="00C80CAA" w:rsidRPr="00B44752" w:rsidRDefault="00C80CAA" w:rsidP="00C13F88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DE365A">
              <w:rPr>
                <w:rFonts w:eastAsia="Times New Roman" w:cs="Arial"/>
                <w:bCs/>
                <w:sz w:val="24"/>
                <w:szCs w:val="24"/>
                <w:lang w:eastAsia="en-GB"/>
              </w:rPr>
              <w:t>Luedtke et al., 2016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1FF5B158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2FA136E4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B6DDE8"/>
                <w:lang w:eastAsia="en-GB"/>
              </w:rPr>
              <w:t>?</w:t>
            </w:r>
          </w:p>
        </w:tc>
        <w:tc>
          <w:tcPr>
            <w:tcW w:w="1843" w:type="dxa"/>
            <w:shd w:val="pct15" w:color="auto" w:fill="FFFFFF"/>
            <w:vAlign w:val="center"/>
          </w:tcPr>
          <w:p w14:paraId="56C38BF6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559" w:type="dxa"/>
            <w:shd w:val="pct15" w:color="auto" w:fill="FFFFFF"/>
            <w:vAlign w:val="center"/>
          </w:tcPr>
          <w:p w14:paraId="26DD52FB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13C52F45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</w:tr>
      <w:tr w:rsidR="00C80CAA" w:rsidRPr="00B44752" w14:paraId="130AFB31" w14:textId="77777777" w:rsidTr="00C13F88">
        <w:trPr>
          <w:trHeight w:val="147"/>
        </w:trPr>
        <w:tc>
          <w:tcPr>
            <w:tcW w:w="1482" w:type="dxa"/>
            <w:shd w:val="clear" w:color="auto" w:fill="FFFFFF"/>
          </w:tcPr>
          <w:p w14:paraId="07000080" w14:textId="77777777" w:rsidR="00C80CAA" w:rsidRPr="00B44752" w:rsidRDefault="00C80CAA" w:rsidP="00C13F88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="Arial"/>
                <w:bCs/>
                <w:sz w:val="24"/>
                <w:szCs w:val="24"/>
                <w:lang w:eastAsia="en-GB"/>
              </w:rPr>
              <w:t>Varangot-Reille</w:t>
            </w:r>
            <w:proofErr w:type="spellEnd"/>
            <w:r>
              <w:rPr>
                <w:rFonts w:eastAsia="Times New Roman" w:cs="Arial"/>
                <w:bCs/>
                <w:sz w:val="24"/>
                <w:szCs w:val="24"/>
                <w:lang w:eastAsia="en-GB"/>
              </w:rPr>
              <w:t xml:space="preserve"> et al., 2021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1FF0AA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2606C25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8219EBC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D35D39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3AC461F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</w:tr>
      <w:tr w:rsidR="00C80CAA" w:rsidRPr="00B44752" w14:paraId="1F83A429" w14:textId="77777777" w:rsidTr="00C13F88">
        <w:trPr>
          <w:trHeight w:val="147"/>
        </w:trPr>
        <w:tc>
          <w:tcPr>
            <w:tcW w:w="1482" w:type="dxa"/>
            <w:shd w:val="pct15" w:color="auto" w:fill="FFFFFF"/>
          </w:tcPr>
          <w:p w14:paraId="275337CE" w14:textId="77777777" w:rsidR="00C80CAA" w:rsidRPr="00B44752" w:rsidRDefault="00C80CAA" w:rsidP="00C13F88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en-GB"/>
              </w:rPr>
              <w:t>Wu et al., 2022</w:t>
            </w:r>
          </w:p>
        </w:tc>
        <w:tc>
          <w:tcPr>
            <w:tcW w:w="1276" w:type="dxa"/>
            <w:shd w:val="pct15" w:color="auto" w:fill="FFFFFF"/>
            <w:vAlign w:val="center"/>
          </w:tcPr>
          <w:p w14:paraId="3E90ABBC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2126" w:type="dxa"/>
            <w:shd w:val="pct15" w:color="auto" w:fill="FFFFFF"/>
            <w:vAlign w:val="center"/>
          </w:tcPr>
          <w:p w14:paraId="4F19133A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843" w:type="dxa"/>
            <w:shd w:val="pct15" w:color="auto" w:fill="FFFFFF"/>
            <w:vAlign w:val="center"/>
          </w:tcPr>
          <w:p w14:paraId="1003804C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559" w:type="dxa"/>
            <w:shd w:val="pct15" w:color="auto" w:fill="FFFFFF"/>
            <w:vAlign w:val="center"/>
          </w:tcPr>
          <w:p w14:paraId="715DB07C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  <w:tc>
          <w:tcPr>
            <w:tcW w:w="1701" w:type="dxa"/>
            <w:shd w:val="pct15" w:color="auto" w:fill="FFFFFF"/>
            <w:vAlign w:val="center"/>
          </w:tcPr>
          <w:p w14:paraId="32486CD3" w14:textId="77777777" w:rsidR="00C80CAA" w:rsidRPr="00B44752" w:rsidRDefault="00C80CAA" w:rsidP="00C13F88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n-GB"/>
              </w:rPr>
            </w:pPr>
            <w:r w:rsidRPr="00B44752">
              <w:rPr>
                <w:rFonts w:eastAsia="Times New Roman" w:cs="Arial"/>
                <w:bCs/>
                <w:sz w:val="24"/>
                <w:szCs w:val="24"/>
                <w:shd w:val="clear" w:color="auto" w:fill="D6E3BC"/>
                <w:lang w:eastAsia="en-GB"/>
              </w:rPr>
              <w:sym w:font="Wingdings" w:char="F04A"/>
            </w:r>
          </w:p>
        </w:tc>
      </w:tr>
    </w:tbl>
    <w:p w14:paraId="183D73A4" w14:textId="77777777" w:rsidR="00C80CAA" w:rsidRPr="00E05BD1" w:rsidRDefault="00C80CAA" w:rsidP="00C80CA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4752">
        <w:rPr>
          <w:rFonts w:eastAsia="Times New Roman" w:cs="Arial"/>
          <w:bCs/>
          <w:szCs w:val="24"/>
          <w:shd w:val="clear" w:color="auto" w:fill="D6E3BC"/>
          <w:lang w:eastAsia="en-GB"/>
        </w:rPr>
        <w:sym w:font="Wingdings" w:char="F04A"/>
      </w:r>
      <w:r>
        <w:rPr>
          <w:rFonts w:eastAsia="Times New Roman" w:cs="Arial"/>
          <w:bCs/>
          <w:szCs w:val="24"/>
          <w:shd w:val="clear" w:color="auto" w:fill="D6E3BC"/>
          <w:lang w:eastAsia="en-GB"/>
        </w:rPr>
        <w:t xml:space="preserve"> </w:t>
      </w:r>
      <w:r w:rsidRPr="008F68FD">
        <w:rPr>
          <w:rFonts w:eastAsia="Times New Roman" w:cs="Arial"/>
          <w:bCs/>
          <w:szCs w:val="24"/>
          <w:lang w:eastAsia="en-GB"/>
        </w:rPr>
        <w:t>= low risk</w:t>
      </w:r>
      <w:r w:rsidRPr="008F68FD">
        <w:rPr>
          <w:rFonts w:eastAsia="Times New Roman" w:cs="Arial"/>
          <w:bCs/>
          <w:szCs w:val="24"/>
        </w:rPr>
        <w:t xml:space="preserve">; </w:t>
      </w:r>
      <w:r w:rsidRPr="00B44752">
        <w:rPr>
          <w:rFonts w:eastAsia="Times New Roman" w:cs="Arial"/>
          <w:bCs/>
          <w:szCs w:val="24"/>
          <w:shd w:val="clear" w:color="auto" w:fill="FBD4B4"/>
          <w:lang w:eastAsia="en-GB"/>
        </w:rPr>
        <w:sym w:font="Wingdings" w:char="F04C"/>
      </w:r>
      <w:r w:rsidRPr="008F68FD">
        <w:rPr>
          <w:rFonts w:eastAsia="Times New Roman" w:cs="Arial"/>
          <w:bCs/>
          <w:szCs w:val="24"/>
          <w:lang w:eastAsia="en-GB"/>
        </w:rPr>
        <w:t xml:space="preserve"> = </w:t>
      </w:r>
      <w:r w:rsidRPr="008F68FD">
        <w:rPr>
          <w:rFonts w:eastAsia="Times New Roman" w:cs="Arial"/>
          <w:bCs/>
          <w:szCs w:val="24"/>
        </w:rPr>
        <w:t xml:space="preserve">high risk; </w:t>
      </w:r>
      <w:r w:rsidRPr="008F68FD">
        <w:rPr>
          <w:rFonts w:eastAsia="Times New Roman" w:cs="Arial"/>
          <w:bCs/>
          <w:szCs w:val="24"/>
          <w:shd w:val="clear" w:color="auto" w:fill="B6DDE8"/>
          <w:lang w:eastAsia="en-GB"/>
        </w:rPr>
        <w:t>?</w:t>
      </w:r>
      <w:r w:rsidRPr="008F68FD">
        <w:rPr>
          <w:rFonts w:eastAsia="Times New Roman" w:cs="Arial"/>
          <w:bCs/>
          <w:szCs w:val="24"/>
        </w:rPr>
        <w:t xml:space="preserve"> = unclear risk</w:t>
      </w:r>
    </w:p>
    <w:p w14:paraId="65E81A19" w14:textId="77777777" w:rsidR="00C80CAA" w:rsidRDefault="00C80CAA"/>
    <w:sectPr w:rsidR="00C80CAA" w:rsidSect="00C80CA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AA"/>
    <w:rsid w:val="00C8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11B2"/>
  <w15:chartTrackingRefBased/>
  <w15:docId w15:val="{D8BA2C17-4A05-4D19-A96F-EB281194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A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Reina Varona</dc:creator>
  <cp:keywords/>
  <dc:description/>
  <cp:lastModifiedBy>Álvaro Reina Varona</cp:lastModifiedBy>
  <cp:revision>1</cp:revision>
  <dcterms:created xsi:type="dcterms:W3CDTF">2023-02-23T15:02:00Z</dcterms:created>
  <dcterms:modified xsi:type="dcterms:W3CDTF">2023-02-23T15:03:00Z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6ace461a-b1af-40cd-bc85-5d15d08c9fc7</vt:lpwstr>
  </property>
</Properties>
</file>