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5BB644BA" w:rsidR="00B16F99" w:rsidRPr="00DC623A" w:rsidRDefault="00B16F99" w:rsidP="00B16F99">
      <w:pPr>
        <w:rPr>
          <w:rFonts w:ascii="Arial" w:hAnsi="Arial" w:cs="Arial"/>
          <w:b/>
          <w:sz w:val="28"/>
          <w:szCs w:val="28"/>
        </w:rPr>
      </w:pPr>
      <w:r w:rsidRPr="00DC623A">
        <w:rPr>
          <w:rFonts w:ascii="Arial" w:hAnsi="Arial" w:cs="Arial"/>
          <w:b/>
          <w:sz w:val="28"/>
          <w:szCs w:val="28"/>
        </w:rPr>
        <w:t>Supp</w:t>
      </w:r>
      <w:r w:rsidR="00B73A1C">
        <w:rPr>
          <w:rFonts w:ascii="Arial" w:hAnsi="Arial" w:cs="Arial"/>
          <w:b/>
          <w:sz w:val="28"/>
          <w:szCs w:val="28"/>
        </w:rPr>
        <w:t>orting</w:t>
      </w:r>
      <w:r w:rsidRPr="00DC623A">
        <w:rPr>
          <w:rFonts w:ascii="Arial" w:hAnsi="Arial" w:cs="Arial"/>
          <w:b/>
          <w:sz w:val="28"/>
          <w:szCs w:val="28"/>
        </w:rPr>
        <w:t xml:space="preserve"> Information for</w:t>
      </w:r>
    </w:p>
    <w:p w14:paraId="773A15B7" w14:textId="3B2DD606" w:rsidR="00015F74" w:rsidRPr="00DC623A" w:rsidRDefault="00092AB2" w:rsidP="007B5946">
      <w:pPr>
        <w:rPr>
          <w:rFonts w:ascii="Arial" w:hAnsi="Arial" w:cs="Arial"/>
          <w:sz w:val="20"/>
        </w:rPr>
      </w:pPr>
      <w:r w:rsidRPr="00092AB2">
        <w:rPr>
          <w:rFonts w:ascii="Arial" w:hAnsi="Arial" w:cs="Arial"/>
          <w:sz w:val="28"/>
          <w:szCs w:val="28"/>
        </w:rPr>
        <w:t>Intensification of the lacustrine methane cycle during the Toarcian Oceanic Anoxic Event</w:t>
      </w:r>
    </w:p>
    <w:p w14:paraId="6985025A" w14:textId="77777777" w:rsidR="00B16F99" w:rsidRPr="00DC623A" w:rsidRDefault="00B16F99" w:rsidP="007B5946">
      <w:pPr>
        <w:rPr>
          <w:rFonts w:ascii="Arial" w:hAnsi="Arial" w:cs="Arial"/>
          <w:sz w:val="20"/>
        </w:rPr>
      </w:pPr>
    </w:p>
    <w:p w14:paraId="616DA61E" w14:textId="77777777" w:rsidR="00092AB2" w:rsidRPr="00092AB2" w:rsidRDefault="00092AB2" w:rsidP="00092AB2">
      <w:pPr>
        <w:rPr>
          <w:rFonts w:ascii="Arial" w:hAnsi="Arial" w:cs="Arial"/>
          <w:sz w:val="20"/>
          <w:vertAlign w:val="superscript"/>
          <w:lang w:val="en-GB"/>
        </w:rPr>
      </w:pPr>
      <w:r w:rsidRPr="00092AB2">
        <w:rPr>
          <w:rFonts w:ascii="Arial" w:hAnsi="Arial" w:cs="Arial"/>
          <w:sz w:val="20"/>
          <w:lang w:val="en-GB"/>
        </w:rPr>
        <w:t>Yizhou Huang</w:t>
      </w:r>
      <w:r w:rsidRPr="00092AB2">
        <w:rPr>
          <w:rFonts w:ascii="Arial" w:hAnsi="Arial" w:cs="Arial"/>
          <w:sz w:val="20"/>
          <w:vertAlign w:val="superscript"/>
          <w:lang w:val="en-GB"/>
        </w:rPr>
        <w:t>1</w:t>
      </w:r>
      <w:r w:rsidRPr="00092AB2">
        <w:rPr>
          <w:rFonts w:ascii="Arial" w:hAnsi="Arial" w:cs="Arial"/>
          <w:sz w:val="20"/>
          <w:lang w:val="en-GB"/>
        </w:rPr>
        <w:t>, Xin Jin</w:t>
      </w:r>
      <w:r w:rsidRPr="00092AB2">
        <w:rPr>
          <w:rFonts w:ascii="Arial" w:hAnsi="Arial" w:cs="Arial"/>
          <w:sz w:val="20"/>
          <w:vertAlign w:val="superscript"/>
          <w:lang w:val="en-GB"/>
        </w:rPr>
        <w:t>2</w:t>
      </w:r>
      <w:r w:rsidRPr="00092AB2">
        <w:rPr>
          <w:rFonts w:ascii="Arial" w:hAnsi="Arial" w:cs="Arial"/>
          <w:sz w:val="20"/>
          <w:lang w:val="en-GB"/>
        </w:rPr>
        <w:t>, Richard D. Pancost</w:t>
      </w:r>
      <w:r w:rsidRPr="00092AB2">
        <w:rPr>
          <w:rFonts w:ascii="Arial" w:hAnsi="Arial" w:cs="Arial"/>
          <w:sz w:val="20"/>
          <w:vertAlign w:val="superscript"/>
          <w:lang w:val="en-GB"/>
        </w:rPr>
        <w:t>1</w:t>
      </w:r>
      <w:r w:rsidRPr="00092AB2">
        <w:rPr>
          <w:rFonts w:ascii="Arial" w:hAnsi="Arial" w:cs="Arial"/>
          <w:sz w:val="20"/>
          <w:lang w:val="en-GB"/>
        </w:rPr>
        <w:t>, David B. Kemp</w:t>
      </w:r>
      <w:r w:rsidRPr="00092AB2">
        <w:rPr>
          <w:rFonts w:ascii="Arial" w:hAnsi="Arial" w:cs="Arial"/>
          <w:sz w:val="20"/>
          <w:vertAlign w:val="superscript"/>
          <w:lang w:val="en-GB"/>
        </w:rPr>
        <w:t>3</w:t>
      </w:r>
      <w:r w:rsidRPr="00092AB2">
        <w:rPr>
          <w:rFonts w:ascii="Arial" w:hAnsi="Arial" w:cs="Arial"/>
          <w:sz w:val="20"/>
          <w:lang w:val="en-GB"/>
        </w:rPr>
        <w:t>, and B. David A. Naafs</w:t>
      </w:r>
      <w:proofErr w:type="gramStart"/>
      <w:r w:rsidRPr="00092AB2">
        <w:rPr>
          <w:rFonts w:ascii="Arial" w:hAnsi="Arial" w:cs="Arial"/>
          <w:sz w:val="20"/>
          <w:vertAlign w:val="superscript"/>
          <w:lang w:val="en-GB"/>
        </w:rPr>
        <w:t>1,*</w:t>
      </w:r>
      <w:proofErr w:type="gramEnd"/>
    </w:p>
    <w:p w14:paraId="1EBDE992" w14:textId="77777777" w:rsidR="000F0DCE" w:rsidRPr="00092AB2" w:rsidRDefault="000F0DCE" w:rsidP="007B5946">
      <w:pPr>
        <w:rPr>
          <w:rFonts w:ascii="Arial" w:hAnsi="Arial" w:cs="Arial"/>
          <w:sz w:val="20"/>
          <w:lang w:val="en-GB"/>
        </w:rPr>
      </w:pPr>
    </w:p>
    <w:p w14:paraId="0B3863EA" w14:textId="77777777" w:rsidR="00092AB2" w:rsidRDefault="00092AB2" w:rsidP="007B5946">
      <w:pPr>
        <w:rPr>
          <w:rFonts w:ascii="Arial" w:hAnsi="Arial" w:cs="Arial"/>
          <w:sz w:val="20"/>
          <w:lang w:val="en-GB"/>
        </w:rPr>
      </w:pPr>
      <w:r w:rsidRPr="00092AB2">
        <w:rPr>
          <w:rFonts w:ascii="Arial" w:hAnsi="Arial" w:cs="Arial"/>
          <w:sz w:val="20"/>
          <w:lang w:val="en-GB"/>
        </w:rPr>
        <w:t>Corresponding author: B. David A. Naafs</w:t>
      </w:r>
    </w:p>
    <w:p w14:paraId="48676783" w14:textId="2872E4D9" w:rsidR="004779CB" w:rsidRPr="00DC623A" w:rsidRDefault="00092AB2" w:rsidP="007B5946">
      <w:pPr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20"/>
          <w:lang w:val="en-GB" w:eastAsia="zh-CN"/>
        </w:rPr>
        <w:t>Emai</w:t>
      </w:r>
      <w:r>
        <w:rPr>
          <w:rFonts w:ascii="Arial" w:hAnsi="Arial" w:cs="Arial"/>
          <w:sz w:val="20"/>
          <w:lang w:val="en-GB"/>
        </w:rPr>
        <w:t xml:space="preserve">l: </w:t>
      </w:r>
      <w:hyperlink r:id="rId8" w:history="1">
        <w:r w:rsidRPr="00092AB2">
          <w:rPr>
            <w:rStyle w:val="Hyperlink"/>
            <w:rFonts w:ascii="Arial" w:hAnsi="Arial" w:cs="Arial"/>
            <w:sz w:val="20"/>
            <w:lang w:val="en-GB"/>
          </w:rPr>
          <w:t>david.naafs@bristol.ac.uk</w:t>
        </w:r>
      </w:hyperlink>
      <w:r w:rsidRPr="00DC623A">
        <w:rPr>
          <w:rFonts w:ascii="Arial" w:hAnsi="Arial" w:cs="Arial"/>
          <w:sz w:val="20"/>
        </w:rPr>
        <w:t xml:space="preserve"> </w:t>
      </w:r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343F3BD3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</w:t>
      </w:r>
      <w:r w:rsidR="00E669CE">
        <w:rPr>
          <w:rFonts w:ascii="Arial" w:hAnsi="Arial" w:cs="Arial"/>
          <w:b/>
          <w:sz w:val="20"/>
        </w:rPr>
        <w:t>supporting information</w:t>
      </w:r>
      <w:r w:rsidRPr="00DC623A">
        <w:rPr>
          <w:rFonts w:ascii="Arial" w:hAnsi="Arial" w:cs="Arial"/>
          <w:b/>
          <w:sz w:val="20"/>
        </w:rPr>
        <w:t xml:space="preserve">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21670AEA" w14:textId="0C024413" w:rsidR="002C030F" w:rsidRPr="00DC623A" w:rsidRDefault="00DA59EA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</w:t>
      </w:r>
      <w:r w:rsidR="00A3403B" w:rsidRPr="00DC623A">
        <w:rPr>
          <w:rFonts w:ascii="Arial" w:hAnsi="Arial" w:cs="Arial"/>
          <w:sz w:val="20"/>
        </w:rPr>
        <w:t xml:space="preserve"> </w:t>
      </w:r>
      <w:r w:rsidR="002C030F" w:rsidRPr="00DC623A">
        <w:rPr>
          <w:rFonts w:ascii="Arial" w:hAnsi="Arial" w:cs="Arial"/>
          <w:sz w:val="20"/>
        </w:rPr>
        <w:t>S1</w:t>
      </w:r>
      <w:r w:rsidR="00A3403B" w:rsidRPr="00DC623A">
        <w:rPr>
          <w:rFonts w:ascii="Arial" w:hAnsi="Arial" w:cs="Arial"/>
          <w:sz w:val="20"/>
        </w:rPr>
        <w:t xml:space="preserve"> to </w:t>
      </w:r>
      <w:r w:rsidR="002C030F" w:rsidRPr="00DC623A">
        <w:rPr>
          <w:rFonts w:ascii="Arial" w:hAnsi="Arial" w:cs="Arial"/>
          <w:sz w:val="20"/>
        </w:rPr>
        <w:t>S</w:t>
      </w:r>
      <w:r w:rsidR="00092AB2">
        <w:rPr>
          <w:rFonts w:ascii="Arial" w:hAnsi="Arial" w:cs="Arial"/>
          <w:sz w:val="20"/>
        </w:rPr>
        <w:t>4</w:t>
      </w:r>
    </w:p>
    <w:p w14:paraId="091A6F7B" w14:textId="182CE30C" w:rsidR="002C030F" w:rsidRPr="00DC623A" w:rsidRDefault="002C030F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Tables S1</w:t>
      </w:r>
    </w:p>
    <w:p w14:paraId="77BBB45A" w14:textId="7B7DD38A" w:rsidR="001C0520" w:rsidRPr="00DC623A" w:rsidRDefault="00CF16C9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 xml:space="preserve">SI </w:t>
      </w:r>
      <w:r w:rsidR="001C0520" w:rsidRPr="00DC623A">
        <w:rPr>
          <w:rFonts w:ascii="Arial" w:hAnsi="Arial" w:cs="Arial"/>
          <w:sz w:val="20"/>
        </w:rPr>
        <w:t xml:space="preserve">References </w:t>
      </w:r>
    </w:p>
    <w:p w14:paraId="7702D235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1A62E49D" w14:textId="78E6D102" w:rsidR="00B73A1C" w:rsidRPr="00092AB2" w:rsidRDefault="00B73A1C" w:rsidP="00092AB2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43327DF4" w14:textId="77777777" w:rsidR="000423B5" w:rsidRDefault="000423B5" w:rsidP="00B42F9C">
      <w:pPr>
        <w:pStyle w:val="SMHeading"/>
        <w:rPr>
          <w:rFonts w:ascii="Arial" w:hAnsi="Arial" w:cs="Arial"/>
          <w:sz w:val="20"/>
          <w:szCs w:val="20"/>
        </w:rPr>
        <w:sectPr w:rsidR="000423B5" w:rsidSect="000423B5">
          <w:headerReference w:type="default" r:id="rId9"/>
          <w:footerReference w:type="default" r:id="rId10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5E7E3C56" w14:textId="77777777" w:rsidR="00092AB2" w:rsidRDefault="00092AB2" w:rsidP="00B42F9C">
      <w:pPr>
        <w:pStyle w:val="SMHeading"/>
        <w:rPr>
          <w:rFonts w:ascii="Arial" w:hAnsi="Arial" w:cs="Arial"/>
          <w:sz w:val="20"/>
          <w:szCs w:val="20"/>
        </w:rPr>
      </w:pPr>
      <w:r w:rsidRPr="00D57AC1">
        <w:rPr>
          <w:rFonts w:ascii="Calibri" w:hAnsi="Calibri" w:cs="Calibri"/>
          <w:noProof/>
        </w:rPr>
        <w:lastRenderedPageBreak/>
        <w:drawing>
          <wp:inline distT="0" distB="0" distL="0" distR="0" wp14:anchorId="1B8D8565" wp14:editId="667C7600">
            <wp:extent cx="7920000" cy="2758250"/>
            <wp:effectExtent l="0" t="0" r="5080" b="4445"/>
            <wp:docPr id="10" name="图片 10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27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696B" w14:textId="7619A54A" w:rsidR="00352B4E" w:rsidRPr="00352B4E" w:rsidRDefault="007411A1" w:rsidP="00B42F9C">
      <w:pPr>
        <w:pStyle w:val="SMHeading"/>
        <w:rPr>
          <w:rFonts w:ascii="Arial" w:hAnsi="Arial" w:cs="Arial"/>
          <w:i/>
          <w:iCs/>
          <w:sz w:val="20"/>
          <w:szCs w:val="20"/>
        </w:rPr>
      </w:pPr>
      <w:r w:rsidRPr="00352B4E">
        <w:rPr>
          <w:rFonts w:ascii="Arial" w:hAnsi="Arial" w:cs="Arial"/>
          <w:i/>
          <w:iCs/>
          <w:sz w:val="20"/>
          <w:szCs w:val="20"/>
        </w:rPr>
        <w:t>Fig. S1.</w:t>
      </w:r>
      <w:r w:rsidR="00B42F9C" w:rsidRPr="00352B4E">
        <w:rPr>
          <w:rFonts w:ascii="Arial" w:hAnsi="Arial" w:cs="Arial"/>
          <w:i/>
          <w:iCs/>
          <w:sz w:val="20"/>
          <w:szCs w:val="20"/>
        </w:rPr>
        <w:t xml:space="preserve"> </w:t>
      </w:r>
      <w:r w:rsidR="00352B4E">
        <w:rPr>
          <w:rFonts w:ascii="Arial" w:hAnsi="Arial" w:cs="Arial"/>
          <w:i/>
          <w:iCs/>
          <w:sz w:val="20"/>
          <w:szCs w:val="20"/>
        </w:rPr>
        <w:t>B</w:t>
      </w:r>
      <w:r w:rsidR="00352B4E" w:rsidRPr="00352B4E">
        <w:rPr>
          <w:rFonts w:ascii="Arial" w:hAnsi="Arial" w:cs="Arial"/>
          <w:i/>
          <w:iCs/>
          <w:sz w:val="20"/>
          <w:szCs w:val="20"/>
        </w:rPr>
        <w:t>iomarkers in T-OAE sediments</w:t>
      </w:r>
    </w:p>
    <w:p w14:paraId="074242B3" w14:textId="52CB6FA6" w:rsidR="00092AB2" w:rsidRDefault="00092AB2" w:rsidP="00E669CE">
      <w:pPr>
        <w:pStyle w:val="SMHeading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352B4E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Chromatography (a) of TIC, m/z 71 and m/z 191 of the saturated fraction of sample NAY-17; (b) of m/z 133 of the aromatic fraction of sample NAY-83 that contains </w:t>
      </w:r>
      <w:proofErr w:type="spellStart"/>
      <w:r w:rsidRPr="00352B4E">
        <w:rPr>
          <w:rFonts w:ascii="Arial" w:hAnsi="Arial" w:cs="Arial"/>
          <w:b w:val="0"/>
          <w:bCs w:val="0"/>
          <w:i/>
          <w:iCs/>
          <w:sz w:val="20"/>
          <w:szCs w:val="20"/>
        </w:rPr>
        <w:t>isorenieratane</w:t>
      </w:r>
      <w:proofErr w:type="spellEnd"/>
      <w:r w:rsidRPr="00352B4E">
        <w:rPr>
          <w:rFonts w:ascii="Arial" w:hAnsi="Arial" w:cs="Arial"/>
          <w:b w:val="0"/>
          <w:bCs w:val="0"/>
          <w:i/>
          <w:iCs/>
          <w:sz w:val="20"/>
          <w:szCs w:val="20"/>
        </w:rPr>
        <w:t>.</w:t>
      </w:r>
    </w:p>
    <w:p w14:paraId="7C055783" w14:textId="77777777" w:rsidR="00E669CE" w:rsidRDefault="00E669CE" w:rsidP="00E669CE">
      <w:pPr>
        <w:pStyle w:val="SMHeading"/>
        <w:rPr>
          <w:rFonts w:ascii="Arial" w:hAnsi="Arial" w:cs="Arial"/>
          <w:sz w:val="20"/>
        </w:rPr>
        <w:sectPr w:rsidR="00E669CE" w:rsidSect="000423B5">
          <w:pgSz w:w="15840" w:h="12240" w:orient="landscape"/>
          <w:pgMar w:top="1800" w:right="1440" w:bottom="1800" w:left="1440" w:header="720" w:footer="720" w:gutter="0"/>
          <w:pgNumType w:start="1"/>
          <w:cols w:space="720"/>
          <w:docGrid w:linePitch="360"/>
        </w:sectPr>
      </w:pPr>
    </w:p>
    <w:p w14:paraId="61870533" w14:textId="77777777" w:rsidR="00E669CE" w:rsidRDefault="00E669CE" w:rsidP="00E669CE">
      <w:pPr>
        <w:pStyle w:val="SMHeading"/>
        <w:rPr>
          <w:rFonts w:ascii="Arial" w:hAnsi="Arial" w:cs="Arial"/>
          <w:sz w:val="20"/>
        </w:rPr>
      </w:pPr>
    </w:p>
    <w:p w14:paraId="5C88B16C" w14:textId="77777777" w:rsidR="00092AB2" w:rsidRDefault="00092AB2" w:rsidP="00B42F9C">
      <w:pPr>
        <w:pStyle w:val="SMHeading"/>
        <w:rPr>
          <w:rFonts w:ascii="Arial" w:hAnsi="Arial" w:cs="Arial"/>
          <w:sz w:val="20"/>
          <w:szCs w:val="20"/>
        </w:rPr>
      </w:pPr>
      <w:r w:rsidRPr="00D57AC1">
        <w:rPr>
          <w:rFonts w:ascii="Calibri" w:hAnsi="Calibri" w:cs="Calibri"/>
          <w:noProof/>
        </w:rPr>
        <w:drawing>
          <wp:inline distT="0" distB="0" distL="0" distR="0" wp14:anchorId="6BCE9FBD" wp14:editId="70D31243">
            <wp:extent cx="5220000" cy="5221735"/>
            <wp:effectExtent l="0" t="0" r="0" b="0"/>
            <wp:docPr id="2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52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42EB" w14:textId="22503936" w:rsidR="00E669CE" w:rsidRDefault="00112C5B" w:rsidP="00B42F9C">
      <w:pPr>
        <w:pStyle w:val="SMHeading"/>
        <w:rPr>
          <w:rFonts w:ascii="Arial" w:hAnsi="Arial" w:cs="Arial"/>
          <w:sz w:val="20"/>
          <w:szCs w:val="20"/>
          <w:lang w:val="en-GB"/>
        </w:rPr>
      </w:pPr>
      <w:r w:rsidRPr="00DC623A">
        <w:rPr>
          <w:rFonts w:ascii="Arial" w:hAnsi="Arial" w:cs="Arial"/>
          <w:sz w:val="20"/>
          <w:szCs w:val="20"/>
        </w:rPr>
        <w:t>Fig. S2</w:t>
      </w:r>
      <w:r w:rsidR="00B42F9C" w:rsidRPr="00DC623A">
        <w:rPr>
          <w:rFonts w:ascii="Arial" w:hAnsi="Arial" w:cs="Arial"/>
          <w:sz w:val="20"/>
          <w:szCs w:val="20"/>
        </w:rPr>
        <w:t xml:space="preserve">. </w:t>
      </w:r>
      <w:r w:rsidR="00092AB2" w:rsidRPr="00092AB2">
        <w:rPr>
          <w:rFonts w:ascii="Arial" w:hAnsi="Arial" w:cs="Arial"/>
          <w:sz w:val="20"/>
          <w:szCs w:val="20"/>
          <w:lang w:val="en-GB"/>
        </w:rPr>
        <w:t>The correlations between δ</w:t>
      </w:r>
      <w:r w:rsidR="00092AB2" w:rsidRPr="00092AB2">
        <w:rPr>
          <w:rFonts w:ascii="Arial" w:hAnsi="Arial" w:cs="Arial"/>
          <w:sz w:val="20"/>
          <w:szCs w:val="20"/>
          <w:vertAlign w:val="superscript"/>
          <w:lang w:val="en-GB"/>
        </w:rPr>
        <w:t>13</w:t>
      </w:r>
      <w:r w:rsidR="00092AB2" w:rsidRPr="00092AB2">
        <w:rPr>
          <w:rFonts w:ascii="Arial" w:hAnsi="Arial" w:cs="Arial"/>
          <w:sz w:val="20"/>
          <w:szCs w:val="20"/>
          <w:lang w:val="en-GB"/>
        </w:rPr>
        <w:t>C values</w:t>
      </w:r>
      <w:r w:rsidR="00E669CE">
        <w:rPr>
          <w:rFonts w:ascii="Arial" w:hAnsi="Arial" w:cs="Arial"/>
          <w:sz w:val="20"/>
          <w:szCs w:val="20"/>
          <w:lang w:val="en-GB"/>
        </w:rPr>
        <w:t xml:space="preserve"> of n-alkanes and pristane and phytane</w:t>
      </w:r>
    </w:p>
    <w:p w14:paraId="6888F658" w14:textId="3D65E200" w:rsidR="00477182" w:rsidRPr="00E669CE" w:rsidRDefault="00092AB2" w:rsidP="00B42F9C">
      <w:pPr>
        <w:pStyle w:val="SMHeading"/>
        <w:rPr>
          <w:rFonts w:ascii="Arial" w:hAnsi="Arial" w:cs="Arial"/>
          <w:b w:val="0"/>
          <w:bCs w:val="0"/>
          <w:sz w:val="20"/>
          <w:szCs w:val="20"/>
        </w:rPr>
      </w:pP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(a) various </w:t>
      </w:r>
      <w:r w:rsidRPr="00E669CE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n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-alkanes and</w:t>
      </w:r>
      <w:r w:rsidRPr="00E669CE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 xml:space="preserve"> 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(b) pristane and phytane, and the </w:t>
      </w:r>
      <w:r w:rsidRPr="00E669CE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r</w:t>
      </w:r>
      <w:r w:rsidRPr="00E669CE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2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(coefficient of determination). (c) and (d) are correlations between (c) </w:t>
      </w:r>
      <w:r w:rsidRPr="00E669CE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n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-alkanes δ</w:t>
      </w:r>
      <w:r w:rsidRPr="00E669CE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13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C and (d) pristane and phytane δ</w:t>
      </w:r>
      <w:r w:rsidRPr="00E669CE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13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C versus bulk δ</w:t>
      </w:r>
      <w:r w:rsidRPr="00E669CE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13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C</w:t>
      </w:r>
      <w:r w:rsidRPr="00E669CE">
        <w:rPr>
          <w:rFonts w:ascii="Arial" w:hAnsi="Arial" w:cs="Arial"/>
          <w:b w:val="0"/>
          <w:bCs w:val="0"/>
          <w:sz w:val="20"/>
          <w:szCs w:val="20"/>
          <w:vertAlign w:val="subscript"/>
          <w:lang w:val="en-GB"/>
        </w:rPr>
        <w:t>org</w:t>
      </w: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.</w:t>
      </w:r>
    </w:p>
    <w:p w14:paraId="695F73DE" w14:textId="77777777" w:rsidR="00670299" w:rsidRPr="00DC623A" w:rsidRDefault="00670299" w:rsidP="00670299">
      <w:pPr>
        <w:pStyle w:val="SMcaption"/>
        <w:rPr>
          <w:rFonts w:ascii="Arial" w:hAnsi="Arial" w:cs="Arial"/>
          <w:sz w:val="20"/>
        </w:rPr>
      </w:pPr>
    </w:p>
    <w:p w14:paraId="6CA45F04" w14:textId="77777777" w:rsidR="00092AB2" w:rsidRDefault="00092AB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77A5BCC0" w14:textId="33111ABE" w:rsidR="00092AB2" w:rsidRDefault="00092AB2" w:rsidP="00B42F9C">
      <w:pPr>
        <w:pStyle w:val="SMHeading"/>
        <w:rPr>
          <w:rFonts w:ascii="Arial" w:hAnsi="Arial" w:cs="Arial"/>
          <w:sz w:val="20"/>
          <w:szCs w:val="20"/>
        </w:rPr>
      </w:pPr>
      <w:r w:rsidRPr="00D57AC1">
        <w:rPr>
          <w:rFonts w:ascii="Calibri" w:hAnsi="Calibri" w:cs="Calibri"/>
          <w:noProof/>
        </w:rPr>
        <w:lastRenderedPageBreak/>
        <w:drawing>
          <wp:inline distT="0" distB="0" distL="0" distR="0" wp14:anchorId="323BAADD" wp14:editId="419C6BC9">
            <wp:extent cx="4784633" cy="2692400"/>
            <wp:effectExtent l="0" t="0" r="3810" b="0"/>
            <wp:docPr id="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40" cy="269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5A1E9" w14:textId="5E27292E" w:rsidR="00E669CE" w:rsidRDefault="00092AB2" w:rsidP="00E669CE">
      <w:pPr>
        <w:pStyle w:val="SMHeading"/>
        <w:rPr>
          <w:rFonts w:ascii="Arial" w:hAnsi="Arial" w:cs="Arial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t>Fig. S</w:t>
      </w:r>
      <w:r>
        <w:rPr>
          <w:rFonts w:ascii="Arial" w:hAnsi="Arial" w:cs="Arial"/>
          <w:sz w:val="20"/>
          <w:szCs w:val="20"/>
        </w:rPr>
        <w:t>3</w:t>
      </w:r>
      <w:r w:rsidRPr="00DC623A">
        <w:rPr>
          <w:rFonts w:ascii="Arial" w:hAnsi="Arial" w:cs="Arial"/>
          <w:sz w:val="20"/>
          <w:szCs w:val="20"/>
        </w:rPr>
        <w:t xml:space="preserve">. </w:t>
      </w:r>
      <w:r w:rsidRPr="00092AB2">
        <w:rPr>
          <w:rFonts w:ascii="Arial" w:hAnsi="Arial" w:cs="Arial"/>
          <w:sz w:val="20"/>
          <w:szCs w:val="20"/>
          <w:lang w:val="en-GB"/>
        </w:rPr>
        <w:t>The correlations of δ</w:t>
      </w:r>
      <w:r w:rsidRPr="00092AB2">
        <w:rPr>
          <w:rFonts w:ascii="Arial" w:hAnsi="Arial" w:cs="Arial"/>
          <w:sz w:val="20"/>
          <w:szCs w:val="20"/>
          <w:vertAlign w:val="superscript"/>
          <w:lang w:val="en-GB"/>
        </w:rPr>
        <w:t>13</w:t>
      </w:r>
      <w:r w:rsidRPr="00092AB2">
        <w:rPr>
          <w:rFonts w:ascii="Arial" w:hAnsi="Arial" w:cs="Arial"/>
          <w:sz w:val="20"/>
          <w:szCs w:val="20"/>
          <w:lang w:val="en-GB"/>
        </w:rPr>
        <w:t>C values of</w:t>
      </w:r>
      <w:r w:rsidRPr="00092AB2">
        <w:rPr>
          <w:rFonts w:ascii="Arial" w:hAnsi="Arial" w:cs="Arial"/>
          <w:sz w:val="20"/>
          <w:szCs w:val="20"/>
        </w:rPr>
        <w:t xml:space="preserve"> </w:t>
      </w:r>
      <w:r w:rsidR="00E669CE">
        <w:rPr>
          <w:rFonts w:ascii="Arial" w:hAnsi="Arial" w:cs="Arial"/>
          <w:sz w:val="20"/>
          <w:szCs w:val="20"/>
        </w:rPr>
        <w:t>hopanoids</w:t>
      </w:r>
    </w:p>
    <w:p w14:paraId="3B04AC5B" w14:textId="29F14A98" w:rsidR="00092AB2" w:rsidRPr="00E669CE" w:rsidRDefault="00E669CE" w:rsidP="00E669CE">
      <w:pPr>
        <w:pStyle w:val="SMHeading"/>
        <w:rPr>
          <w:rFonts w:ascii="Arial" w:hAnsi="Arial" w:cs="Arial"/>
          <w:b w:val="0"/>
          <w:bCs w:val="0"/>
          <w:sz w:val="20"/>
        </w:rPr>
      </w:pPr>
      <w:r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Showing data for 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C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vertAlign w:val="subscript"/>
        </w:rPr>
        <w:t>29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-C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vertAlign w:val="subscript"/>
          <w:lang w:val="en-GB"/>
        </w:rPr>
        <w:t xml:space="preserve">32 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αβ </w:t>
      </w:r>
      <w:proofErr w:type="spellStart"/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hopanes</w:t>
      </w:r>
      <w:proofErr w:type="spellEnd"/>
      <w:r w:rsidR="00092AB2" w:rsidRPr="00E669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>and</w:t>
      </w:r>
      <w:r w:rsidR="00092AB2" w:rsidRPr="00E669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the </w:t>
      </w:r>
      <w:r w:rsidR="00092AB2" w:rsidRPr="00E669CE">
        <w:rPr>
          <w:rFonts w:ascii="Arial" w:hAnsi="Arial" w:cs="Arial"/>
          <w:b w:val="0"/>
          <w:bCs w:val="0"/>
          <w:i/>
          <w:iCs/>
          <w:sz w:val="20"/>
          <w:szCs w:val="20"/>
          <w:lang w:val="en-GB"/>
        </w:rPr>
        <w:t>r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vertAlign w:val="superscript"/>
          <w:lang w:val="en-GB"/>
        </w:rPr>
        <w:t>2</w:t>
      </w:r>
      <w:r w:rsidR="00092AB2" w:rsidRPr="00E669CE">
        <w:rPr>
          <w:rFonts w:ascii="Arial" w:hAnsi="Arial" w:cs="Arial"/>
          <w:b w:val="0"/>
          <w:bCs w:val="0"/>
          <w:sz w:val="20"/>
          <w:szCs w:val="20"/>
          <w:lang w:val="en-GB"/>
        </w:rPr>
        <w:t xml:space="preserve"> (coefficient of determination).</w:t>
      </w:r>
    </w:p>
    <w:p w14:paraId="2BE711A5" w14:textId="25CFF0C4" w:rsidR="00092AB2" w:rsidRDefault="00092AB2" w:rsidP="00B42F9C">
      <w:pPr>
        <w:pStyle w:val="SMHeading"/>
        <w:rPr>
          <w:rFonts w:ascii="Arial" w:hAnsi="Arial" w:cs="Arial"/>
          <w:sz w:val="20"/>
          <w:szCs w:val="20"/>
        </w:rPr>
      </w:pPr>
      <w:r w:rsidRPr="00D57AC1">
        <w:rPr>
          <w:rFonts w:ascii="Calibri" w:hAnsi="Calibri" w:cs="Calibri"/>
          <w:b w:val="0"/>
          <w:bCs w:val="0"/>
          <w:noProof/>
        </w:rPr>
        <w:drawing>
          <wp:inline distT="0" distB="0" distL="0" distR="0" wp14:anchorId="35544959" wp14:editId="7D8EB35F">
            <wp:extent cx="5164817" cy="374026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64817" cy="374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91128" w14:textId="77777777" w:rsidR="00E669CE" w:rsidRDefault="00092AB2" w:rsidP="00092AB2">
      <w:pPr>
        <w:pStyle w:val="SMHeading"/>
        <w:rPr>
          <w:rFonts w:ascii="Arial" w:hAnsi="Arial" w:cs="Arial"/>
          <w:sz w:val="20"/>
          <w:lang w:val="en-GB"/>
        </w:rPr>
      </w:pPr>
      <w:r w:rsidRPr="00DC623A">
        <w:rPr>
          <w:rFonts w:ascii="Arial" w:hAnsi="Arial" w:cs="Arial"/>
          <w:sz w:val="20"/>
          <w:szCs w:val="20"/>
        </w:rPr>
        <w:t>Fig. S</w:t>
      </w:r>
      <w:r>
        <w:rPr>
          <w:rFonts w:ascii="Arial" w:hAnsi="Arial" w:cs="Arial"/>
          <w:sz w:val="20"/>
          <w:szCs w:val="20"/>
        </w:rPr>
        <w:t>4</w:t>
      </w:r>
      <w:r w:rsidRPr="00DC623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092AB2">
        <w:rPr>
          <w:rFonts w:ascii="Arial" w:hAnsi="Arial" w:cs="Arial"/>
          <w:sz w:val="20"/>
          <w:lang w:val="en-GB"/>
        </w:rPr>
        <w:t xml:space="preserve">Additional biomarker data from the Ordos Basin. </w:t>
      </w:r>
    </w:p>
    <w:p w14:paraId="6BF58600" w14:textId="64DECE31" w:rsidR="00092AB2" w:rsidRPr="00E669CE" w:rsidRDefault="00092AB2" w:rsidP="00092AB2">
      <w:pPr>
        <w:pStyle w:val="SMHeading"/>
        <w:rPr>
          <w:rFonts w:ascii="Arial" w:hAnsi="Arial" w:cs="Arial"/>
          <w:b w:val="0"/>
          <w:bCs w:val="0"/>
          <w:sz w:val="20"/>
          <w:lang w:val="en-GB"/>
        </w:rPr>
      </w:pPr>
      <w:r w:rsidRPr="00E669CE">
        <w:rPr>
          <w:rFonts w:ascii="Arial" w:hAnsi="Arial" w:cs="Arial"/>
          <w:b w:val="0"/>
          <w:bCs w:val="0"/>
          <w:sz w:val="20"/>
          <w:lang w:val="en-GB"/>
        </w:rPr>
        <w:t>(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a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>) δ</w:t>
      </w:r>
      <w:r w:rsidRPr="00E669CE">
        <w:rPr>
          <w:rFonts w:ascii="Arial" w:hAnsi="Arial" w:cs="Arial"/>
          <w:b w:val="0"/>
          <w:bCs w:val="0"/>
          <w:sz w:val="20"/>
          <w:vertAlign w:val="superscript"/>
          <w:lang w:val="en-GB"/>
        </w:rPr>
        <w:t>13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>C</w:t>
      </w:r>
      <w:r w:rsidRPr="00E669CE">
        <w:rPr>
          <w:rFonts w:ascii="Arial" w:hAnsi="Arial" w:cs="Arial"/>
          <w:b w:val="0"/>
          <w:bCs w:val="0"/>
          <w:sz w:val="20"/>
          <w:vertAlign w:val="subscript"/>
          <w:lang w:val="en-GB"/>
        </w:rPr>
        <w:t>org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 xml:space="preserve"> and (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b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 xml:space="preserve">) TOC contents are from Jin 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et al.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 xml:space="preserve"> (2020; 2022). The relative abundance of (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c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>) isorenieratane and (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d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>) aryl isoprenoids. (</w:t>
      </w:r>
      <w:r w:rsidRPr="00E669CE">
        <w:rPr>
          <w:rFonts w:ascii="Arial" w:hAnsi="Arial" w:cs="Arial"/>
          <w:b w:val="0"/>
          <w:bCs w:val="0"/>
          <w:i/>
          <w:iCs/>
          <w:sz w:val="20"/>
          <w:lang w:val="en-GB"/>
        </w:rPr>
        <w:t>e</w:t>
      </w:r>
      <w:r w:rsidRPr="00E669CE">
        <w:rPr>
          <w:rFonts w:ascii="Arial" w:hAnsi="Arial" w:cs="Arial"/>
          <w:b w:val="0"/>
          <w:bCs w:val="0"/>
          <w:sz w:val="20"/>
          <w:lang w:val="en-GB"/>
        </w:rPr>
        <w:t>) is the relative abundance of pimanthrene (top) and retene (bottom).</w:t>
      </w:r>
    </w:p>
    <w:p w14:paraId="549ED79C" w14:textId="77777777" w:rsidR="000423B5" w:rsidRDefault="000423B5" w:rsidP="00092AB2">
      <w:pPr>
        <w:pStyle w:val="SMHeading"/>
        <w:rPr>
          <w:rFonts w:ascii="Arial" w:hAnsi="Arial" w:cs="Arial"/>
          <w:sz w:val="20"/>
          <w:szCs w:val="20"/>
        </w:rPr>
        <w:sectPr w:rsidR="000423B5" w:rsidSect="00E669CE"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075DA276" w14:textId="77777777" w:rsidR="00092AB2" w:rsidRPr="00092AB2" w:rsidRDefault="00015F74" w:rsidP="00092AB2">
      <w:pPr>
        <w:pStyle w:val="SMHeading"/>
        <w:rPr>
          <w:rFonts w:ascii="Arial" w:hAnsi="Arial" w:cs="Arial"/>
          <w:sz w:val="20"/>
          <w:lang w:val="en-GB"/>
        </w:rPr>
      </w:pPr>
      <w:r w:rsidRPr="00DC623A">
        <w:rPr>
          <w:rFonts w:ascii="Arial" w:hAnsi="Arial" w:cs="Arial"/>
          <w:sz w:val="20"/>
          <w:szCs w:val="20"/>
        </w:rPr>
        <w:lastRenderedPageBreak/>
        <w:t>Table S1.</w:t>
      </w:r>
      <w:r w:rsidR="00B42F9C" w:rsidRPr="00DC623A">
        <w:rPr>
          <w:rFonts w:ascii="Arial" w:hAnsi="Arial" w:cs="Arial"/>
          <w:sz w:val="20"/>
          <w:szCs w:val="20"/>
        </w:rPr>
        <w:t xml:space="preserve"> </w:t>
      </w:r>
      <w:r w:rsidR="00092AB2" w:rsidRPr="00092AB2">
        <w:rPr>
          <w:rFonts w:ascii="Arial" w:hAnsi="Arial" w:cs="Arial"/>
          <w:sz w:val="20"/>
          <w:lang w:val="en-GB"/>
        </w:rPr>
        <w:t xml:space="preserve">Table S1. Source data and corresponding references of </w:t>
      </w:r>
      <w:r w:rsidR="00092AB2" w:rsidRPr="00092AB2">
        <w:rPr>
          <w:rFonts w:ascii="Arial" w:hAnsi="Arial" w:cs="Arial" w:hint="eastAsia"/>
          <w:sz w:val="20"/>
          <w:lang w:val="en-GB"/>
        </w:rPr>
        <w:t>F</w:t>
      </w:r>
      <w:r w:rsidR="00092AB2" w:rsidRPr="00092AB2">
        <w:rPr>
          <w:rFonts w:ascii="Arial" w:hAnsi="Arial" w:cs="Arial"/>
          <w:sz w:val="20"/>
          <w:lang w:val="en-GB"/>
        </w:rPr>
        <w:t>ig. 3.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18"/>
        <w:gridCol w:w="819"/>
        <w:gridCol w:w="776"/>
        <w:gridCol w:w="850"/>
        <w:gridCol w:w="709"/>
        <w:gridCol w:w="2835"/>
        <w:gridCol w:w="4394"/>
      </w:tblGrid>
      <w:tr w:rsidR="00092AB2" w:rsidRPr="00092AB2" w14:paraId="78C58B30" w14:textId="77777777" w:rsidTr="000423B5">
        <w:trPr>
          <w:trHeight w:val="507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E25027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bscript"/>
                <w:lang w:eastAsia="zh-CN"/>
              </w:rPr>
              <w:t>carb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CDD421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bscript"/>
                <w:lang w:eastAsia="zh-CN"/>
              </w:rPr>
              <w:t>org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F3C32A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bscript"/>
                <w:lang w:eastAsia="zh-CN"/>
              </w:rPr>
              <w:t>alk</w:t>
            </w:r>
          </w:p>
        </w:tc>
        <w:tc>
          <w:tcPr>
            <w:tcW w:w="776" w:type="dxa"/>
            <w:shd w:val="clear" w:color="auto" w:fill="auto"/>
            <w:vAlign w:val="center"/>
            <w:hideMark/>
          </w:tcPr>
          <w:p w14:paraId="6371395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bscript"/>
                <w:lang w:eastAsia="zh-CN"/>
              </w:rPr>
              <w:t>pr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 xml:space="preserve"> &amp; Δ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vertAlign w:val="subscript"/>
                <w:lang w:eastAsia="zh-CN"/>
              </w:rPr>
              <w:t>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B2A42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Setting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F9E666" w14:textId="77777777" w:rsidR="000423B5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OM</w:t>
            </w:r>
          </w:p>
          <w:p w14:paraId="2550B102" w14:textId="52B2FF53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type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A353B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Section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14:paraId="4BCFAA5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 w:hint="eastAsia"/>
                <w:b/>
                <w:bCs/>
                <w:color w:val="000000"/>
                <w:sz w:val="21"/>
                <w:szCs w:val="21"/>
                <w:lang w:eastAsia="zh-CN"/>
              </w:rPr>
              <w:t>R</w:t>
            </w:r>
            <w:r w:rsidRPr="00092AB2"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  <w:t>eferences</w:t>
            </w:r>
          </w:p>
        </w:tc>
      </w:tr>
      <w:tr w:rsidR="00092AB2" w:rsidRPr="00092AB2" w14:paraId="5080A764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D799F4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DDF735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-12.50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0583AE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-10.58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3D789A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-13.14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C8A330" w14:textId="793FF6E8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22921E9" w14:textId="7F167165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F06A75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Anya, Ordos Basin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4E50DA" w14:textId="77777777" w:rsidR="00092AB2" w:rsidRPr="00092AB2" w:rsidRDefault="00092AB2" w:rsidP="00092AB2">
            <w:pPr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This study</w:t>
            </w:r>
          </w:p>
        </w:tc>
      </w:tr>
      <w:tr w:rsidR="00092AB2" w:rsidRPr="00092AB2" w14:paraId="4F57F32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2A28C4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0EB8D2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-6.17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792EE9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-3.70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AD8773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D616633" w14:textId="1748127A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5F1391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9A6C72" w14:textId="19F8B1A6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3F3AE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Core A, Sichuan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3C3F34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Xu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2017</w:t>
            </w:r>
          </w:p>
        </w:tc>
      </w:tr>
      <w:tr w:rsidR="00092AB2" w:rsidRPr="00092AB2" w14:paraId="52B0DA77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C17361D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18403C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-1.70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091ABE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F7CA91D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C70A276" w14:textId="7AED6500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5F1391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8157C69" w14:textId="18EC71D5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527F3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ZK01,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Jinyang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6E74E3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Liu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2020</w:t>
            </w:r>
          </w:p>
        </w:tc>
      </w:tr>
      <w:tr w:rsidR="00092AB2" w:rsidRPr="00092AB2" w14:paraId="41F2CD8F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5B9E770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-2.07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7F09638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-4.72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3BFB6B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CD1522F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4ACEC3" w14:textId="5D6A592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EAC1B8" w14:textId="29FCA1AF" w:rsidR="00092AB2" w:rsidRPr="00092AB2" w:rsidRDefault="000423B5" w:rsidP="000423B5">
            <w:pPr>
              <w:ind w:left="720" w:hanging="720"/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16702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Amellago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D89C58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Bodin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2010; 2016</w:t>
            </w:r>
          </w:p>
        </w:tc>
      </w:tr>
      <w:tr w:rsidR="00092AB2" w:rsidRPr="00092AB2" w14:paraId="0372093E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AC4CEE1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B413EB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-4.33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110D0E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D2BB5A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0E522FB" w14:textId="00BDC083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17BEA6D" w14:textId="0562C7B4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DD192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Anabar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Bay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21B1143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Suan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221C351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8D93117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F3D279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-7.00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8244C0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384AA2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-3.40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37FF095" w14:textId="2E0B4025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3D653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61983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ANDRA Core HTM, Paris Basin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198BFC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van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Breugel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2006</w:t>
            </w:r>
          </w:p>
        </w:tc>
      </w:tr>
      <w:tr w:rsidR="00092AB2" w:rsidRPr="00092AB2" w14:paraId="4D898DE7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F2E68F6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27D6D8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-3.70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0DF847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9E8F04A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8572FC8" w14:textId="5D2F070D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D0F0E3" w14:textId="5F6D797C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1B5F727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Arroyo Lapa North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CD75FF8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Al-Suwaidi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2016</w:t>
            </w:r>
          </w:p>
        </w:tc>
      </w:tr>
      <w:tr w:rsidR="00092AB2" w:rsidRPr="00092AB2" w14:paraId="6FC16796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115A478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653695C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-8.63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8FDB920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8B3DE22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75DB290" w14:textId="401C774E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9833F3" w14:textId="4EB7498A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0DD1DD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Arroyo Lapa South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F38C3EE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Al-Suwaidi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2010; 2016</w:t>
            </w:r>
          </w:p>
        </w:tc>
      </w:tr>
      <w:tr w:rsidR="00092AB2" w:rsidRPr="00092AB2" w14:paraId="7BA9097A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AFD582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99ECB59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BEBD71E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1A8862C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9300B97" w14:textId="3A9CE1CC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39963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45A20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Arroyo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Serrucho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1671BF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Al-Suwaidi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2016</w:t>
            </w:r>
          </w:p>
        </w:tc>
      </w:tr>
      <w:tr w:rsidR="00092AB2" w:rsidRPr="00092AB2" w14:paraId="567D0F5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EDD8E5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4AABE14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54AE5A0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557F53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A67A48F" w14:textId="20065C44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20F0C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C181D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Asientos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99F11DD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Fantasia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2018b</w:t>
            </w:r>
          </w:p>
        </w:tc>
      </w:tr>
      <w:tr w:rsidR="00092AB2" w:rsidRPr="00092AB2" w14:paraId="04CB06F6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6C193E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-3.67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B54F4D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-2.59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540CA3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19AAD7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5FCC5DA" w14:textId="5434FA3A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3F3B6D" w14:textId="7C3CD575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D7886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Bilong Co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098E663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Fu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2016</w:t>
            </w:r>
          </w:p>
        </w:tc>
      </w:tr>
      <w:tr w:rsidR="00092AB2" w:rsidRPr="00092AB2" w14:paraId="1911DA43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BD6B82C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7646D25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-5.23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2BC1A74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54FB146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D50C22A" w14:textId="64082F8F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35A923" w14:textId="2FDBA6C3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A6826C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Bilong Co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E659DA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Xia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2021</w:t>
            </w:r>
          </w:p>
        </w:tc>
      </w:tr>
      <w:tr w:rsidR="000423B5" w:rsidRPr="00092AB2" w14:paraId="6B01A3C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CEEFC8D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75BA09C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-6.66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12D7662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8237526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3523436" w14:textId="334E88CC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3A9A368" w14:textId="253DA998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4E774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EE9192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Bornholm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4534EC4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Hesselbo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2000</w:t>
            </w:r>
          </w:p>
        </w:tc>
      </w:tr>
      <w:tr w:rsidR="000423B5" w:rsidRPr="00092AB2" w14:paraId="2A409BA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8F436DF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-4.62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BE9EA59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-4.07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7D009F0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319F91A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6764E22" w14:textId="259C71F4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3A05993" w14:textId="162FF783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4E774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993377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Boumardoul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n´Imazighn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5585EFC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Bodin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2016</w:t>
            </w:r>
          </w:p>
        </w:tc>
      </w:tr>
      <w:tr w:rsidR="00092AB2" w:rsidRPr="00092AB2" w14:paraId="01343E83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BA1032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-1.40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B03D28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CB1591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AB2C5F4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761073F" w14:textId="24E5DFD4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5FBB0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97C04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Breggia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FB86CD7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Fantasia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2018a; 2019b</w:t>
            </w:r>
          </w:p>
        </w:tc>
      </w:tr>
      <w:tr w:rsidR="00092AB2" w:rsidRPr="00092AB2" w14:paraId="385E618A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C4EE93A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A563469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-7.60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825530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AEECD78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64D4896" w14:textId="24D44FD3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E69416" w14:textId="5F933A18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CBD18D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Brody-Lubienia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3330BF3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92AB2" w:rsidRPr="00092AB2" w14:paraId="715F336A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7D0B31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-2.27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C72550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-2.45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9352D8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81FBC00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47C3BCB" w14:textId="2B593243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0EB4E3" w14:textId="44D5D3AD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3E2FA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Creux de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l'Ours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(Fantasia)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4B6BC37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Fantasia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2018a; 2019b</w:t>
            </w:r>
          </w:p>
        </w:tc>
      </w:tr>
      <w:tr w:rsidR="00092AB2" w:rsidRPr="00092AB2" w14:paraId="14EB874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C445481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46AC164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-5.22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E89DBCA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9C1B2A4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6EF2AC0" w14:textId="05D080D2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47D42D" w14:textId="058D4242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A3A6AD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dormettingen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73E1D01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Galasso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2021</w:t>
            </w:r>
          </w:p>
        </w:tc>
      </w:tr>
      <w:tr w:rsidR="00092AB2" w:rsidRPr="00092AB2" w14:paraId="046D965B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AB0A4E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3.88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5B3E98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213645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CFD5E8E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F215EA7" w14:textId="095EBDC6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390A4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4B346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Doset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927517A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Jenkynes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&amp; Clayton, 1997</w:t>
            </w:r>
          </w:p>
        </w:tc>
      </w:tr>
      <w:tr w:rsidR="00092AB2" w:rsidRPr="00092AB2" w14:paraId="78A2017C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B2DDD2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-4.00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2989EE9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-4.00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B9222F1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0535178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7691ADF" w14:textId="133B92D2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38B247" w14:textId="0AC06231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1C42C1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Dotternhausen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39D4B5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Röhl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2001</w:t>
            </w:r>
          </w:p>
        </w:tc>
      </w:tr>
      <w:tr w:rsidR="00092AB2" w:rsidRPr="00092AB2" w14:paraId="0D2B219F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A1FFB2A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7F363A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-5.51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F43F9E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-3.00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DD7F2A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-3.90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083FC28" w14:textId="09E5805D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6D5311" w14:textId="1183F102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18600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Dotternhausen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D29F1B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Dickson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2017 (δ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); Schouten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, 2000 (CSI) </w:t>
            </w:r>
          </w:p>
        </w:tc>
      </w:tr>
      <w:tr w:rsidR="00092AB2" w:rsidRPr="00092AB2" w14:paraId="2F529A9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AB59B5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-5.99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414420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-5.98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834D01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D1FF73E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E5CED25" w14:textId="1CCA1176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E02ACBC" w14:textId="53B4E82F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A991B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Dotternhausen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F482F7D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Röhl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2001</w:t>
            </w:r>
          </w:p>
        </w:tc>
      </w:tr>
      <w:tr w:rsidR="00092AB2" w:rsidRPr="00092AB2" w14:paraId="0D4F95B4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F024876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5A29F0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-1.52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ABB7FF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6284DC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33D2749" w14:textId="73E9065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18DA6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7ECAA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Dotternhausen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B314C7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van de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Schootbrugge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2005</w:t>
            </w:r>
          </w:p>
        </w:tc>
      </w:tr>
      <w:tr w:rsidR="00092AB2" w:rsidRPr="00092AB2" w14:paraId="4ED635F9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12EC267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9E4C31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-3.29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81DCCE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A4AC1E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0FDFB7C" w14:textId="53A8F0FC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A596D8" w14:textId="4834806B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98AB4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East Tributary, Alberta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4F0396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Them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2017</w:t>
            </w:r>
          </w:p>
        </w:tc>
      </w:tr>
      <w:tr w:rsidR="00092AB2" w:rsidRPr="00092AB2" w14:paraId="3A63A82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AE17557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-5.21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65F42F5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-4.35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F9854E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1FDAF41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C393730" w14:textId="785943DE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071FD4" w14:textId="3766F2B9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E5CD75E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El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Peñon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ABEF255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Fantasia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2018b</w:t>
            </w:r>
          </w:p>
        </w:tc>
      </w:tr>
      <w:tr w:rsidR="00092AB2" w:rsidRPr="00092AB2" w14:paraId="6AEDFA79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C35E07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-1.48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9F207D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52349D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5D4F103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52EB822" w14:textId="38C0C1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5AEB7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07D22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Es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Cosconar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21501AC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Rosales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  <w:tr w:rsidR="00092AB2" w:rsidRPr="00092AB2" w14:paraId="3BF2B3E1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6AEEFB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lastRenderedPageBreak/>
              <w:t xml:space="preserve">-0.97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030023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-6.48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CD11E8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D8C8C70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3F48067" w14:textId="5F9944FF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EEAF7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CEE72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Foum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Tillich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C860174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Bodin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2016</w:t>
            </w:r>
          </w:p>
        </w:tc>
      </w:tr>
      <w:tr w:rsidR="00092AB2" w:rsidRPr="00092AB2" w14:paraId="2A669981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8EB9893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1493770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-2.00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0E09D13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3F6D67E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F8F6B86" w14:textId="035FB074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1CE605" w14:textId="668CC5CD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B12EB4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Fuente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Vidriera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7595D8C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Rodrigues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2019</w:t>
            </w:r>
          </w:p>
        </w:tc>
      </w:tr>
      <w:tr w:rsidR="00092AB2" w:rsidRPr="00092AB2" w14:paraId="69A50A06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D1BB4F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-1.88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AF95B8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B399CBD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C3EF62B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676C509" w14:textId="076C6E22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71B60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60D02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Gornje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B1E6F6A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Sabatino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2013</w:t>
            </w:r>
          </w:p>
        </w:tc>
      </w:tr>
      <w:tr w:rsidR="000423B5" w:rsidRPr="00092AB2" w14:paraId="459A75B0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B7E842F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FA1F084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-6.61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294D218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24CA9E6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21ECBD3" w14:textId="0A487ABB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27E2D60" w14:textId="5BD74E15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861998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9F9FE8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Gorzow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Wielkpolski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C64D91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423B5" w:rsidRPr="00092AB2" w14:paraId="7F3FCEF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1A1BBC0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4AC9449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-7.18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BC17EB3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9266C20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20ECBF6" w14:textId="20D01BE0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B36904" w14:textId="15E5C62D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861998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D0B7AF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Haida Gwaii, British Columbia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23B0BC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Caruthers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609C0ADE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DF3120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-6.00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107509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-6.56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0AC681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122C22E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D80330A" w14:textId="6AAC8736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33045C" w14:textId="31103B9E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3B35D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Kastelli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48D023E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Kafousia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3B5D7847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D59DAB6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B285FD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-4.78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6F0BDC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CAC4D0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91332E7" w14:textId="6B21BDD3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946DFB" w14:textId="6A9289BE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4C1A8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Katsuyama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7A1F5C0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Gröcke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4B471887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BDC181C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595954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-6.57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68BC977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BBC8E74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BB1E921" w14:textId="1FDB10F8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4993E5" w14:textId="7C1C8B90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BB8A3D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Kelimyar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River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B31C08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Suan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4D444A66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184C0A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0.00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CE040D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-2.20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224D82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A84C66D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2BD2C46" w14:textId="10A12E6E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5849D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15200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Kovk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Section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7AC0D4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Ettinger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2021</w:t>
            </w:r>
          </w:p>
        </w:tc>
      </w:tr>
      <w:tr w:rsidR="00092AB2" w:rsidRPr="00092AB2" w14:paraId="7B5BED06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FE70C89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DD8C9AB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-3.99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0BDA686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6AA30D4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A202029" w14:textId="2A9C1B32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7EBB82" w14:textId="3AB03D57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EC326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Kozlowice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D55B05F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92AB2" w:rsidRPr="00092AB2" w14:paraId="48FCF45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0A0E815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7F42C7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-0.83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D5BC6D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4E75975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A5F97F3" w14:textId="4D7A6022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5512D5" w14:textId="12BB2F3E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C028C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La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Cerradura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E94B5D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Rodrigues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2019</w:t>
            </w:r>
          </w:p>
        </w:tc>
      </w:tr>
      <w:tr w:rsidR="00092AB2" w:rsidRPr="00092AB2" w14:paraId="0FFD15F8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B35B6D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-1.20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6B45A2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-3.40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FF27FC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51CBC53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A719D7D" w14:textId="696348FF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3B3760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C3345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La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Cerradura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9BCEDD6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Ruebsam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2020</w:t>
            </w:r>
          </w:p>
        </w:tc>
      </w:tr>
      <w:tr w:rsidR="00092AB2" w:rsidRPr="00092AB2" w14:paraId="377BC4D4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B407BC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-2.28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3DA1D7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-2.58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1AA69A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-3.70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1A30CE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7328B00" w14:textId="55D0DEDA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0B68B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BD666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La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Cerradura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E0F995F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Reolid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, 2014;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Ruebsam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2020 (δ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&amp; CSI)</w:t>
            </w:r>
          </w:p>
        </w:tc>
      </w:tr>
      <w:tr w:rsidR="00092AB2" w:rsidRPr="00092AB2" w14:paraId="55E4E70F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23AC17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-2.13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31D0B3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-5.96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C44D33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766C2D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C4D62E3" w14:textId="73BE03FD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D75B76" w14:textId="300C8048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DC6BC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Livartzki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205836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Kafousia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3ACF3B98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9810350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568FE3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-5.76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7EE2C6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72A0E68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377A550" w14:textId="70F8842D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0DDFBB" w14:textId="67D33040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4CD17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Mechowo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IG-1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10C957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92AB2" w:rsidRPr="00092AB2" w14:paraId="7DD686E1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B2DFAA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-3.77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DF4C61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260EEEB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BBAA9F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317B849" w14:textId="05BCD814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05818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476DB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Mellala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(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Baghli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549DE01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Baghli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2020</w:t>
            </w:r>
          </w:p>
        </w:tc>
      </w:tr>
      <w:tr w:rsidR="00092AB2" w:rsidRPr="00092AB2" w14:paraId="533AE73C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A01609F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1E4896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-6.58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77825D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75142E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380C440" w14:textId="57E439C2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F5C2C3" w14:textId="6E41158A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83D81E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Mochras borehole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AACD381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Xu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  <w:tr w:rsidR="00092AB2" w:rsidRPr="00092AB2" w14:paraId="36FF0959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15C5CDE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-5.50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077E57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-5.80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2ABC17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2295F33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835FC45" w14:textId="38B2DCD5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1BCD9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ABE51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Monte </w:t>
            </w: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Sorgenza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8164A7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Woodfine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2008 (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val="it-IT"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val="it-IT" w:eastAsia="zh-CN"/>
              </w:rPr>
              <w:t>carb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); Trecalli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2012 (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val="it-IT"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val="it-IT"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)</w:t>
            </w:r>
          </w:p>
        </w:tc>
      </w:tr>
      <w:tr w:rsidR="00092AB2" w:rsidRPr="00092AB2" w14:paraId="4E13AA40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1167B6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-2.30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6887FE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-2.18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DA05D6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C2CC629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CBAE922" w14:textId="53E4A95A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8EC02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6F5DE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Niandou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717148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Han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  <w:tr w:rsidR="00092AB2" w:rsidRPr="00092AB2" w14:paraId="1F7BF3CA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37743F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1768DED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-3.01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C2FB65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D72B0D1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3F64F51" w14:textId="243717C3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4DA6FA" w14:textId="3EC467FD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0B8269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Parkoszowice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D96DBD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423B5" w:rsidRPr="00092AB2" w14:paraId="53B18CA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71444075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269AB8F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-6.85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AE76BE3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B229C42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9D1840B" w14:textId="7758576E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5C35B68" w14:textId="6C9996A1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3F007B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969494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Peniche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5CEA58B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Fantasia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2019b</w:t>
            </w:r>
          </w:p>
        </w:tc>
      </w:tr>
      <w:tr w:rsidR="000423B5" w:rsidRPr="00092AB2" w14:paraId="6AFBCE75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D6EB81D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-4.81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B9A269E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-7.51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3C885CA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EC1831B" w14:textId="77777777" w:rsidR="000423B5" w:rsidRPr="00092AB2" w:rsidRDefault="000423B5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0CF6BCB" w14:textId="2997C5B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066FB13" w14:textId="08D90ABE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3F007B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BAE7CF" w14:textId="77777777" w:rsidR="000423B5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Peniche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25BE8B9" w14:textId="77777777" w:rsidR="000423B5" w:rsidRPr="00092AB2" w:rsidRDefault="000423B5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Hesselbo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2007</w:t>
            </w:r>
          </w:p>
        </w:tc>
      </w:tr>
      <w:tr w:rsidR="00092AB2" w:rsidRPr="00092AB2" w14:paraId="618C9383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92C42C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-0.86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209E7D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-4.47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10F008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7937549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F07473D" w14:textId="202CB3D2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44C134" w14:textId="3A5C5EE2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B4E42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Petousi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BA0593F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Kafousia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2014</w:t>
            </w:r>
          </w:p>
        </w:tc>
      </w:tr>
      <w:tr w:rsidR="00092AB2" w:rsidRPr="00092AB2" w14:paraId="0C29910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03E95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61ADBB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-4.45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F6C992E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43D6A6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327D274" w14:textId="5AFC622C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9C1683C" w14:textId="4C9B0760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BC8933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Polovinnaya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River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8C3D75A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Suan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2011</w:t>
            </w:r>
          </w:p>
        </w:tc>
      </w:tr>
      <w:tr w:rsidR="00092AB2" w:rsidRPr="00092AB2" w14:paraId="32ABCA5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1ACB03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-2.66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8F0706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B147A54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BA5C5B9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19F48E9" w14:textId="393D100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BCF27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AF185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Rabacal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46DD7C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Pittet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2014</w:t>
            </w:r>
          </w:p>
        </w:tc>
      </w:tr>
      <w:tr w:rsidR="00092AB2" w:rsidRPr="00092AB2" w14:paraId="4329E95B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037D7154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E71463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-3.44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A9F3CE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9F0B8F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2F3F0E3" w14:textId="75021FCA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6CE731" w14:textId="11C346C4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3EE1B8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Réka Valley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0A27331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Müller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2017</w:t>
            </w:r>
          </w:p>
        </w:tc>
      </w:tr>
      <w:tr w:rsidR="00092AB2" w:rsidRPr="00092AB2" w14:paraId="06C40325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9EA17A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-2.44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49977F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-4.65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E9B4D7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6F6A950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FCA43FE" w14:textId="7353DA84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9F50A0" w14:textId="11E724AF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E4CC7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Rietheim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B83B50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Montero-Serrano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2015</w:t>
            </w:r>
          </w:p>
        </w:tc>
      </w:tr>
      <w:tr w:rsidR="00092AB2" w:rsidRPr="00092AB2" w14:paraId="5A925339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8B947D5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705825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-2.49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966BDF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5919B1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DF6D72E" w14:textId="6E45A458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A9F128" w14:textId="50D1B17D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953F2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Sakahogi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BA4C123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Ikeda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  <w:tr w:rsidR="00092AB2" w:rsidRPr="00092AB2" w14:paraId="4B81B7AE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A8FA70C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4083C12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-3.58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AF547AB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ECB4FBF" w14:textId="77777777" w:rsidR="00092AB2" w:rsidRPr="00092AB2" w:rsidRDefault="00092AB2" w:rsidP="000423B5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8BF506B" w14:textId="30D7A4FA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7CE06E" w14:textId="211166FE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BAA159" w14:textId="77777777" w:rsidR="00092AB2" w:rsidRPr="00092AB2" w:rsidRDefault="00092AB2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Sakuraguchi-dani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Valley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DCC8E74" w14:textId="77777777" w:rsidR="00092AB2" w:rsidRPr="00092AB2" w:rsidRDefault="00092AB2" w:rsidP="000423B5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Izumi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2012</w:t>
            </w:r>
          </w:p>
        </w:tc>
      </w:tr>
      <w:tr w:rsidR="00092AB2" w:rsidRPr="00092AB2" w14:paraId="5BDA895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A70694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lastRenderedPageBreak/>
              <w:t xml:space="preserve">-5.45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5828A5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-7.60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C01765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F256F1A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A23F237" w14:textId="59025A7F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10038B" w14:textId="28C7AF08" w:rsidR="00092AB2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Mx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164C3F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Sancerre Core borehole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1BF883D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Hermoso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2009 (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val="it-IT"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val="it-IT" w:eastAsia="zh-CN"/>
              </w:rPr>
              <w:t>carb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 xml:space="preserve">); Hermoso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val="it-IT"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, 2012 (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val="it-IT"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val="it-IT"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val="it-IT" w:eastAsia="zh-CN"/>
              </w:rPr>
              <w:t>)</w:t>
            </w:r>
          </w:p>
        </w:tc>
      </w:tr>
      <w:tr w:rsidR="00092AB2" w:rsidRPr="00092AB2" w14:paraId="4F3C5912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9D4A2B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2.23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D72BF2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561B833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7884FB10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0A09637" w14:textId="776C047F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BAF8A2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52FF2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Somerset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312B1D1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Jenkynes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&amp; Clayton, 1997</w:t>
            </w:r>
          </w:p>
        </w:tc>
      </w:tr>
      <w:tr w:rsidR="00092AB2" w:rsidRPr="00092AB2" w14:paraId="6D96CF47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931DF94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95B1B0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-5.77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672831A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C05E5A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9472508" w14:textId="34DE10DE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64920E" w14:textId="78464F36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43D703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Suliszowice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F9C6335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Hesselbo and Pienkowski, 2011</w:t>
            </w:r>
          </w:p>
        </w:tc>
      </w:tr>
      <w:tr w:rsidR="00092AB2" w:rsidRPr="00092AB2" w14:paraId="324307BB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D9ACDA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-3.29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6CF76A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-7.70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006A98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AA15104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9ADE529" w14:textId="389B9648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3D4682" w14:textId="54154686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C6E9A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Toka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5FE9266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Kafousia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2014</w:t>
            </w:r>
          </w:p>
        </w:tc>
      </w:tr>
      <w:tr w:rsidR="00092AB2" w:rsidRPr="00092AB2" w14:paraId="384E0CB0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08C5F0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-2.00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425B3E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25739F81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5FBAD1A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D090F6B" w14:textId="2B2A901E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A12DF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6E7D5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Trento platform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ACAFCB8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Woodfine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2008</w:t>
            </w:r>
          </w:p>
        </w:tc>
      </w:tr>
      <w:tr w:rsidR="00092AB2" w:rsidRPr="00092AB2" w14:paraId="151D9BC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549A0B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-3.00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4A7721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-6.47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76D07527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362B5E1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8C57B30" w14:textId="41A36A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13AA52" w14:textId="40177824" w:rsidR="00092AB2" w:rsidRPr="00092AB2" w:rsidRDefault="000423B5" w:rsidP="000423B5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79C304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Valdorbia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63B1EE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Sabatino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2009</w:t>
            </w:r>
          </w:p>
        </w:tc>
      </w:tr>
      <w:tr w:rsidR="00092AB2" w:rsidRPr="00092AB2" w14:paraId="69033D5E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BEEC21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-1.45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197E1AB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3AB90848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77F7D9C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102AB9B" w14:textId="47D9300C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7E1C4A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71051E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Varbanchovets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8239B22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Metodiev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2014</w:t>
            </w:r>
          </w:p>
        </w:tc>
      </w:tr>
      <w:tr w:rsidR="00092AB2" w:rsidRPr="00092AB2" w14:paraId="597E654D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3C562D1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-2.37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10BD0EC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D5ACF3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FCC56E2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D2DF724" w14:textId="2E2112C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6EEE26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B3325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Velebit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-A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9F54A0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Sabatino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2013</w:t>
            </w:r>
          </w:p>
        </w:tc>
      </w:tr>
      <w:tr w:rsidR="00092AB2" w:rsidRPr="00092AB2" w14:paraId="1F0008BA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61011975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-3.63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23A793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8491969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760903D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E8A3C64" w14:textId="5E41D4B2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3BA60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5E9692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Velebit</w:t>
            </w:r>
            <w:proofErr w:type="spellEnd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-B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EC32219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Sabatino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2013</w:t>
            </w:r>
          </w:p>
        </w:tc>
      </w:tr>
      <w:tr w:rsidR="00092AB2" w:rsidRPr="00092AB2" w14:paraId="6D579C20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F5B93EC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746A218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-0.79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4BC558FF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CF40627" w14:textId="77777777" w:rsidR="00092AB2" w:rsidRPr="00092AB2" w:rsidRDefault="00092AB2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89CE600" w14:textId="208A2665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307420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n/d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E3DF91" w14:textId="77777777" w:rsidR="00092AB2" w:rsidRPr="00092AB2" w:rsidRDefault="00092AB2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Wolong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004A5C1" w14:textId="77777777" w:rsidR="00092AB2" w:rsidRPr="00092AB2" w:rsidRDefault="00092AB2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Han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  <w:tr w:rsidR="000423B5" w:rsidRPr="00092AB2" w14:paraId="797C1D6E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550D6E9C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-0.58 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F594197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-6.23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1E3645C7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-5.30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231FA9F4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0C7B422" w14:textId="7E176DA6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856428F" w14:textId="0D747C01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4D1677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44495C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Yorkshire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6BF06FE" w14:textId="77777777" w:rsidR="000423B5" w:rsidRPr="00092AB2" w:rsidRDefault="000423B5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McArthur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2000 (δ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eastAsia="zh-CN"/>
              </w:rPr>
              <w:t>carb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); Cohen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2004 (δ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)</w:t>
            </w:r>
          </w:p>
        </w:tc>
      </w:tr>
      <w:tr w:rsidR="000423B5" w:rsidRPr="00092AB2" w14:paraId="393F1CD1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2982076A" w14:textId="77777777" w:rsidR="000423B5" w:rsidRPr="00092AB2" w:rsidRDefault="000423B5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C632A1F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-7.45 </w:t>
            </w: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353E572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-3.50 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4495F565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-1.75 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7F3F943" w14:textId="328AE9CF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5AE5A73" w14:textId="6B45D851" w:rsidR="000423B5" w:rsidRPr="00092AB2" w:rsidRDefault="000423B5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  <w:r w:rsidRPr="004D1677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D0E92F" w14:textId="77777777" w:rsidR="000423B5" w:rsidRPr="00092AB2" w:rsidRDefault="000423B5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Yorkshire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58E9035" w14:textId="77777777" w:rsidR="000423B5" w:rsidRPr="00092AB2" w:rsidRDefault="000423B5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Thibault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2017 (δ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perscript"/>
                <w:lang w:eastAsia="zh-CN"/>
              </w:rPr>
              <w:t>13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C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vertAlign w:val="subscript"/>
                <w:lang w:eastAsia="zh-CN"/>
              </w:rPr>
              <w:t>org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); French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2014 (CSI)</w:t>
            </w:r>
          </w:p>
        </w:tc>
      </w:tr>
      <w:tr w:rsidR="000423B5" w:rsidRPr="00092AB2" w14:paraId="69F2ADC0" w14:textId="77777777" w:rsidTr="000423B5">
        <w:trPr>
          <w:trHeight w:val="244"/>
        </w:trPr>
        <w:tc>
          <w:tcPr>
            <w:tcW w:w="843" w:type="dxa"/>
            <w:shd w:val="clear" w:color="auto" w:fill="auto"/>
            <w:noWrap/>
            <w:vAlign w:val="center"/>
            <w:hideMark/>
          </w:tcPr>
          <w:p w14:paraId="4541566B" w14:textId="77777777" w:rsidR="000423B5" w:rsidRPr="00092AB2" w:rsidRDefault="000423B5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69D0E33" w14:textId="77777777" w:rsidR="000423B5" w:rsidRPr="00092AB2" w:rsidRDefault="000423B5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19" w:type="dxa"/>
            <w:shd w:val="clear" w:color="auto" w:fill="auto"/>
            <w:noWrap/>
            <w:vAlign w:val="center"/>
            <w:hideMark/>
          </w:tcPr>
          <w:p w14:paraId="0236B7BD" w14:textId="77777777" w:rsidR="000423B5" w:rsidRPr="00092AB2" w:rsidRDefault="000423B5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8336EDB" w14:textId="77777777" w:rsidR="000423B5" w:rsidRPr="00092AB2" w:rsidRDefault="000423B5" w:rsidP="00092AB2">
            <w:pPr>
              <w:jc w:val="center"/>
              <w:rPr>
                <w:rFonts w:ascii="Calibri" w:eastAsia="Times New Roman" w:hAnsi="Calibri" w:cs="Calibri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8308CF2" w14:textId="0CE71695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BD3476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99BF207" w14:textId="2079A4A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4D1677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A0C418" w14:textId="77777777" w:rsidR="000423B5" w:rsidRPr="00092AB2" w:rsidRDefault="000423B5" w:rsidP="00092AB2">
            <w:pPr>
              <w:jc w:val="center"/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Zázrivá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88FA67B" w14:textId="77777777" w:rsidR="000423B5" w:rsidRPr="00092AB2" w:rsidRDefault="000423B5" w:rsidP="00092AB2">
            <w:pPr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</w:pP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 xml:space="preserve">Suan </w:t>
            </w:r>
            <w:r w:rsidRPr="00092AB2">
              <w:rPr>
                <w:rFonts w:ascii="Calibri" w:eastAsia="DengXian" w:hAnsi="Calibri" w:cs="Calibri"/>
                <w:i/>
                <w:iCs/>
                <w:color w:val="000000"/>
                <w:sz w:val="21"/>
                <w:szCs w:val="21"/>
                <w:lang w:eastAsia="zh-CN"/>
              </w:rPr>
              <w:t>et al.</w:t>
            </w:r>
            <w:r w:rsidRPr="00092AB2">
              <w:rPr>
                <w:rFonts w:ascii="Calibri" w:eastAsia="DengXian" w:hAnsi="Calibri" w:cs="Calibri"/>
                <w:color w:val="000000"/>
                <w:sz w:val="21"/>
                <w:szCs w:val="21"/>
                <w:lang w:eastAsia="zh-CN"/>
              </w:rPr>
              <w:t>, 2018</w:t>
            </w:r>
          </w:p>
        </w:tc>
      </w:tr>
    </w:tbl>
    <w:p w14:paraId="2AC2AC73" w14:textId="77777777" w:rsidR="000423B5" w:rsidRDefault="000423B5" w:rsidP="00840BB2">
      <w:pPr>
        <w:pStyle w:val="SMHeading"/>
        <w:rPr>
          <w:rFonts w:ascii="Arial" w:hAnsi="Arial" w:cs="Arial"/>
          <w:sz w:val="20"/>
          <w:szCs w:val="20"/>
        </w:rPr>
        <w:sectPr w:rsidR="000423B5" w:rsidSect="000423B5">
          <w:pgSz w:w="15840" w:h="12240" w:orient="landscape"/>
          <w:pgMar w:top="1800" w:right="1440" w:bottom="1800" w:left="1440" w:header="720" w:footer="720" w:gutter="0"/>
          <w:pgNumType w:start="1"/>
          <w:cols w:space="720"/>
          <w:docGrid w:linePitch="360"/>
        </w:sectPr>
      </w:pPr>
    </w:p>
    <w:p w14:paraId="2C62ED3E" w14:textId="095E790B" w:rsidR="00C50C6D" w:rsidRDefault="00CF16C9" w:rsidP="00840BB2">
      <w:pPr>
        <w:pStyle w:val="SMHeading"/>
        <w:rPr>
          <w:rFonts w:ascii="Arial" w:hAnsi="Arial" w:cs="Arial"/>
          <w:b w:val="0"/>
          <w:sz w:val="20"/>
          <w:szCs w:val="20"/>
        </w:rPr>
      </w:pPr>
      <w:r w:rsidRPr="00DC623A">
        <w:rPr>
          <w:rFonts w:ascii="Arial" w:hAnsi="Arial" w:cs="Arial"/>
          <w:sz w:val="20"/>
          <w:szCs w:val="20"/>
        </w:rPr>
        <w:lastRenderedPageBreak/>
        <w:t>Dataset</w:t>
      </w:r>
      <w:r w:rsidR="00C50C6D" w:rsidRPr="00DC623A">
        <w:rPr>
          <w:rFonts w:ascii="Arial" w:hAnsi="Arial" w:cs="Arial"/>
          <w:bCs w:val="0"/>
          <w:sz w:val="20"/>
          <w:szCs w:val="20"/>
        </w:rPr>
        <w:t xml:space="preserve"> S1 (separate file)</w:t>
      </w:r>
      <w:r w:rsidR="002C667A" w:rsidRPr="00DC623A">
        <w:rPr>
          <w:rFonts w:ascii="Arial" w:hAnsi="Arial" w:cs="Arial"/>
          <w:sz w:val="20"/>
          <w:szCs w:val="20"/>
        </w:rPr>
        <w:t>.</w:t>
      </w:r>
      <w:r w:rsidR="00F25DEF" w:rsidRPr="00DC623A">
        <w:rPr>
          <w:rFonts w:ascii="Arial" w:hAnsi="Arial" w:cs="Arial"/>
          <w:sz w:val="20"/>
          <w:szCs w:val="20"/>
        </w:rPr>
        <w:t xml:space="preserve"> </w:t>
      </w:r>
    </w:p>
    <w:p w14:paraId="6A341F04" w14:textId="77777777" w:rsidR="00C50C6D" w:rsidRPr="00DC623A" w:rsidRDefault="00C50C6D" w:rsidP="00477182">
      <w:pPr>
        <w:pStyle w:val="SMcaption"/>
        <w:rPr>
          <w:rFonts w:ascii="Arial" w:hAnsi="Arial" w:cs="Arial"/>
          <w:sz w:val="20"/>
        </w:rPr>
      </w:pPr>
    </w:p>
    <w:p w14:paraId="0AA738C7" w14:textId="77777777" w:rsidR="00030840" w:rsidRPr="00DC623A" w:rsidRDefault="00030840" w:rsidP="00477182">
      <w:pPr>
        <w:pStyle w:val="SMcaption"/>
        <w:rPr>
          <w:rFonts w:ascii="Arial" w:hAnsi="Arial" w:cs="Arial"/>
          <w:sz w:val="20"/>
        </w:rPr>
      </w:pPr>
    </w:p>
    <w:p w14:paraId="6C96BED5" w14:textId="4B2FC6DA" w:rsidR="00820484" w:rsidRPr="00DC623A" w:rsidRDefault="00F514EC" w:rsidP="00477182">
      <w:pPr>
        <w:pStyle w:val="SMcaption"/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SI </w:t>
      </w:r>
      <w:r w:rsidR="00820484" w:rsidRPr="00DC623A">
        <w:rPr>
          <w:rFonts w:ascii="Arial" w:hAnsi="Arial" w:cs="Arial"/>
          <w:b/>
          <w:sz w:val="20"/>
        </w:rPr>
        <w:t>References</w:t>
      </w:r>
    </w:p>
    <w:p w14:paraId="59D77E69" w14:textId="7EA1072C" w:rsidR="002C667A" w:rsidRPr="00DC623A" w:rsidRDefault="002C667A" w:rsidP="00477182">
      <w:pPr>
        <w:pStyle w:val="SMcaption"/>
        <w:rPr>
          <w:rFonts w:ascii="Arial" w:hAnsi="Arial" w:cs="Arial"/>
          <w:b/>
          <w:sz w:val="20"/>
        </w:rPr>
      </w:pPr>
    </w:p>
    <w:p w14:paraId="029D2AAF" w14:textId="3F850B49" w:rsidR="002C667A" w:rsidRPr="00DC623A" w:rsidRDefault="00F514EC" w:rsidP="00477182">
      <w:pPr>
        <w:pStyle w:val="SMcaption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S</w:t>
      </w:r>
      <w:r w:rsidR="002C667A" w:rsidRPr="00DC623A">
        <w:rPr>
          <w:rFonts w:ascii="Arial" w:hAnsi="Arial" w:cs="Arial"/>
          <w:sz w:val="20"/>
        </w:rPr>
        <w:t>ample References:</w:t>
      </w:r>
    </w:p>
    <w:p w14:paraId="30769C7F" w14:textId="77777777" w:rsidR="002C667A" w:rsidRPr="00DC623A" w:rsidRDefault="002C667A" w:rsidP="00477182">
      <w:pPr>
        <w:pStyle w:val="SMcaption"/>
        <w:rPr>
          <w:rFonts w:ascii="Arial" w:hAnsi="Arial" w:cs="Arial"/>
          <w:sz w:val="20"/>
        </w:rPr>
      </w:pPr>
    </w:p>
    <w:p w14:paraId="4E1D8459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Al-Suwaidi, A.H.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(2010) ‘First record of the Early Toarcian Oceanic Anoxic Event from the Southern Hemisphere, Neuquén Basin, Argentina’,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Journal of the Geological Society</w:t>
      </w:r>
      <w:r w:rsidRPr="00D57AC1">
        <w:rPr>
          <w:rFonts w:ascii="Calibri" w:eastAsia="Times New Roman" w:hAnsi="Calibri" w:cs="Calibri"/>
          <w:sz w:val="21"/>
          <w:szCs w:val="21"/>
        </w:rPr>
        <w:t>, 167(4), pp. 633–636. Available at: https://doi.org/10.1144/0016-76492010-025.</w:t>
      </w:r>
    </w:p>
    <w:p w14:paraId="5D6B3507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Al-Suwaidi, A.H.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(2016) ‘The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toarcian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oceanic anoxic event (Early Jurassic) in the Neuquén Basin, Argentina: A reassessment of age and carbon isotope stratigraphy’,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Journal of Geology</w:t>
      </w:r>
      <w:r w:rsidRPr="00D57AC1">
        <w:rPr>
          <w:rFonts w:ascii="Calibri" w:eastAsia="Times New Roman" w:hAnsi="Calibri" w:cs="Calibri"/>
          <w:sz w:val="21"/>
          <w:szCs w:val="21"/>
        </w:rPr>
        <w:t>, 124(2), pp. 171–193. Available at: https://doi.org/10.1086/684831/ASSET/IMAGES/LARGE/FG11.JPEG.</w:t>
      </w:r>
    </w:p>
    <w:p w14:paraId="74DE408E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Baghli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H.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(2020) ‘Early Jurassic climatic trends in the south-Tethyan margin’,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Gondwana Research</w:t>
      </w:r>
      <w:r w:rsidRPr="00D57AC1">
        <w:rPr>
          <w:rFonts w:ascii="Calibri" w:eastAsia="Times New Roman" w:hAnsi="Calibri" w:cs="Calibri"/>
          <w:sz w:val="21"/>
          <w:szCs w:val="21"/>
        </w:rPr>
        <w:t>, 77, pp. 67–81. Available at: https://doi.org/10.1016/j.gr.2019.06.016.</w:t>
      </w:r>
    </w:p>
    <w:p w14:paraId="0D5F80D3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Bodin, K.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(2010) ‘Antibodies to human serum amyloid P component eliminate visceral amyloid deposits’,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Nature</w:t>
      </w:r>
      <w:r w:rsidRPr="00D57AC1">
        <w:rPr>
          <w:rFonts w:ascii="Calibri" w:eastAsia="Times New Roman" w:hAnsi="Calibri" w:cs="Calibri"/>
          <w:sz w:val="21"/>
          <w:szCs w:val="21"/>
        </w:rPr>
        <w:t>, 468(7320), pp. 93–97. Available at: https://doi.org/10.1038/nature09494.</w:t>
      </w:r>
    </w:p>
    <w:p w14:paraId="23DDCE3C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Bodin, S.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(2016) ‘Perturbation of the carbon cycle during the late Pliensbachian – early Toarcian: New insight from high-resolution carbon isotope records in Morocco’,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Journal of African Earth Sciences</w:t>
      </w:r>
      <w:r w:rsidRPr="00D57AC1">
        <w:rPr>
          <w:rFonts w:ascii="Calibri" w:eastAsia="Times New Roman" w:hAnsi="Calibri" w:cs="Calibri"/>
          <w:sz w:val="21"/>
          <w:szCs w:val="21"/>
        </w:rPr>
        <w:t>, 116, pp. 89–104. Available at: https://doi.org/10.1016/j.jafrearsci.2015.12.018.</w:t>
      </w:r>
    </w:p>
    <w:p w14:paraId="0F3D9463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van Breugel, Y.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>(2006) ‘Isorenieratane record in black shales from the Paris Basin, France: Constraints on recycling of respired CO</w:t>
      </w:r>
      <w:r w:rsidRPr="00D57AC1">
        <w:rPr>
          <w:rFonts w:ascii="Calibri" w:eastAsia="Times New Roman" w:hAnsi="Calibri" w:cs="Calibri"/>
          <w:sz w:val="21"/>
          <w:szCs w:val="21"/>
          <w:vertAlign w:val="subscript"/>
        </w:rPr>
        <w:t>2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as a mechanism for negative carbon isotope shifts during the Toarcian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Paleoceanography</w:t>
      </w:r>
      <w:r w:rsidRPr="00D57AC1">
        <w:rPr>
          <w:rFonts w:ascii="Calibri" w:eastAsia="Times New Roman" w:hAnsi="Calibri" w:cs="Calibri"/>
          <w:sz w:val="21"/>
          <w:szCs w:val="21"/>
        </w:rPr>
        <w:t>, 21(4). Available at: https://doi.org/10.1029/2006PA001305.</w:t>
      </w:r>
    </w:p>
    <w:p w14:paraId="48726378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Caruthers, A.H.,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Gröcke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D.R. and Smith, P.L. (2011) ‘The significance of an Early Jurassic (Toarcian) carbon-isotope excursion in Haida Gwaii (Queen Charlotte Islands), British Columbia, Canada’,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307(1–2), pp. 19–26. Available at: https://doi.org/10.1016/j.epsl.2011.04.013.</w:t>
      </w:r>
    </w:p>
    <w:p w14:paraId="675ED3B3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Cohen, A.S.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(2004) ‘Osmium isotope evidence for the regulation of atmospheric CO</w:t>
      </w:r>
      <w:r w:rsidRPr="00D57AC1">
        <w:rPr>
          <w:rFonts w:ascii="Calibri" w:eastAsia="Times New Roman" w:hAnsi="Calibri" w:cs="Calibri"/>
          <w:sz w:val="21"/>
          <w:szCs w:val="21"/>
          <w:vertAlign w:val="subscript"/>
        </w:rPr>
        <w:t>2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by continental weathering’,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Geology</w:t>
      </w:r>
      <w:r w:rsidRPr="00D57AC1">
        <w:rPr>
          <w:rFonts w:ascii="Calibri" w:eastAsia="Times New Roman" w:hAnsi="Calibri" w:cs="Calibri"/>
          <w:sz w:val="21"/>
          <w:szCs w:val="21"/>
        </w:rPr>
        <w:t>, 32(2), pp. 157–160. Available at: https://doi.org/10.1130/G20158.1.</w:t>
      </w:r>
    </w:p>
    <w:p w14:paraId="3BEC6374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Dickson, A.J.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(2017) ‘Molybdenum‐isotope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chemostratigraphy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and paleoceanography of the Toarcian Oceanic Anoxic Event (Early Jurassic)’,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Paleoceanography</w:t>
      </w:r>
      <w:r w:rsidRPr="00D57AC1">
        <w:rPr>
          <w:rFonts w:ascii="Calibri" w:eastAsia="Times New Roman" w:hAnsi="Calibri" w:cs="Calibri"/>
          <w:sz w:val="21"/>
          <w:szCs w:val="21"/>
        </w:rPr>
        <w:t>, 32(8), pp. 813–829. Available at: https://doi.org/10.1002/2016PA003048.</w:t>
      </w:r>
    </w:p>
    <w:p w14:paraId="76B0226B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Ettinger, N.P.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(2021) ‘Ocean acidification and photic‐zone anoxia at the Toarcian Oceanic Anoxic Event: Insights from the Adriatic Carbonate Platform’,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. Edited by G.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Eberli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68(1), pp. 63–107. Available at: https://doi.org/10.1111/sed.12786.</w:t>
      </w:r>
    </w:p>
    <w:p w14:paraId="5E25556F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lastRenderedPageBreak/>
        <w:t xml:space="preserve">Fantasia, A., Föllmi, Karl B.,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(2018a) ‘The Early Toarcian oceanic anoxic event: Paleoenvironmental and paleoclimatic change across the Alpine Tethys (Switzerland)’,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Global and Planetary Change</w:t>
      </w:r>
      <w:r w:rsidRPr="00D57AC1">
        <w:rPr>
          <w:rFonts w:ascii="Calibri" w:eastAsia="Times New Roman" w:hAnsi="Calibri" w:cs="Calibri"/>
          <w:sz w:val="21"/>
          <w:szCs w:val="21"/>
        </w:rPr>
        <w:t>, 162, pp. 53–68. Available at: https://doi.org/10.1016/J.GLOPLACHA.2018.01.008.</w:t>
      </w:r>
    </w:p>
    <w:p w14:paraId="594B792F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Fantasia, A., Föllmi, Karl B,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>(2018b) ‘The Toarcian Oceanic Anoxic Event in southwestern Gondwana: an example from the Andean Basin, northern Chile’. Available at: https://doi.org/10.6084/m9.figshare.c.4133687.</w:t>
      </w:r>
    </w:p>
    <w:p w14:paraId="3F74F590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Fantasia, A., Adatte, T.,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(2019a) ‘Global versus local processes during the Pliensbachian–Toarcian transition at the Peniche GSSP, Portugal: A multi-proxy record’,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Earth-Science Reviews</w:t>
      </w:r>
      <w:r w:rsidRPr="00D57AC1">
        <w:rPr>
          <w:rFonts w:ascii="Calibri" w:eastAsia="Times New Roman" w:hAnsi="Calibri" w:cs="Calibri"/>
          <w:sz w:val="21"/>
          <w:szCs w:val="21"/>
        </w:rPr>
        <w:t>, 198, p. 102932. Available at: https://doi.org/10.1016/j.earscirev.2019.102932.</w:t>
      </w:r>
    </w:p>
    <w:p w14:paraId="04FD67F6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Fantasia, A., Föllmi, K.B.,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(2019b) ‘Expression of the Toarcian Oceanic Anoxic Event: New insights from a Swiss transect’,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. Edited by J.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Reijmer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66(1), pp. 262–284. Available at: https://doi.org/10.1111/sed.12527.</w:t>
      </w:r>
    </w:p>
    <w:p w14:paraId="088A0942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French, K.L.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(2014) ‘Organic geochemistry of the early Toarcian oceanic anoxic event in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Hawsker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Bottoms, Yorkshire, England’,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390, pp. 116–127. Available at: https://doi.org/10.1016/j.epsl.2013.12.033.</w:t>
      </w:r>
    </w:p>
    <w:p w14:paraId="3291E7FE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Fu, X.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(2016) ‘Mineralogical composition of and trace-element accumulation in lower Toarcian anoxic sediments: a case study from the Bilong Co. oil shale, eastern Tethys’,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Geological Magazine</w:t>
      </w:r>
      <w:r w:rsidRPr="00D57AC1">
        <w:rPr>
          <w:rFonts w:ascii="Calibri" w:eastAsia="Times New Roman" w:hAnsi="Calibri" w:cs="Calibri"/>
          <w:sz w:val="21"/>
          <w:szCs w:val="21"/>
        </w:rPr>
        <w:t>, 153(4), pp. 618–634. Available at: https://doi.org/10.1017/S0016756815000758.</w:t>
      </w:r>
    </w:p>
    <w:p w14:paraId="227DCBE6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Galasso, F.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(2021) ‘Changes in organic matter composition during the Toarcian Oceanic Anoxic Event (T-OAE) in the Posidonia Shale Formation from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Dormettingen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(SW-Germany)’,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569, p. 110327. Available at: https://doi.org/10.1016/J.PALAEO.2021.110327.</w:t>
      </w:r>
    </w:p>
    <w:p w14:paraId="4F03FB1D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Gröcke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D.R.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(2011) ‘An open ocean record of the Toarcian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Solid Earth</w:t>
      </w:r>
      <w:r w:rsidRPr="00D57AC1">
        <w:rPr>
          <w:rFonts w:ascii="Calibri" w:eastAsia="Times New Roman" w:hAnsi="Calibri" w:cs="Calibri"/>
          <w:sz w:val="21"/>
          <w:szCs w:val="21"/>
        </w:rPr>
        <w:t>, 2(2), pp. 245–257. Available at: https://doi.org/10.5194/se-2-245-2011.</w:t>
      </w:r>
    </w:p>
    <w:p w14:paraId="66C56917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Han, Z.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(2018) ‘Carbonate-platform response to the Toarcian Oceanic Anoxic Event in the southern hemisphere: Implications for climatic change and biotic platform demise’,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489, pp. 59–71. Available at: https://doi.org/10.1016/J.EPSL.2018.02.017.</w:t>
      </w:r>
    </w:p>
    <w:p w14:paraId="3E5D843A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Hermoso, 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(2009) ‘Expression of the Early Toarcian negative carbon-isotope excursion in separated carbonate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microfractions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(Jurassic, Paris Basin)’,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277(1–2), pp. 194–203. Available at: https://doi.org/10.1016/j.epsl.2008.10.013.</w:t>
      </w:r>
    </w:p>
    <w:p w14:paraId="24A67BFD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Hermoso, 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(2012) ‘Dynamics of a stepped carbon-isotope excursion: Ultra high-resolution study of Early Toarcian environmental change’,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319–320, pp. 45–54. Available at: https://doi.org/10.1016/j.epsl.2011.12.021.</w:t>
      </w:r>
    </w:p>
    <w:p w14:paraId="21EF675D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Hesselbo, S.P.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(2000) ‘Massive dissociation of gas hydrate during a Jurassic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Nature 2000 406:6794</w:t>
      </w:r>
      <w:r w:rsidRPr="00D57AC1">
        <w:rPr>
          <w:rFonts w:ascii="Calibri" w:eastAsia="Times New Roman" w:hAnsi="Calibri" w:cs="Calibri"/>
          <w:sz w:val="21"/>
          <w:szCs w:val="21"/>
        </w:rPr>
        <w:t>, 406(6794), pp. 392–395. Available at: https://doi.org/10.1038/35019044.</w:t>
      </w:r>
    </w:p>
    <w:p w14:paraId="785D1514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lastRenderedPageBreak/>
        <w:t xml:space="preserve">Hesselbo, S.P.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(2007) ‘Carbon-isotope record of the Early Jurassic (Toarcian) Oceanic Anoxic Event from fossil wood and marine carbonate (Lusitanian Basin, Portugal)’,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253(3–4), pp. 455–470. Available at: https://doi.org/10.1016/j.epsl.2006.11.009.</w:t>
      </w:r>
    </w:p>
    <w:p w14:paraId="25FE863F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Hesselbo, S.P. and Pieńkowski, G. (2011) ‘Stepwise atmospheric carbon-isotope excursion during the Toarcian Oceanic Anoxic Event (Early Jurassic, Polish Basin)’,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301(1–2), pp. 365–372. Available at: https://doi.org/10.1016/j.epsl.2010.11.021.</w:t>
      </w:r>
    </w:p>
    <w:p w14:paraId="3070DA9B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Ikeda, 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(2018) ‘Carbon cycle dynamics linked with Karoo-Ferrar volcanism and astronomical cycles during Pliensbachian-Toarcian (Early Jurassic)’,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Global and Planetary Change</w:t>
      </w:r>
      <w:r w:rsidRPr="00D57AC1">
        <w:rPr>
          <w:rFonts w:ascii="Calibri" w:eastAsia="Times New Roman" w:hAnsi="Calibri" w:cs="Calibri"/>
          <w:sz w:val="21"/>
          <w:szCs w:val="21"/>
        </w:rPr>
        <w:t>, 170, pp. 163–171. Available at: https://doi.org/10.1016/j.gloplacha.2018.08.012.</w:t>
      </w:r>
    </w:p>
    <w:p w14:paraId="747F3D3A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Izumi, K., Miyaji, T. and Tanabe, K. (2012) ‘Early Toarcian (Early Jurassic) oceanic anoxic event recorded in the shelf deposits in the northwestern Panthalassa: Evidence from the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Nishinakayama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Formation in the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Toyora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area, west Japan’,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315–316, pp. 100–108. Available at: https://doi.org/10.1016/J.PALAEO.2011.11.016.</w:t>
      </w:r>
    </w:p>
    <w:p w14:paraId="505CE0DE" w14:textId="77777777" w:rsidR="000423B5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Jenkyns, H.C. and Clayton, C. (1997) ‘Lower Jurassic epicontinental carbonates and mudstones from England and Wales: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chemostratigraphic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signals and the early Toarcian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, 44(4), pp. 687–706. Available at: </w:t>
      </w:r>
      <w:r w:rsidRPr="00832FD9">
        <w:rPr>
          <w:rFonts w:ascii="Calibri" w:eastAsia="Times New Roman" w:hAnsi="Calibri" w:cs="Calibri"/>
          <w:sz w:val="21"/>
          <w:szCs w:val="21"/>
        </w:rPr>
        <w:t>https://doi.org/10.1046/j.1365-3091.1997.d01-43.x</w:t>
      </w:r>
      <w:r w:rsidRPr="00D57AC1">
        <w:rPr>
          <w:rFonts w:ascii="Calibri" w:eastAsia="Times New Roman" w:hAnsi="Calibri" w:cs="Calibri"/>
          <w:sz w:val="21"/>
          <w:szCs w:val="21"/>
        </w:rPr>
        <w:t>.</w:t>
      </w:r>
    </w:p>
    <w:p w14:paraId="162B75CC" w14:textId="77777777" w:rsidR="000423B5" w:rsidRPr="00832FD9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832FD9">
        <w:rPr>
          <w:rFonts w:ascii="Calibri" w:eastAsia="Times New Roman" w:hAnsi="Calibri" w:cs="Calibri"/>
          <w:sz w:val="21"/>
          <w:szCs w:val="21"/>
        </w:rPr>
        <w:t xml:space="preserve">Jin, X. et al. (2020) ‘The Jenkyns Event (early Toarcian OAE) in the Ordos Basin, North China’, </w:t>
      </w:r>
      <w:r w:rsidRPr="00832FD9">
        <w:rPr>
          <w:rFonts w:ascii="Calibri" w:eastAsia="Times New Roman" w:hAnsi="Calibri" w:cs="Calibri"/>
          <w:i/>
          <w:iCs/>
          <w:sz w:val="21"/>
          <w:szCs w:val="21"/>
        </w:rPr>
        <w:t>Global and Planetary Change</w:t>
      </w:r>
      <w:r w:rsidRPr="00832FD9">
        <w:rPr>
          <w:rFonts w:ascii="Calibri" w:eastAsia="Times New Roman" w:hAnsi="Calibri" w:cs="Calibri"/>
          <w:sz w:val="21"/>
          <w:szCs w:val="21"/>
        </w:rPr>
        <w:t>, 193(April), p. 103273. Available at: https://doi.org/10.1016/j.gloplacha.2020.103273.</w:t>
      </w:r>
    </w:p>
    <w:p w14:paraId="1C52E216" w14:textId="77777777" w:rsidR="000423B5" w:rsidRPr="00832FD9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832FD9">
        <w:rPr>
          <w:rFonts w:ascii="Calibri" w:eastAsia="Times New Roman" w:hAnsi="Calibri" w:cs="Calibri"/>
          <w:sz w:val="21"/>
          <w:szCs w:val="21"/>
        </w:rPr>
        <w:t xml:space="preserve">Jin, X. et al. (2022) ‘Early Jurassic massive release of terrestrial mercury linked to floral crisis’, </w:t>
      </w:r>
      <w:r w:rsidRPr="00832FD9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832FD9">
        <w:rPr>
          <w:rFonts w:ascii="Calibri" w:eastAsia="Times New Roman" w:hAnsi="Calibri" w:cs="Calibri"/>
          <w:sz w:val="21"/>
          <w:szCs w:val="21"/>
        </w:rPr>
        <w:t xml:space="preserve">, </w:t>
      </w:r>
      <w:r>
        <w:rPr>
          <w:rFonts w:ascii="Calibri" w:eastAsia="Times New Roman" w:hAnsi="Calibri" w:cs="Calibri"/>
          <w:sz w:val="21"/>
          <w:szCs w:val="21"/>
        </w:rPr>
        <w:t xml:space="preserve">p. </w:t>
      </w:r>
      <w:r w:rsidRPr="00832FD9">
        <w:rPr>
          <w:rFonts w:ascii="Calibri" w:eastAsia="Times New Roman" w:hAnsi="Calibri" w:cs="Calibri"/>
          <w:sz w:val="21"/>
          <w:szCs w:val="21"/>
        </w:rPr>
        <w:t>598. Available at: https://doi.org/10.1016/j.epsl.2022.117842.</w:t>
      </w:r>
    </w:p>
    <w:p w14:paraId="32B82AB4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Kafousia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N.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(2011) ‘A global event with a regional character: the Early Toarcian Oceanic Anoxic Event in the Pindos Ocean (northern Peloponnese, Greece)’,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Geological Magazine</w:t>
      </w:r>
      <w:r w:rsidRPr="00D57AC1">
        <w:rPr>
          <w:rFonts w:ascii="Calibri" w:eastAsia="Times New Roman" w:hAnsi="Calibri" w:cs="Calibri"/>
          <w:sz w:val="21"/>
          <w:szCs w:val="21"/>
        </w:rPr>
        <w:t>, 148(4), pp. 619–631. Available at: https://doi.org/10.1017/S0016756811000082.</w:t>
      </w:r>
    </w:p>
    <w:p w14:paraId="5E4B0485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Kafousia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N.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(2014) ‘The Toarcian Oceanic Anoxic Event in the Ionian Zone, Greece’,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393, pp. 135–145. Available at: https://doi.org/10.1016/j.palaeo.2013.11.013.</w:t>
      </w:r>
    </w:p>
    <w:p w14:paraId="7EF946F1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Liu, 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(2020) ‘Organic geochemistry of a lacustrine shale across the Toarcian Oceanic Anoxic Event (Early Jurassic) from NE China’,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Global and Planetary Change</w:t>
      </w:r>
      <w:r w:rsidRPr="00D57AC1">
        <w:rPr>
          <w:rFonts w:ascii="Calibri" w:eastAsia="Times New Roman" w:hAnsi="Calibri" w:cs="Calibri"/>
          <w:sz w:val="21"/>
          <w:szCs w:val="21"/>
        </w:rPr>
        <w:t>, 191(September 2019), p. 103214. Available at: https://doi.org/10.1016/j.gloplacha.2020.103214.</w:t>
      </w:r>
    </w:p>
    <w:p w14:paraId="3C238995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McArthur, J.M.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(2000) ‘Strontium isotope profile of the early Toarcian (Jurassic) oceanic anoxic event, the duration of ammonite biozones, and belemnite palaeotemperatures’, </w:t>
      </w:r>
      <w:proofErr w:type="gram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</w:t>
      </w:r>
      <w:proofErr w:type="gram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179(2), pp. 269–285. Available at: https://doi.org/10.1016/S0012-821X(00)00111-4.</w:t>
      </w:r>
    </w:p>
    <w:p w14:paraId="3A61E0B0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lastRenderedPageBreak/>
        <w:t xml:space="preserve">Metodiev, L.S.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(2014) ‘Paleoenvironmental conditions recorded by 87Sr/86Sr, δ13C and δ18O in late Pliensbachian–Toarcian (Jurassic) belemnites from Bulgaria’,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409, pp. 98–113. Available at: https://doi.org/10.1016/j.palaeo.2014.04.025.</w:t>
      </w:r>
    </w:p>
    <w:p w14:paraId="57F58552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Montero-Serrano, J.C.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(2015) ‘Continental weathering and redox conditions during the early Toarcian Oceanic Anoxic Event in the northwestern Tethys: Insight from the Posidonia Shale section in the Swiss Jura Mountains’,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429, pp. 83–99. Available at: https://doi.org/10.1016/J.PALAEO.2015.03.043.</w:t>
      </w:r>
    </w:p>
    <w:p w14:paraId="01087C46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Müller, T.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(2017) ‘New multiproxy record of the Jenkyns Event (also known as the Toarcian Oceanic Anoxic Event) from the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Mecsek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Mountains (Hungary): Differences, duration and drivers’,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>. Edited by S. Hesselbo, 64(1), pp. 66–86. Available at: https://doi.org/10.1111/sed.12332.</w:t>
      </w:r>
    </w:p>
    <w:p w14:paraId="3D9448F8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Pittet, B.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(2014) ‘Carbon isotope evidence for sedimentary discontinuities in the lower Toarcian of the Lusitanian Basin (Portugal): Sea level change at the onset of the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Sedimentary Geology</w:t>
      </w:r>
      <w:r w:rsidRPr="00D57AC1">
        <w:rPr>
          <w:rFonts w:ascii="Calibri" w:eastAsia="Times New Roman" w:hAnsi="Calibri" w:cs="Calibri"/>
          <w:sz w:val="21"/>
          <w:szCs w:val="21"/>
        </w:rPr>
        <w:t>, 303, pp. 1–14. Available at: https://doi.org/10.1016/j.sedgeo.2014.01.001.</w:t>
      </w:r>
    </w:p>
    <w:p w14:paraId="7CC02D21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Reolid, M.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(2014) ‘The Early Toarcian Oceanic Anoxic Event in the External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Subbetic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(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Southiberian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Palaeomargin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Westernmost Tethys): Geochemistry, nannofossils and ichnology’,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411, pp. 79–94. Available at: https://doi.org/10.1016/j.palaeo.2014.06.023.</w:t>
      </w:r>
    </w:p>
    <w:p w14:paraId="73904AE3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Rodrigues, B.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(2019) ‘Sedimentary organic matter and δ</w:t>
      </w:r>
      <w:r w:rsidRPr="00D57AC1">
        <w:rPr>
          <w:rFonts w:ascii="Calibri" w:eastAsia="Times New Roman" w:hAnsi="Calibri" w:cs="Calibri"/>
          <w:sz w:val="21"/>
          <w:szCs w:val="21"/>
          <w:vertAlign w:val="superscript"/>
        </w:rPr>
        <w:t>13</w:t>
      </w:r>
      <w:r w:rsidRPr="00D57AC1">
        <w:rPr>
          <w:rFonts w:ascii="Calibri" w:eastAsia="Times New Roman" w:hAnsi="Calibri" w:cs="Calibri"/>
          <w:sz w:val="21"/>
          <w:szCs w:val="21"/>
        </w:rPr>
        <w:t>C</w:t>
      </w:r>
      <w:r w:rsidRPr="00D57AC1">
        <w:rPr>
          <w:rFonts w:ascii="Calibri" w:eastAsia="Times New Roman" w:hAnsi="Calibri" w:cs="Calibri"/>
          <w:sz w:val="21"/>
          <w:szCs w:val="21"/>
          <w:vertAlign w:val="subscript"/>
        </w:rPr>
        <w:t>Kerogen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variation on the southern Iberian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palaeomargin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(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Betic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Cordillera, SE Spain) during the latest Pliensbachian–Early Toarcian’,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534, p. 109342. Available at: https://doi.org/10.1016/j.palaeo.2019.109342.</w:t>
      </w:r>
    </w:p>
    <w:p w14:paraId="0195E912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Röhl, H.-J. </w:t>
      </w:r>
      <w:r w:rsidRPr="00D57AC1">
        <w:rPr>
          <w:rFonts w:ascii="Calibri" w:eastAsia="Times New Roman" w:hAnsi="Calibri" w:cs="Calibri"/>
          <w:i/>
          <w:iCs/>
          <w:sz w:val="21"/>
          <w:szCs w:val="21"/>
          <w:lang w:val="it-IT"/>
        </w:rPr>
        <w:t>et al.</w:t>
      </w:r>
      <w:r w:rsidRPr="00D57AC1">
        <w:rPr>
          <w:rFonts w:ascii="Calibri" w:eastAsia="Times New Roman" w:hAnsi="Calibri" w:cs="Calibri"/>
          <w:sz w:val="21"/>
          <w:szCs w:val="21"/>
          <w:lang w:val="it-IT"/>
        </w:rPr>
        <w:t xml:space="preserve"> 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(2001) ‘The Posidonia Shale (Lower Toarcian) of SW-Germany: an oxygen-depleted ecosystem controlled by sea level and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palaeoclimate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165(1–2), pp. 27–52. Available at: https://doi.org/10.1016/S0031-0182(00)00152-8.</w:t>
      </w:r>
    </w:p>
    <w:p w14:paraId="6F1AFBBA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Rosales, I.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(2018) ‘Isotope records (C-O-Sr) of late Pliensbachian-early Toarcian environmental perturbations in the westernmost Tethys (Majorca Island, Spain)’,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Palaeogeography</w:t>
      </w:r>
      <w:proofErr w:type="spellEnd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 xml:space="preserve">, Palaeoclimatology, </w:t>
      </w:r>
      <w:proofErr w:type="spellStart"/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Palaeoecology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497, pp. 168–185. Available at: https://doi.org/10.1016/j.palaeo.2018.02.016.</w:t>
      </w:r>
    </w:p>
    <w:p w14:paraId="79380481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Ruebsam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>, W., Reolid, M. and Schwark, L. (2020) ‘δ</w:t>
      </w:r>
      <w:r w:rsidRPr="00A945B8">
        <w:rPr>
          <w:rFonts w:ascii="Calibri" w:eastAsia="Times New Roman" w:hAnsi="Calibri" w:cs="Calibri"/>
          <w:sz w:val="21"/>
          <w:szCs w:val="21"/>
          <w:vertAlign w:val="superscript"/>
        </w:rPr>
        <w:t>13</w:t>
      </w:r>
      <w:r w:rsidRPr="00D57AC1">
        <w:rPr>
          <w:rFonts w:ascii="Calibri" w:eastAsia="Times New Roman" w:hAnsi="Calibri" w:cs="Calibri"/>
          <w:sz w:val="21"/>
          <w:szCs w:val="21"/>
        </w:rPr>
        <w:t>C of terrestrial vegetation records Toarcian CO</w:t>
      </w:r>
      <w:r w:rsidRPr="00D57AC1">
        <w:rPr>
          <w:rFonts w:ascii="Calibri" w:eastAsia="Times New Roman" w:hAnsi="Calibri" w:cs="Calibri"/>
          <w:sz w:val="21"/>
          <w:szCs w:val="21"/>
          <w:vertAlign w:val="subscript"/>
        </w:rPr>
        <w:t>2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and climate gradients’,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Scientific Reports</w:t>
      </w:r>
      <w:r w:rsidRPr="00D57AC1">
        <w:rPr>
          <w:rFonts w:ascii="Calibri" w:eastAsia="Times New Roman" w:hAnsi="Calibri" w:cs="Calibri"/>
          <w:sz w:val="21"/>
          <w:szCs w:val="21"/>
        </w:rPr>
        <w:t>, 10(1), p. 117. Available at: https://doi.org/10.1038/s41598-019-56710-6.</w:t>
      </w:r>
    </w:p>
    <w:p w14:paraId="7511D0DB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Sabatino, N.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(2009) ‘Carbon-isotope records of the Early Jurassic (Toarcian) oceanic anoxic event from the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Valdorbia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(Umbria–Marche Apennines) and Monte Mangart (Julian Alps) sections: palaeoceanographic and stratigraphic implications’,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>, 56(5), pp. 1307–1328. Available at: https://doi.org/10.1111/J.1365-3091.2008.01035.X.</w:t>
      </w:r>
    </w:p>
    <w:p w14:paraId="47865579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lastRenderedPageBreak/>
        <w:t xml:space="preserve">Sabatino, N.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(2013) ‘Carbon-isotope record and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palaeoenvironmental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changes during the early Toarcian oceanic anoxic event in shallow-marine carbonates of the Adriatic Carbonate Platform in Croatia’,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Geological Magazine</w:t>
      </w:r>
      <w:r w:rsidRPr="00D57AC1">
        <w:rPr>
          <w:rFonts w:ascii="Calibri" w:eastAsia="Times New Roman" w:hAnsi="Calibri" w:cs="Calibri"/>
          <w:sz w:val="21"/>
          <w:szCs w:val="21"/>
        </w:rPr>
        <w:t>, 150(6), pp. 1085–1102. Available at: https://doi.org/10.1017/S0016756813000083.</w:t>
      </w:r>
    </w:p>
    <w:p w14:paraId="0789DCCD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van de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Schootbrugge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B.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(2005) ‘Toarcian oceanic anoxic event: An assessment of global causes using belemnite C isotope records’,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Paleoceanography</w:t>
      </w:r>
      <w:r w:rsidRPr="00D57AC1">
        <w:rPr>
          <w:rFonts w:ascii="Calibri" w:eastAsia="Times New Roman" w:hAnsi="Calibri" w:cs="Calibri"/>
          <w:sz w:val="21"/>
          <w:szCs w:val="21"/>
        </w:rPr>
        <w:t>, 20(3), p. n/a-n/a. Available at: https://doi.org/10.1029/2004PA001102.</w:t>
      </w:r>
    </w:p>
    <w:p w14:paraId="4EE84FC8" w14:textId="77777777" w:rsidR="000423B5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Schouten, S. (2000) ‘Effects of an oceanic anoxic event on the stable carbon isotopic composition of early Toarcian carbon’,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American Journal of Science</w:t>
      </w:r>
      <w:r w:rsidRPr="00D57AC1">
        <w:rPr>
          <w:rFonts w:ascii="Calibri" w:eastAsia="Times New Roman" w:hAnsi="Calibri" w:cs="Calibri"/>
          <w:sz w:val="21"/>
          <w:szCs w:val="21"/>
        </w:rPr>
        <w:t>, 300(1), pp. 1–22. Available at: https://doi.org/10.2475/ajs.300.1.1.</w:t>
      </w:r>
    </w:p>
    <w:p w14:paraId="4149850C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Suan, G.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(2011) ‘Polar record of Early Jurassic massive carbon injection’,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312(1–2), pp. 102–113. Available at: https://doi.org/10.1016/j.epsl.2011.09.050.</w:t>
      </w:r>
    </w:p>
    <w:p w14:paraId="3C81EB96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Suan, G.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(2018) ‘Euxinic conditions and high sulfur burial near the European shelf margin (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Pieniny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Klippen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Belt, Slovakia) during the Toarcian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Global and Planetary Change</w:t>
      </w:r>
      <w:r w:rsidRPr="00D57AC1">
        <w:rPr>
          <w:rFonts w:ascii="Calibri" w:eastAsia="Times New Roman" w:hAnsi="Calibri" w:cs="Calibri"/>
          <w:sz w:val="21"/>
          <w:szCs w:val="21"/>
        </w:rPr>
        <w:t>, 170, pp. 246–259. Available at: https://doi.org/10.1016/J.GLOPLACHA.2018.09.003.</w:t>
      </w:r>
    </w:p>
    <w:p w14:paraId="5F37A53E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Them, T.R.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(2017) ‘High-resolution carbon isotope records of the Toarcian Oceanic Anoxic Event (Early Jurassic) from North America and implications for the global drivers of the Toarcian carbon cycle’,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459, pp. 118–126. Available at: https://doi.org/10.1016/j.epsl.2016.11.021.</w:t>
      </w:r>
    </w:p>
    <w:p w14:paraId="74CB2DDC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Thibault, N.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(2017) ‘The wider context of the Lower Jurassic Toarcian oceanic anoxic event in Yorkshire coastal outcrops, UK’. Available at: https://doi.org/10.1016/j.pgeola.2017.10.007.</w:t>
      </w:r>
    </w:p>
    <w:p w14:paraId="31AB582B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Trecalli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A.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(2012) ‘Carbonate platform evidence of ocean acidification at the onset of the early Toarcian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Earth and Planetary Science Letters</w:t>
      </w:r>
      <w:r w:rsidRPr="00D57AC1">
        <w:rPr>
          <w:rFonts w:ascii="Calibri" w:eastAsia="Times New Roman" w:hAnsi="Calibri" w:cs="Calibri"/>
          <w:sz w:val="21"/>
          <w:szCs w:val="21"/>
        </w:rPr>
        <w:t>, 357–358, pp. 214–225. Available at: https://doi.org/10.1016/j.epsl.2012.09.043.</w:t>
      </w:r>
    </w:p>
    <w:p w14:paraId="15623E38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Woodfine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, R.G.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(2008) ‘The response of two Tethyan carbonate platforms to the early Toarcian (Jurassic) oceanic anoxic event: environmental change and differential subsidence’,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Sedimentology</w:t>
      </w:r>
      <w:r w:rsidRPr="00D57AC1">
        <w:rPr>
          <w:rFonts w:ascii="Calibri" w:eastAsia="Times New Roman" w:hAnsi="Calibri" w:cs="Calibri"/>
          <w:sz w:val="21"/>
          <w:szCs w:val="21"/>
        </w:rPr>
        <w:t>, 55(4), pp. 1011–1028. Available at: https://doi.org/10.1111/j.1365-3091.2007.00934.x.</w:t>
      </w:r>
    </w:p>
    <w:p w14:paraId="74F9A097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Xia, G.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(2021) ‘Depositional paleoenvironment and source rock characterization across the Toarcian Oceanic Anoxic Event from the eastern Tethys, Tibet, SW China’,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International Journal of Coal Geology</w:t>
      </w:r>
      <w:r w:rsidRPr="00D57AC1">
        <w:rPr>
          <w:rFonts w:ascii="Calibri" w:eastAsia="Times New Roman" w:hAnsi="Calibri" w:cs="Calibri"/>
          <w:sz w:val="21"/>
          <w:szCs w:val="21"/>
        </w:rPr>
        <w:t>, 243, p. 103780. Available at: https://doi.org/10.1016/j.coal.2021.103780.</w:t>
      </w:r>
    </w:p>
    <w:p w14:paraId="2792AE2D" w14:textId="77777777" w:rsidR="000423B5" w:rsidRPr="00D57AC1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Xu, W.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(2017) ‘Carbon sequestration in an expanded lake system during the Toarcian oceanic anoxic event’,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Nature Geoscience</w:t>
      </w:r>
      <w:r w:rsidRPr="00D57AC1">
        <w:rPr>
          <w:rFonts w:ascii="Calibri" w:eastAsia="Times New Roman" w:hAnsi="Calibri" w:cs="Calibri"/>
          <w:sz w:val="21"/>
          <w:szCs w:val="21"/>
        </w:rPr>
        <w:t>, 10(2), pp. 129–134. Available at: https://doi.org/10.1038/ngeo2871.</w:t>
      </w:r>
    </w:p>
    <w:p w14:paraId="10C22F57" w14:textId="78E560AD" w:rsidR="007843C9" w:rsidRPr="000423B5" w:rsidRDefault="000423B5" w:rsidP="000423B5">
      <w:pPr>
        <w:numPr>
          <w:ilvl w:val="0"/>
          <w:numId w:val="15"/>
        </w:numPr>
        <w:spacing w:line="300" w:lineRule="auto"/>
        <w:rPr>
          <w:rFonts w:ascii="Calibri" w:eastAsia="Times New Roman" w:hAnsi="Calibri" w:cs="Calibri"/>
          <w:sz w:val="21"/>
          <w:szCs w:val="21"/>
        </w:rPr>
      </w:pPr>
      <w:r w:rsidRPr="00D57AC1">
        <w:rPr>
          <w:rFonts w:ascii="Calibri" w:eastAsia="Times New Roman" w:hAnsi="Calibri" w:cs="Calibri"/>
          <w:sz w:val="21"/>
          <w:szCs w:val="21"/>
        </w:rPr>
        <w:t xml:space="preserve">Xu, W.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et al.</w:t>
      </w:r>
      <w:r w:rsidRPr="00D57AC1">
        <w:rPr>
          <w:rFonts w:ascii="Calibri" w:eastAsia="Times New Roman" w:hAnsi="Calibri" w:cs="Calibri"/>
          <w:sz w:val="21"/>
          <w:szCs w:val="21"/>
        </w:rPr>
        <w:t xml:space="preserve"> (2018) ‘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Magnetostratigraphy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of the Toarcian Stage (Lower Jurassic) of the Llanbedr (Mochras Farm) Borehole, Wales: basis for a global standard and implications for volcanic forcing of </w:t>
      </w:r>
      <w:proofErr w:type="spellStart"/>
      <w:r w:rsidRPr="00D57AC1">
        <w:rPr>
          <w:rFonts w:ascii="Calibri" w:eastAsia="Times New Roman" w:hAnsi="Calibri" w:cs="Calibri"/>
          <w:sz w:val="21"/>
          <w:szCs w:val="21"/>
        </w:rPr>
        <w:t>palaeoenvironmental</w:t>
      </w:r>
      <w:proofErr w:type="spellEnd"/>
      <w:r w:rsidRPr="00D57AC1">
        <w:rPr>
          <w:rFonts w:ascii="Calibri" w:eastAsia="Times New Roman" w:hAnsi="Calibri" w:cs="Calibri"/>
          <w:sz w:val="21"/>
          <w:szCs w:val="21"/>
        </w:rPr>
        <w:t xml:space="preserve"> change’, </w:t>
      </w:r>
      <w:r w:rsidRPr="00D57AC1">
        <w:rPr>
          <w:rFonts w:ascii="Calibri" w:eastAsia="Times New Roman" w:hAnsi="Calibri" w:cs="Calibri"/>
          <w:i/>
          <w:iCs/>
          <w:sz w:val="21"/>
          <w:szCs w:val="21"/>
        </w:rPr>
        <w:t>Journal of the Geological Society</w:t>
      </w:r>
      <w:r w:rsidRPr="00D57AC1">
        <w:rPr>
          <w:rFonts w:ascii="Calibri" w:eastAsia="Times New Roman" w:hAnsi="Calibri" w:cs="Calibri"/>
          <w:sz w:val="21"/>
          <w:szCs w:val="21"/>
        </w:rPr>
        <w:t>, 175(4), pp. 594–604. Available at: https://doi.org/10.1144/jgs2017-120.</w:t>
      </w:r>
    </w:p>
    <w:sectPr w:rsidR="007843C9" w:rsidRPr="000423B5" w:rsidSect="000423B5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0443" w14:textId="77777777" w:rsidR="009C5D6E" w:rsidRDefault="009C5D6E">
      <w:r>
        <w:separator/>
      </w:r>
    </w:p>
  </w:endnote>
  <w:endnote w:type="continuationSeparator" w:id="0">
    <w:p w14:paraId="68E57869" w14:textId="77777777" w:rsidR="009C5D6E" w:rsidRDefault="009C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193174C0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685D" w14:textId="77777777" w:rsidR="009C5D6E" w:rsidRDefault="009C5D6E">
      <w:r>
        <w:separator/>
      </w:r>
    </w:p>
  </w:footnote>
  <w:footnote w:type="continuationSeparator" w:id="0">
    <w:p w14:paraId="5164C146" w14:textId="77777777" w:rsidR="009C5D6E" w:rsidRDefault="009C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D386E"/>
    <w:multiLevelType w:val="hybridMultilevel"/>
    <w:tmpl w:val="4B9ABC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539142">
    <w:abstractNumId w:val="9"/>
  </w:num>
  <w:num w:numId="2" w16cid:durableId="1787044015">
    <w:abstractNumId w:val="7"/>
  </w:num>
  <w:num w:numId="3" w16cid:durableId="1322537587">
    <w:abstractNumId w:val="6"/>
  </w:num>
  <w:num w:numId="4" w16cid:durableId="792137642">
    <w:abstractNumId w:val="5"/>
  </w:num>
  <w:num w:numId="5" w16cid:durableId="1171137521">
    <w:abstractNumId w:val="4"/>
  </w:num>
  <w:num w:numId="6" w16cid:durableId="1396851681">
    <w:abstractNumId w:val="8"/>
  </w:num>
  <w:num w:numId="7" w16cid:durableId="463543235">
    <w:abstractNumId w:val="3"/>
  </w:num>
  <w:num w:numId="8" w16cid:durableId="1557475875">
    <w:abstractNumId w:val="2"/>
  </w:num>
  <w:num w:numId="9" w16cid:durableId="21828463">
    <w:abstractNumId w:val="1"/>
  </w:num>
  <w:num w:numId="10" w16cid:durableId="714043444">
    <w:abstractNumId w:val="0"/>
  </w:num>
  <w:num w:numId="11" w16cid:durableId="2017029647">
    <w:abstractNumId w:val="10"/>
  </w:num>
  <w:num w:numId="12" w16cid:durableId="288053858">
    <w:abstractNumId w:val="12"/>
  </w:num>
  <w:num w:numId="13" w16cid:durableId="1436553288">
    <w:abstractNumId w:val="14"/>
  </w:num>
  <w:num w:numId="14" w16cid:durableId="663434198">
    <w:abstractNumId w:val="11"/>
  </w:num>
  <w:num w:numId="15" w16cid:durableId="5809431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4014C"/>
    <w:rsid w:val="000423B5"/>
    <w:rsid w:val="00065EBD"/>
    <w:rsid w:val="00083B44"/>
    <w:rsid w:val="000850DC"/>
    <w:rsid w:val="00092AB2"/>
    <w:rsid w:val="000A41E4"/>
    <w:rsid w:val="000C2771"/>
    <w:rsid w:val="000C5F36"/>
    <w:rsid w:val="000F0DCE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62D72"/>
    <w:rsid w:val="00294FBB"/>
    <w:rsid w:val="002C030F"/>
    <w:rsid w:val="002C667A"/>
    <w:rsid w:val="00325D90"/>
    <w:rsid w:val="00331D75"/>
    <w:rsid w:val="00332BFB"/>
    <w:rsid w:val="00352B4E"/>
    <w:rsid w:val="00355362"/>
    <w:rsid w:val="00363E44"/>
    <w:rsid w:val="00387114"/>
    <w:rsid w:val="00395E86"/>
    <w:rsid w:val="00397983"/>
    <w:rsid w:val="003A2FD8"/>
    <w:rsid w:val="003B40E6"/>
    <w:rsid w:val="003F6E14"/>
    <w:rsid w:val="00405336"/>
    <w:rsid w:val="004571D5"/>
    <w:rsid w:val="00461D81"/>
    <w:rsid w:val="0046356B"/>
    <w:rsid w:val="00477182"/>
    <w:rsid w:val="004779CB"/>
    <w:rsid w:val="004A159F"/>
    <w:rsid w:val="004B2F21"/>
    <w:rsid w:val="004E42D8"/>
    <w:rsid w:val="004E7BA2"/>
    <w:rsid w:val="004F7EDF"/>
    <w:rsid w:val="005001AC"/>
    <w:rsid w:val="00527D71"/>
    <w:rsid w:val="005607DD"/>
    <w:rsid w:val="005609E9"/>
    <w:rsid w:val="005A558C"/>
    <w:rsid w:val="005C52D5"/>
    <w:rsid w:val="005D088E"/>
    <w:rsid w:val="005E28F8"/>
    <w:rsid w:val="005E6513"/>
    <w:rsid w:val="006069C6"/>
    <w:rsid w:val="00611A19"/>
    <w:rsid w:val="006140DF"/>
    <w:rsid w:val="00651114"/>
    <w:rsid w:val="0065772A"/>
    <w:rsid w:val="00670299"/>
    <w:rsid w:val="00690668"/>
    <w:rsid w:val="00691985"/>
    <w:rsid w:val="006A1B64"/>
    <w:rsid w:val="006D169A"/>
    <w:rsid w:val="006E3E68"/>
    <w:rsid w:val="007108F5"/>
    <w:rsid w:val="00713E5B"/>
    <w:rsid w:val="007402FC"/>
    <w:rsid w:val="007411A1"/>
    <w:rsid w:val="00763345"/>
    <w:rsid w:val="007843C9"/>
    <w:rsid w:val="00797F24"/>
    <w:rsid w:val="007B5946"/>
    <w:rsid w:val="007F5297"/>
    <w:rsid w:val="00807D35"/>
    <w:rsid w:val="00820484"/>
    <w:rsid w:val="00824DF3"/>
    <w:rsid w:val="00840BB2"/>
    <w:rsid w:val="00885C9B"/>
    <w:rsid w:val="008C069B"/>
    <w:rsid w:val="008D5D2A"/>
    <w:rsid w:val="0091018B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C5D6E"/>
    <w:rsid w:val="009D6B1C"/>
    <w:rsid w:val="009F4BED"/>
    <w:rsid w:val="009F7D93"/>
    <w:rsid w:val="00A3403B"/>
    <w:rsid w:val="00A51A12"/>
    <w:rsid w:val="00A627D4"/>
    <w:rsid w:val="00A72B81"/>
    <w:rsid w:val="00A74DA2"/>
    <w:rsid w:val="00AC15B4"/>
    <w:rsid w:val="00AD499C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73A1C"/>
    <w:rsid w:val="00B77B2A"/>
    <w:rsid w:val="00B82C22"/>
    <w:rsid w:val="00B8723B"/>
    <w:rsid w:val="00B93DBA"/>
    <w:rsid w:val="00B9440A"/>
    <w:rsid w:val="00BB2D2A"/>
    <w:rsid w:val="00BD58CF"/>
    <w:rsid w:val="00C046DC"/>
    <w:rsid w:val="00C04CC1"/>
    <w:rsid w:val="00C364C5"/>
    <w:rsid w:val="00C47714"/>
    <w:rsid w:val="00C50C6D"/>
    <w:rsid w:val="00C600D9"/>
    <w:rsid w:val="00CC1384"/>
    <w:rsid w:val="00CD3720"/>
    <w:rsid w:val="00CF16C9"/>
    <w:rsid w:val="00CF1848"/>
    <w:rsid w:val="00CF5C2F"/>
    <w:rsid w:val="00D04BCF"/>
    <w:rsid w:val="00D143D9"/>
    <w:rsid w:val="00D269AB"/>
    <w:rsid w:val="00D346C2"/>
    <w:rsid w:val="00DA22DA"/>
    <w:rsid w:val="00DA59EA"/>
    <w:rsid w:val="00DB0B1D"/>
    <w:rsid w:val="00DC623A"/>
    <w:rsid w:val="00DD421A"/>
    <w:rsid w:val="00E257C8"/>
    <w:rsid w:val="00E37047"/>
    <w:rsid w:val="00E60D0F"/>
    <w:rsid w:val="00E669CE"/>
    <w:rsid w:val="00E9773B"/>
    <w:rsid w:val="00EA596B"/>
    <w:rsid w:val="00EC13A3"/>
    <w:rsid w:val="00EC7C85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basedOn w:val="DefaultParagraphFont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AB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92A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naafs@bristol.ac.uk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2997</Words>
  <Characters>17088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20045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David Naafs</cp:lastModifiedBy>
  <cp:revision>4</cp:revision>
  <cp:lastPrinted>2018-02-26T17:19:00Z</cp:lastPrinted>
  <dcterms:created xsi:type="dcterms:W3CDTF">2023-02-06T17:58:00Z</dcterms:created>
  <dcterms:modified xsi:type="dcterms:W3CDTF">2023-02-23T13:55:00Z</dcterms:modified>
</cp:coreProperties>
</file>