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A8" w:rsidRDefault="00F37FA8" w:rsidP="00F37FA8">
      <w:pPr>
        <w:spacing w:line="240" w:lineRule="auto"/>
        <w:rPr>
          <w:rFonts w:cs="Times New Roman"/>
          <w:b/>
          <w:sz w:val="20"/>
          <w:szCs w:val="20"/>
        </w:rPr>
      </w:pPr>
    </w:p>
    <w:p w:rsidR="00F37FA8" w:rsidRDefault="00F37FA8" w:rsidP="00F37FA8">
      <w:pPr>
        <w:spacing w:line="240" w:lineRule="auto"/>
        <w:rPr>
          <w:rFonts w:cs="Times New Roman"/>
          <w:b/>
          <w:sz w:val="20"/>
          <w:szCs w:val="20"/>
        </w:rPr>
      </w:pPr>
    </w:p>
    <w:p w:rsidR="00F37FA8" w:rsidRPr="00232722" w:rsidRDefault="00F37FA8" w:rsidP="00F37FA8">
      <w:pPr>
        <w:spacing w:line="240" w:lineRule="auto"/>
        <w:rPr>
          <w:rFonts w:cs="Times New Roman"/>
          <w:sz w:val="20"/>
          <w:szCs w:val="20"/>
        </w:rPr>
      </w:pPr>
      <w:r w:rsidRPr="00232722">
        <w:rPr>
          <w:rFonts w:cs="Times New Roman"/>
          <w:b/>
          <w:sz w:val="20"/>
          <w:szCs w:val="20"/>
        </w:rPr>
        <w:t>Graph 1. Use of</w:t>
      </w:r>
      <w:r w:rsidRPr="00232722">
        <w:rPr>
          <w:rFonts w:eastAsia="Calibri" w:cs="Times New Roman"/>
          <w:b/>
          <w:sz w:val="20"/>
          <w:szCs w:val="20"/>
        </w:rPr>
        <w:t xml:space="preserve"> the </w:t>
      </w:r>
      <w:r w:rsidRPr="00232722">
        <w:rPr>
          <w:rFonts w:cs="Times New Roman"/>
          <w:b/>
          <w:sz w:val="20"/>
          <w:szCs w:val="20"/>
        </w:rPr>
        <w:t xml:space="preserve">NSAID </w:t>
      </w:r>
      <w:r w:rsidRPr="00232722">
        <w:rPr>
          <w:rFonts w:eastAsia="Calibri" w:cs="Times New Roman"/>
          <w:b/>
          <w:sz w:val="20"/>
          <w:szCs w:val="20"/>
        </w:rPr>
        <w:t>diclofenac</w:t>
      </w:r>
      <w:r w:rsidRPr="00232722">
        <w:rPr>
          <w:rFonts w:cs="Times New Roman"/>
          <w:b/>
          <w:sz w:val="20"/>
          <w:szCs w:val="20"/>
        </w:rPr>
        <w:t xml:space="preserve"> in both groups at 6, 12,</w:t>
      </w:r>
      <w:r w:rsidRPr="00232722">
        <w:rPr>
          <w:rFonts w:eastAsia="Calibri" w:cs="Times New Roman"/>
          <w:b/>
          <w:sz w:val="20"/>
          <w:szCs w:val="20"/>
        </w:rPr>
        <w:t xml:space="preserve"> and</w:t>
      </w:r>
      <w:r w:rsidRPr="00232722">
        <w:rPr>
          <w:rFonts w:cs="Times New Roman"/>
          <w:b/>
          <w:sz w:val="20"/>
          <w:szCs w:val="20"/>
        </w:rPr>
        <w:t xml:space="preserve"> 18 hours after caesarean</w:t>
      </w:r>
      <w:r w:rsidRPr="00232722">
        <w:rPr>
          <w:rFonts w:eastAsia="Calibri" w:cs="Times New Roman"/>
          <w:b/>
          <w:sz w:val="20"/>
          <w:szCs w:val="20"/>
        </w:rPr>
        <w:t xml:space="preserve"> section</w:t>
      </w:r>
    </w:p>
    <w:p w:rsidR="00F37FA8" w:rsidRPr="00232722" w:rsidRDefault="00F37FA8" w:rsidP="00F37FA8">
      <w:pPr>
        <w:spacing w:line="240" w:lineRule="auto"/>
        <w:rPr>
          <w:rFonts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232722">
        <w:rPr>
          <w:rFonts w:cs="Times New Roman"/>
          <w:noProof/>
          <w:sz w:val="20"/>
          <w:szCs w:val="20"/>
          <w:lang w:val="en-US"/>
        </w:rPr>
        <w:drawing>
          <wp:inline distT="0" distB="0" distL="0" distR="0" wp14:anchorId="0880FFBD" wp14:editId="57DFA1F1">
            <wp:extent cx="5120640" cy="3497580"/>
            <wp:effectExtent l="0" t="0" r="3810" b="762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37FA8" w:rsidRPr="00232722" w:rsidRDefault="00F37FA8" w:rsidP="00F37FA8">
      <w:pPr>
        <w:spacing w:line="240" w:lineRule="auto"/>
        <w:rPr>
          <w:rFonts w:cs="Times New Roman"/>
          <w:sz w:val="20"/>
          <w:szCs w:val="20"/>
        </w:rPr>
      </w:pPr>
    </w:p>
    <w:p w:rsidR="00F37FA8" w:rsidRPr="00232722" w:rsidRDefault="00F37FA8" w:rsidP="00F37FA8">
      <w:pPr>
        <w:spacing w:line="240" w:lineRule="auto"/>
        <w:rPr>
          <w:rFonts w:cs="Times New Roman"/>
          <w:sz w:val="20"/>
          <w:szCs w:val="20"/>
        </w:rPr>
      </w:pPr>
    </w:p>
    <w:p w:rsidR="00F37FA8" w:rsidRPr="00232722" w:rsidRDefault="00F37FA8" w:rsidP="00F37FA8">
      <w:pPr>
        <w:spacing w:line="240" w:lineRule="auto"/>
        <w:rPr>
          <w:rFonts w:cs="Times New Roman"/>
          <w:sz w:val="20"/>
          <w:szCs w:val="20"/>
        </w:rPr>
      </w:pPr>
    </w:p>
    <w:p w:rsidR="00F37FA8" w:rsidRDefault="00F37FA8" w:rsidP="00F37FA8">
      <w:pPr>
        <w:spacing w:line="240" w:lineRule="auto"/>
        <w:rPr>
          <w:rFonts w:cs="Times New Roman"/>
          <w:sz w:val="20"/>
          <w:szCs w:val="20"/>
        </w:rPr>
      </w:pPr>
    </w:p>
    <w:p w:rsidR="00F37FA8" w:rsidRDefault="00F37FA8" w:rsidP="00F37FA8">
      <w:pPr>
        <w:spacing w:line="240" w:lineRule="auto"/>
        <w:rPr>
          <w:rFonts w:cs="Times New Roman"/>
          <w:sz w:val="20"/>
          <w:szCs w:val="20"/>
        </w:rPr>
      </w:pPr>
    </w:p>
    <w:p w:rsidR="00F37FA8" w:rsidRDefault="00F37FA8" w:rsidP="00F37FA8">
      <w:pPr>
        <w:spacing w:line="240" w:lineRule="auto"/>
        <w:rPr>
          <w:rFonts w:cs="Times New Roman"/>
          <w:sz w:val="20"/>
          <w:szCs w:val="20"/>
        </w:rPr>
      </w:pPr>
    </w:p>
    <w:p w:rsidR="00F37FA8" w:rsidRDefault="00F37FA8" w:rsidP="00F37FA8">
      <w:pPr>
        <w:spacing w:line="240" w:lineRule="auto"/>
        <w:rPr>
          <w:rFonts w:cs="Times New Roman"/>
          <w:sz w:val="20"/>
          <w:szCs w:val="20"/>
        </w:rPr>
      </w:pPr>
    </w:p>
    <w:p w:rsidR="00F37FA8" w:rsidRDefault="00F37FA8" w:rsidP="00F37FA8">
      <w:pPr>
        <w:spacing w:line="240" w:lineRule="auto"/>
        <w:rPr>
          <w:rFonts w:cs="Times New Roman"/>
          <w:sz w:val="20"/>
          <w:szCs w:val="20"/>
        </w:rPr>
      </w:pPr>
    </w:p>
    <w:p w:rsidR="00F37FA8" w:rsidRDefault="00F37FA8" w:rsidP="00F37FA8">
      <w:pPr>
        <w:spacing w:line="240" w:lineRule="auto"/>
        <w:rPr>
          <w:rFonts w:cs="Times New Roman"/>
          <w:sz w:val="20"/>
          <w:szCs w:val="20"/>
        </w:rPr>
      </w:pPr>
    </w:p>
    <w:p w:rsidR="00F37FA8" w:rsidRDefault="00F37FA8" w:rsidP="00F37FA8">
      <w:pPr>
        <w:spacing w:line="240" w:lineRule="auto"/>
        <w:rPr>
          <w:rFonts w:cs="Times New Roman"/>
          <w:sz w:val="20"/>
          <w:szCs w:val="20"/>
        </w:rPr>
      </w:pPr>
    </w:p>
    <w:p w:rsidR="00F37FA8" w:rsidRDefault="00F37FA8" w:rsidP="00F37FA8">
      <w:pPr>
        <w:spacing w:line="240" w:lineRule="auto"/>
        <w:rPr>
          <w:rFonts w:cs="Times New Roman"/>
          <w:sz w:val="20"/>
          <w:szCs w:val="20"/>
        </w:rPr>
      </w:pPr>
    </w:p>
    <w:p w:rsidR="00F37FA8" w:rsidRDefault="00F37FA8" w:rsidP="00F37FA8">
      <w:pPr>
        <w:spacing w:line="240" w:lineRule="auto"/>
        <w:rPr>
          <w:rFonts w:cs="Times New Roman"/>
          <w:sz w:val="20"/>
          <w:szCs w:val="20"/>
        </w:rPr>
      </w:pPr>
    </w:p>
    <w:p w:rsidR="00F37FA8" w:rsidRPr="00232722" w:rsidRDefault="00F37FA8" w:rsidP="00F37FA8">
      <w:pPr>
        <w:spacing w:line="240" w:lineRule="auto"/>
        <w:rPr>
          <w:rFonts w:cs="Times New Roman"/>
          <w:sz w:val="20"/>
          <w:szCs w:val="20"/>
        </w:rPr>
      </w:pPr>
    </w:p>
    <w:p w:rsidR="00F37FA8" w:rsidRDefault="00F37FA8" w:rsidP="00F37FA8">
      <w:pPr>
        <w:spacing w:line="240" w:lineRule="auto"/>
        <w:rPr>
          <w:rFonts w:cs="Times New Roman"/>
          <w:b/>
          <w:sz w:val="20"/>
          <w:szCs w:val="20"/>
        </w:rPr>
      </w:pPr>
    </w:p>
    <w:p w:rsidR="00F37FA8" w:rsidRDefault="00F37FA8" w:rsidP="00F37FA8">
      <w:pPr>
        <w:spacing w:line="240" w:lineRule="auto"/>
        <w:rPr>
          <w:rFonts w:cs="Times New Roman"/>
          <w:b/>
          <w:sz w:val="20"/>
          <w:szCs w:val="20"/>
        </w:rPr>
      </w:pPr>
    </w:p>
    <w:p w:rsidR="00F37FA8" w:rsidRDefault="00F37FA8" w:rsidP="00F37FA8">
      <w:pPr>
        <w:spacing w:line="240" w:lineRule="auto"/>
        <w:rPr>
          <w:rFonts w:cs="Times New Roman"/>
          <w:b/>
          <w:sz w:val="20"/>
          <w:szCs w:val="20"/>
        </w:rPr>
      </w:pPr>
    </w:p>
    <w:p w:rsidR="00F37FA8" w:rsidRPr="00232722" w:rsidRDefault="00F37FA8" w:rsidP="00F37FA8">
      <w:pPr>
        <w:spacing w:line="240" w:lineRule="auto"/>
        <w:rPr>
          <w:rFonts w:cs="Times New Roman"/>
          <w:b/>
          <w:sz w:val="20"/>
          <w:szCs w:val="20"/>
        </w:rPr>
      </w:pPr>
      <w:bookmarkStart w:id="0" w:name="_GoBack"/>
      <w:bookmarkEnd w:id="0"/>
      <w:r w:rsidRPr="00232722">
        <w:rPr>
          <w:rFonts w:cs="Times New Roman"/>
          <w:b/>
          <w:sz w:val="20"/>
          <w:szCs w:val="20"/>
        </w:rPr>
        <w:lastRenderedPageBreak/>
        <w:t>Graph 2.</w:t>
      </w:r>
      <w:r w:rsidRPr="00232722">
        <w:rPr>
          <w:rFonts w:eastAsia="Calibri" w:cs="Times New Roman"/>
          <w:b/>
          <w:sz w:val="20"/>
          <w:szCs w:val="20"/>
        </w:rPr>
        <w:t xml:space="preserve"> </w:t>
      </w:r>
      <w:r w:rsidRPr="00232722">
        <w:rPr>
          <w:rFonts w:cs="Times New Roman"/>
          <w:b/>
          <w:sz w:val="20"/>
          <w:szCs w:val="20"/>
        </w:rPr>
        <w:t xml:space="preserve">Use of </w:t>
      </w:r>
      <w:proofErr w:type="spellStart"/>
      <w:r w:rsidRPr="00232722">
        <w:rPr>
          <w:rFonts w:eastAsia="Calibri" w:cs="Times New Roman"/>
          <w:b/>
          <w:sz w:val="20"/>
          <w:szCs w:val="20"/>
        </w:rPr>
        <w:t>tramadol+metamizol</w:t>
      </w:r>
      <w:proofErr w:type="spellEnd"/>
      <w:r w:rsidRPr="00232722">
        <w:rPr>
          <w:rFonts w:cs="Times New Roman"/>
          <w:b/>
          <w:sz w:val="20"/>
          <w:szCs w:val="20"/>
        </w:rPr>
        <w:t xml:space="preserve"> in both groups EXP and TPC </w:t>
      </w:r>
      <w:r w:rsidRPr="00232722">
        <w:rPr>
          <w:rFonts w:eastAsia="Calibri" w:cs="Times New Roman"/>
          <w:b/>
          <w:sz w:val="20"/>
          <w:szCs w:val="20"/>
        </w:rPr>
        <w:t>at</w:t>
      </w:r>
      <w:r w:rsidRPr="00232722">
        <w:rPr>
          <w:rFonts w:cs="Times New Roman"/>
          <w:b/>
          <w:sz w:val="20"/>
          <w:szCs w:val="20"/>
        </w:rPr>
        <w:t xml:space="preserve"> 3, 6, </w:t>
      </w:r>
      <w:r w:rsidRPr="00232722">
        <w:rPr>
          <w:rFonts w:eastAsia="Calibri" w:cs="Times New Roman"/>
          <w:b/>
          <w:sz w:val="20"/>
          <w:szCs w:val="20"/>
        </w:rPr>
        <w:t xml:space="preserve">and </w:t>
      </w:r>
      <w:r w:rsidRPr="00232722">
        <w:rPr>
          <w:rFonts w:cs="Times New Roman"/>
          <w:b/>
          <w:sz w:val="20"/>
          <w:szCs w:val="20"/>
        </w:rPr>
        <w:t>9 hours</w:t>
      </w:r>
    </w:p>
    <w:p w:rsidR="00F37FA8" w:rsidRPr="00232722" w:rsidRDefault="00F37FA8" w:rsidP="00F37FA8">
      <w:pPr>
        <w:spacing w:line="240" w:lineRule="auto"/>
        <w:rPr>
          <w:rFonts w:cs="Times New Roman"/>
          <w:b/>
          <w:sz w:val="20"/>
          <w:szCs w:val="20"/>
        </w:rPr>
      </w:pPr>
      <w:r w:rsidRPr="00232722">
        <w:rPr>
          <w:rFonts w:cs="Times New Roman"/>
          <w:b/>
          <w:sz w:val="20"/>
          <w:szCs w:val="20"/>
        </w:rPr>
        <w:t>after caesarean</w:t>
      </w:r>
      <w:r w:rsidRPr="00232722">
        <w:rPr>
          <w:rFonts w:eastAsia="Calibri" w:cs="Times New Roman"/>
          <w:b/>
          <w:sz w:val="20"/>
          <w:szCs w:val="20"/>
        </w:rPr>
        <w:t xml:space="preserve"> section</w:t>
      </w:r>
      <w:r w:rsidRPr="00232722">
        <w:rPr>
          <w:rFonts w:cs="Times New Roman"/>
          <w:b/>
          <w:sz w:val="20"/>
          <w:szCs w:val="20"/>
        </w:rPr>
        <w:t>.</w:t>
      </w:r>
    </w:p>
    <w:p w:rsidR="00F37FA8" w:rsidRPr="00232722" w:rsidRDefault="00F37FA8" w:rsidP="00F37FA8">
      <w:pPr>
        <w:spacing w:line="240" w:lineRule="auto"/>
        <w:rPr>
          <w:rFonts w:cs="Times New Roman"/>
          <w:sz w:val="20"/>
          <w:szCs w:val="20"/>
        </w:rPr>
      </w:pPr>
      <w:r w:rsidRPr="00232722">
        <w:rPr>
          <w:rFonts w:cs="Times New Roman"/>
          <w:noProof/>
          <w:sz w:val="20"/>
          <w:szCs w:val="20"/>
          <w:lang w:val="en-US"/>
        </w:rPr>
        <w:drawing>
          <wp:inline distT="0" distB="0" distL="0" distR="0" wp14:anchorId="395481CD" wp14:editId="7A047AD9">
            <wp:extent cx="5090160" cy="3577590"/>
            <wp:effectExtent l="0" t="0" r="0" b="38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5413B" w:rsidRDefault="00F37FA8"/>
    <w:sectPr w:rsidR="009541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A8"/>
    <w:rsid w:val="005A45EB"/>
    <w:rsid w:val="00732901"/>
    <w:rsid w:val="0085576D"/>
    <w:rsid w:val="00A97B25"/>
    <w:rsid w:val="00F3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D442"/>
  <w15:chartTrackingRefBased/>
  <w15:docId w15:val="{9FDD15D2-BA37-4F64-B910-90A8CE8E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FA8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oris\Documents\FAKS%20PROF\Extraperitonealni%20SC\Copy%20of%20graf%20tramadola%20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oris\Documents\FAKS%20PROF\Extraperitonealni%20SC\graf%20tramadol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95907441427283"/>
          <c:y val="0.10127369495479729"/>
          <c:w val="0.78502342120963309"/>
          <c:h val="0.73577136191309422"/>
        </c:manualLayout>
      </c:layout>
      <c:lineChart>
        <c:grouping val="standard"/>
        <c:varyColors val="0"/>
        <c:ser>
          <c:idx val="0"/>
          <c:order val="0"/>
          <c:tx>
            <c:v>EXP</c:v>
          </c:tx>
          <c:spPr>
            <a:ln w="28575" cap="rnd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layout/>
              <c:tx>
                <c:rich>
                  <a:bodyPr/>
                  <a:lstStyle/>
                  <a:p>
                    <a:fld id="{AF8A625D-9407-4C20-A7AF-07FEE1ECEDFE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F522-4E05-A281-D78E804CCDF0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93F84278-E62D-48EB-91A3-3423D1B48E6E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522-4E05-A281-D78E804CCDF0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522-4E05-A281-D78E804CCD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Sheet1!$D$28:$D$30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18</c:v>
                </c:pt>
              </c:numCache>
            </c:numRef>
          </c:cat>
          <c:val>
            <c:numRef>
              <c:f>Sheet1!$A$28:$A$30</c:f>
              <c:numCache>
                <c:formatCode>General</c:formatCode>
                <c:ptCount val="3"/>
                <c:pt idx="0">
                  <c:v>27</c:v>
                </c:pt>
                <c:pt idx="1">
                  <c:v>7</c:v>
                </c:pt>
                <c:pt idx="2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522-4E05-A281-D78E804CCDF0}"/>
            </c:ext>
          </c:extLst>
        </c:ser>
        <c:ser>
          <c:idx val="1"/>
          <c:order val="1"/>
          <c:tx>
            <c:v>TPC</c:v>
          </c:tx>
          <c:spPr>
            <a:ln w="28575" cap="rnd" cmpd="sng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layout/>
              <c:tx>
                <c:rich>
                  <a:bodyPr/>
                  <a:lstStyle/>
                  <a:p>
                    <a:fld id="{1D43560D-039D-4E4A-99B2-303F014B9A6F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F522-4E05-A281-D78E804CCDF0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5027B8AC-7C64-486E-A8B9-4F34DB8045B0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522-4E05-A281-D78E804CCDF0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E218884D-E870-4EBA-9DCE-7D1B68DE2FF0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F522-4E05-A281-D78E804CCD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Sheet1!$D$28:$D$30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18</c:v>
                </c:pt>
              </c:numCache>
            </c:numRef>
          </c:cat>
          <c:val>
            <c:numRef>
              <c:f>Sheet1!$B$28:$B$30</c:f>
              <c:numCache>
                <c:formatCode>General</c:formatCode>
                <c:ptCount val="3"/>
                <c:pt idx="0">
                  <c:v>61</c:v>
                </c:pt>
                <c:pt idx="1">
                  <c:v>37</c:v>
                </c:pt>
                <c:pt idx="2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522-4E05-A281-D78E804CCD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7678064"/>
        <c:axId val="227676424"/>
      </c:lineChart>
      <c:catAx>
        <c:axId val="2276780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Hours after caesarean section</a:t>
                </a:r>
              </a:p>
            </c:rich>
          </c:tx>
          <c:layout>
            <c:manualLayout>
              <c:xMode val="edge"/>
              <c:yMode val="edge"/>
              <c:x val="0.42264818173047197"/>
              <c:y val="0.9293519237593668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7676424"/>
        <c:crosses val="autoZero"/>
        <c:auto val="1"/>
        <c:lblAlgn val="ctr"/>
        <c:lblOffset val="100"/>
        <c:tickLblSkip val="1"/>
        <c:noMultiLvlLbl val="0"/>
      </c:catAx>
      <c:valAx>
        <c:axId val="22767642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Patients who used diclofenac (</a:t>
                </a:r>
                <a:r>
                  <a:rPr lang="hr-HR"/>
                  <a:t>%</a:t>
                </a:r>
                <a:r>
                  <a:rPr lang="en-US"/>
                  <a:t>) </a:t>
                </a:r>
              </a:p>
            </c:rich>
          </c:tx>
          <c:layout>
            <c:manualLayout>
              <c:xMode val="edge"/>
              <c:yMode val="edge"/>
              <c:x val="3.1995400424909379E-2"/>
              <c:y val="0.1525503062117235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7678064"/>
        <c:crosses val="autoZero"/>
        <c:crossBetween val="between"/>
      </c:valAx>
      <c:spPr>
        <a:noFill/>
        <a:ln>
          <a:noFill/>
          <a:prstDash val="solid"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57606627296587931"/>
          <c:y val="0.14161220043572983"/>
          <c:w val="0.33397836989126362"/>
          <c:h val="8.3061431046609346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749933204457222E-2"/>
          <c:y val="6.8236862434325612E-2"/>
          <c:w val="0.87231992707498374"/>
          <c:h val="0.80386805072420375"/>
        </c:manualLayout>
      </c:layout>
      <c:lineChart>
        <c:grouping val="standard"/>
        <c:varyColors val="0"/>
        <c:ser>
          <c:idx val="0"/>
          <c:order val="0"/>
          <c:tx>
            <c:v>EXP</c:v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tx>
                <c:rich>
                  <a:bodyPr/>
                  <a:lstStyle/>
                  <a:p>
                    <a:fld id="{57479A02-A350-4948-8FF7-E9680EC25E30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436F-4AE3-9000-C3F7D08B73F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F-4AE3-9000-C3F7D08B73F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F48F1624-B4FD-4BFC-A6F9-32050C42B3F6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436F-4AE3-9000-C3F7D08B73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Sheet1!$D$2:$D$4</c:f>
              <c:numCache>
                <c:formatCode>General</c:formatCode>
                <c:ptCount val="3"/>
                <c:pt idx="0">
                  <c:v>3</c:v>
                </c:pt>
                <c:pt idx="1">
                  <c:v>6</c:v>
                </c:pt>
                <c:pt idx="2">
                  <c:v>9</c:v>
                </c:pt>
              </c:numCache>
            </c:numRef>
          </c:cat>
          <c:val>
            <c:numRef>
              <c:f>Sheet1!$A$2:$A$4</c:f>
              <c:numCache>
                <c:formatCode>General</c:formatCode>
                <c:ptCount val="3"/>
                <c:pt idx="0">
                  <c:v>14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36F-4AE3-9000-C3F7D08B73F4}"/>
            </c:ext>
          </c:extLst>
        </c:ser>
        <c:ser>
          <c:idx val="1"/>
          <c:order val="1"/>
          <c:tx>
            <c:v>TPC</c:v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tx>
                <c:rich>
                  <a:bodyPr/>
                  <a:lstStyle/>
                  <a:p>
                    <a:fld id="{6CAE7ECE-382F-4AC3-98CD-AAD7A0E80EA8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436F-4AE3-9000-C3F7D08B73F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CAADC95C-3612-47AE-974D-D23DD37222F0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36F-4AE3-9000-C3F7D08B73F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04D81595-AE24-4E62-B420-5539D04CDE22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436F-4AE3-9000-C3F7D08B73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Sheet1!$D$2:$D$4</c:f>
              <c:numCache>
                <c:formatCode>General</c:formatCode>
                <c:ptCount val="3"/>
                <c:pt idx="0">
                  <c:v>3</c:v>
                </c:pt>
                <c:pt idx="1">
                  <c:v>6</c:v>
                </c:pt>
                <c:pt idx="2">
                  <c:v>9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47</c:v>
                </c:pt>
                <c:pt idx="1">
                  <c:v>24</c:v>
                </c:pt>
                <c:pt idx="2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36F-4AE3-9000-C3F7D08B73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0386720"/>
        <c:axId val="320387048"/>
      </c:lineChart>
      <c:catAx>
        <c:axId val="3203867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/>
                  <a:t>Hours</a:t>
                </a:r>
                <a:r>
                  <a:rPr lang="hr-HR" baseline="0"/>
                  <a:t> after c</a:t>
                </a:r>
                <a:r>
                  <a:rPr lang="en-US" baseline="0"/>
                  <a:t>a</a:t>
                </a:r>
                <a:r>
                  <a:rPr lang="hr-HR" baseline="0"/>
                  <a:t>esarean</a:t>
                </a:r>
                <a:r>
                  <a:rPr lang="en-US" baseline="0"/>
                  <a:t> section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3929082779323243"/>
              <c:y val="0.9329772276867949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0387048"/>
        <c:crosses val="autoZero"/>
        <c:auto val="1"/>
        <c:lblAlgn val="ctr"/>
        <c:lblOffset val="100"/>
        <c:noMultiLvlLbl val="0"/>
      </c:catAx>
      <c:valAx>
        <c:axId val="3203870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aseline="0"/>
                  <a:t>Patients who</a:t>
                </a:r>
                <a:r>
                  <a:rPr lang="hr-HR" baseline="0"/>
                  <a:t> used </a:t>
                </a:r>
                <a:r>
                  <a:rPr lang="en-US" baseline="0"/>
                  <a:t>diclofenac</a:t>
                </a:r>
                <a:r>
                  <a:rPr lang="hr-HR"/>
                  <a:t> (%)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038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241646628003834"/>
          <c:y val="0.1609438375498557"/>
          <c:w val="0.2261978012478979"/>
          <c:h val="5.99045726312964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193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Bacic</dc:creator>
  <cp:keywords/>
  <dc:description/>
  <cp:lastModifiedBy>Boris Bacic</cp:lastModifiedBy>
  <cp:revision>1</cp:revision>
  <dcterms:created xsi:type="dcterms:W3CDTF">2023-02-22T23:29:00Z</dcterms:created>
  <dcterms:modified xsi:type="dcterms:W3CDTF">2023-02-22T23:30:00Z</dcterms:modified>
</cp:coreProperties>
</file>