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C1EFAE" w14:textId="38B7DD46" w:rsidR="00DC6698" w:rsidRDefault="00DC6698" w:rsidP="00DC6698">
      <w:r>
        <w:t xml:space="preserve">Additional Information </w:t>
      </w:r>
    </w:p>
    <w:p w14:paraId="13149BB6" w14:textId="77777777" w:rsidR="00DC6698" w:rsidRPr="00EF1715" w:rsidRDefault="00DC6698" w:rsidP="00DC6698">
      <w:pPr>
        <w:pStyle w:val="Caption"/>
        <w:keepNext/>
        <w:jc w:val="both"/>
        <w:rPr>
          <w:sz w:val="24"/>
        </w:rPr>
      </w:pPr>
      <w:bookmarkStart w:id="0" w:name="_Toc422983568"/>
      <w:r w:rsidRPr="00EF1715">
        <w:rPr>
          <w:sz w:val="24"/>
        </w:rPr>
        <w:t xml:space="preserve">Table </w:t>
      </w:r>
      <w:r w:rsidRPr="00EF1715">
        <w:rPr>
          <w:sz w:val="24"/>
        </w:rPr>
        <w:fldChar w:fldCharType="begin"/>
      </w:r>
      <w:r w:rsidRPr="00EF1715">
        <w:rPr>
          <w:sz w:val="24"/>
        </w:rPr>
        <w:instrText xml:space="preserve"> SEQ Table \* ARABIC </w:instrText>
      </w:r>
      <w:r w:rsidRPr="00EF1715">
        <w:rPr>
          <w:sz w:val="24"/>
        </w:rPr>
        <w:fldChar w:fldCharType="separate"/>
      </w:r>
      <w:r>
        <w:rPr>
          <w:noProof/>
          <w:sz w:val="24"/>
        </w:rPr>
        <w:t>1</w:t>
      </w:r>
      <w:r w:rsidRPr="00EF1715">
        <w:rPr>
          <w:sz w:val="24"/>
        </w:rPr>
        <w:fldChar w:fldCharType="end"/>
      </w:r>
      <w:r w:rsidRPr="00EF1715">
        <w:rPr>
          <w:sz w:val="24"/>
        </w:rPr>
        <w:t xml:space="preserve"> </w:t>
      </w:r>
      <w:r w:rsidRPr="00F93FAB">
        <w:rPr>
          <w:b w:val="0"/>
          <w:sz w:val="24"/>
        </w:rPr>
        <w:t>Allometric equations used to calculate above ground biomass (AGB) (ton h</w:t>
      </w:r>
      <w:r w:rsidRPr="00F93FAB">
        <w:rPr>
          <w:b w:val="0"/>
          <w:sz w:val="24"/>
          <w:vertAlign w:val="superscript"/>
        </w:rPr>
        <w:t>-1</w:t>
      </w:r>
      <w:r w:rsidRPr="00F93FAB">
        <w:rPr>
          <w:b w:val="0"/>
          <w:sz w:val="24"/>
        </w:rPr>
        <w:t>). Parameters include diameter at breast height (DBH)(cm), wood specific density (</w:t>
      </w:r>
      <w:r w:rsidRPr="00F93FAB">
        <w:rPr>
          <w:b w:val="0"/>
          <w:i/>
          <w:sz w:val="24"/>
        </w:rPr>
        <w:t>p</w:t>
      </w:r>
      <w:r w:rsidRPr="00F93FAB">
        <w:rPr>
          <w:b w:val="0"/>
          <w:sz w:val="24"/>
        </w:rPr>
        <w:t xml:space="preserve">) (g </w:t>
      </w:r>
      <w:proofErr w:type="gramStart"/>
      <w:r w:rsidRPr="00F93FAB">
        <w:rPr>
          <w:b w:val="0"/>
          <w:sz w:val="24"/>
        </w:rPr>
        <w:t>cm</w:t>
      </w:r>
      <w:r w:rsidRPr="00F93FAB">
        <w:rPr>
          <w:b w:val="0"/>
          <w:sz w:val="24"/>
          <w:vertAlign w:val="superscript"/>
        </w:rPr>
        <w:t>-3</w:t>
      </w:r>
      <w:proofErr w:type="gramEnd"/>
      <w:r w:rsidRPr="00F93FAB">
        <w:rPr>
          <w:b w:val="0"/>
          <w:sz w:val="24"/>
        </w:rPr>
        <w:t>) and height (</w:t>
      </w:r>
      <w:proofErr w:type="spellStart"/>
      <w:r w:rsidRPr="00F93FAB">
        <w:rPr>
          <w:b w:val="0"/>
          <w:sz w:val="24"/>
        </w:rPr>
        <w:t>ht</w:t>
      </w:r>
      <w:proofErr w:type="spellEnd"/>
      <w:r w:rsidRPr="00F93FAB">
        <w:rPr>
          <w:b w:val="0"/>
          <w:sz w:val="24"/>
        </w:rPr>
        <w:t>) (m)</w:t>
      </w:r>
      <w:bookmarkEnd w:id="0"/>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1"/>
        <w:gridCol w:w="2405"/>
        <w:gridCol w:w="1383"/>
        <w:gridCol w:w="1669"/>
        <w:gridCol w:w="1275"/>
      </w:tblGrid>
      <w:tr w:rsidR="00DC6698" w:rsidRPr="00826272" w14:paraId="59554E9A" w14:textId="77777777" w:rsidTr="00341F6B">
        <w:trPr>
          <w:trHeight w:val="113"/>
        </w:trPr>
        <w:tc>
          <w:tcPr>
            <w:tcW w:w="1881" w:type="dxa"/>
            <w:tcBorders>
              <w:top w:val="single" w:sz="4" w:space="0" w:color="auto"/>
              <w:left w:val="nil"/>
              <w:bottom w:val="single" w:sz="4" w:space="0" w:color="auto"/>
              <w:right w:val="nil"/>
            </w:tcBorders>
            <w:shd w:val="clear" w:color="auto" w:fill="E6E6E6"/>
            <w:noWrap/>
            <w:vAlign w:val="bottom"/>
            <w:hideMark/>
          </w:tcPr>
          <w:p w14:paraId="18A6631F" w14:textId="77777777" w:rsidR="00DC6698" w:rsidRPr="00826272" w:rsidRDefault="00DC6698" w:rsidP="00341F6B">
            <w:pPr>
              <w:spacing w:line="240" w:lineRule="auto"/>
              <w:rPr>
                <w:rFonts w:asciiTheme="majorHAnsi" w:eastAsia="Times New Roman" w:hAnsiTheme="majorHAnsi" w:cs="Times New Roman"/>
                <w:b/>
              </w:rPr>
            </w:pPr>
            <w:r w:rsidRPr="00826272">
              <w:rPr>
                <w:rFonts w:asciiTheme="majorHAnsi" w:eastAsia="Times New Roman" w:hAnsiTheme="majorHAnsi" w:cs="Times New Roman"/>
                <w:b/>
              </w:rPr>
              <w:t xml:space="preserve">Species </w:t>
            </w:r>
            <w:r>
              <w:rPr>
                <w:rFonts w:asciiTheme="majorHAnsi" w:eastAsia="Times New Roman" w:hAnsiTheme="majorHAnsi" w:cs="Times New Roman"/>
                <w:b/>
              </w:rPr>
              <w:t>Specific AGB</w:t>
            </w:r>
          </w:p>
        </w:tc>
        <w:tc>
          <w:tcPr>
            <w:tcW w:w="2405" w:type="dxa"/>
            <w:tcBorders>
              <w:top w:val="single" w:sz="4" w:space="0" w:color="auto"/>
              <w:left w:val="nil"/>
              <w:bottom w:val="single" w:sz="4" w:space="0" w:color="auto"/>
              <w:right w:val="nil"/>
            </w:tcBorders>
            <w:shd w:val="clear" w:color="auto" w:fill="E6E6E6"/>
            <w:noWrap/>
            <w:vAlign w:val="bottom"/>
            <w:hideMark/>
          </w:tcPr>
          <w:p w14:paraId="4235531C" w14:textId="77777777" w:rsidR="00DC6698" w:rsidRPr="00826272" w:rsidRDefault="00DC6698" w:rsidP="00341F6B">
            <w:pPr>
              <w:spacing w:line="240" w:lineRule="auto"/>
              <w:rPr>
                <w:rFonts w:asciiTheme="majorHAnsi" w:eastAsia="Times New Roman" w:hAnsiTheme="majorHAnsi" w:cs="Times New Roman"/>
                <w:b/>
                <w:bCs/>
              </w:rPr>
            </w:pPr>
            <w:r w:rsidRPr="00826272">
              <w:rPr>
                <w:rFonts w:asciiTheme="majorHAnsi" w:eastAsia="Times New Roman" w:hAnsiTheme="majorHAnsi" w:cs="Times New Roman"/>
                <w:b/>
                <w:bCs/>
              </w:rPr>
              <w:t>Equation</w:t>
            </w:r>
            <w:r>
              <w:rPr>
                <w:rFonts w:asciiTheme="majorHAnsi" w:eastAsia="Times New Roman" w:hAnsiTheme="majorHAnsi" w:cs="Times New Roman"/>
                <w:b/>
                <w:bCs/>
              </w:rPr>
              <w:t xml:space="preserve"> (calculation of AGB)</w:t>
            </w:r>
          </w:p>
        </w:tc>
        <w:tc>
          <w:tcPr>
            <w:tcW w:w="1383" w:type="dxa"/>
            <w:tcBorders>
              <w:top w:val="single" w:sz="4" w:space="0" w:color="auto"/>
              <w:left w:val="nil"/>
              <w:bottom w:val="single" w:sz="4" w:space="0" w:color="auto"/>
              <w:right w:val="nil"/>
            </w:tcBorders>
            <w:shd w:val="clear" w:color="auto" w:fill="E6E6E6"/>
            <w:noWrap/>
            <w:vAlign w:val="bottom"/>
            <w:hideMark/>
          </w:tcPr>
          <w:p w14:paraId="12C23184" w14:textId="77777777" w:rsidR="00DC6698" w:rsidRPr="00826272" w:rsidRDefault="00DC6698" w:rsidP="00341F6B">
            <w:pPr>
              <w:spacing w:line="240" w:lineRule="auto"/>
              <w:rPr>
                <w:rFonts w:asciiTheme="majorHAnsi" w:eastAsia="Times New Roman" w:hAnsiTheme="majorHAnsi" w:cs="Times New Roman"/>
                <w:b/>
              </w:rPr>
            </w:pPr>
            <w:r>
              <w:rPr>
                <w:rFonts w:asciiTheme="majorHAnsi" w:eastAsia="Times New Roman" w:hAnsiTheme="majorHAnsi" w:cs="Times New Roman"/>
                <w:b/>
              </w:rPr>
              <w:t>Country</w:t>
            </w:r>
            <w:r w:rsidRPr="00826272">
              <w:rPr>
                <w:rFonts w:asciiTheme="majorHAnsi" w:eastAsia="Times New Roman" w:hAnsiTheme="majorHAnsi" w:cs="Times New Roman"/>
                <w:b/>
              </w:rPr>
              <w:t xml:space="preserve"> </w:t>
            </w:r>
          </w:p>
        </w:tc>
        <w:tc>
          <w:tcPr>
            <w:tcW w:w="1669" w:type="dxa"/>
            <w:tcBorders>
              <w:top w:val="single" w:sz="4" w:space="0" w:color="auto"/>
              <w:left w:val="nil"/>
              <w:bottom w:val="single" w:sz="4" w:space="0" w:color="auto"/>
              <w:right w:val="nil"/>
            </w:tcBorders>
            <w:shd w:val="clear" w:color="auto" w:fill="E6E6E6"/>
            <w:noWrap/>
            <w:vAlign w:val="bottom"/>
            <w:hideMark/>
          </w:tcPr>
          <w:p w14:paraId="3EF24E59" w14:textId="77777777" w:rsidR="00DC6698" w:rsidRPr="00826272" w:rsidRDefault="00DC6698" w:rsidP="00341F6B">
            <w:pPr>
              <w:spacing w:line="240" w:lineRule="auto"/>
              <w:rPr>
                <w:rFonts w:asciiTheme="majorHAnsi" w:eastAsia="Times New Roman" w:hAnsiTheme="majorHAnsi" w:cs="Times New Roman"/>
                <w:b/>
              </w:rPr>
            </w:pPr>
            <w:r w:rsidRPr="00884CB1">
              <w:rPr>
                <w:rFonts w:asciiTheme="majorHAnsi" w:eastAsia="Times New Roman" w:hAnsiTheme="majorHAnsi" w:cs="Times New Roman"/>
                <w:b/>
              </w:rPr>
              <w:t>Reference</w:t>
            </w:r>
            <w:r w:rsidRPr="00826272">
              <w:rPr>
                <w:rFonts w:asciiTheme="majorHAnsi" w:eastAsia="Times New Roman" w:hAnsiTheme="majorHAnsi" w:cs="Times New Roman"/>
                <w:b/>
              </w:rPr>
              <w:t xml:space="preserve"> </w:t>
            </w:r>
          </w:p>
        </w:tc>
        <w:tc>
          <w:tcPr>
            <w:tcW w:w="1275" w:type="dxa"/>
            <w:tcBorders>
              <w:top w:val="single" w:sz="4" w:space="0" w:color="auto"/>
              <w:left w:val="nil"/>
              <w:bottom w:val="single" w:sz="4" w:space="0" w:color="auto"/>
              <w:right w:val="nil"/>
            </w:tcBorders>
            <w:shd w:val="clear" w:color="auto" w:fill="E6E6E6"/>
          </w:tcPr>
          <w:p w14:paraId="70B48B6A" w14:textId="77777777" w:rsidR="00DC6698" w:rsidRPr="00884CB1" w:rsidRDefault="00DC6698" w:rsidP="00341F6B">
            <w:pPr>
              <w:spacing w:line="240" w:lineRule="auto"/>
              <w:rPr>
                <w:rFonts w:asciiTheme="majorHAnsi" w:eastAsia="Times New Roman" w:hAnsiTheme="majorHAnsi" w:cs="Times New Roman"/>
                <w:b/>
              </w:rPr>
            </w:pPr>
            <w:r w:rsidRPr="007E60D8">
              <w:rPr>
                <w:rFonts w:ascii="Calibri" w:eastAsia="Times New Roman" w:hAnsi="Calibri" w:cs="Times New Roman"/>
                <w:color w:val="000000"/>
              </w:rPr>
              <w:t xml:space="preserve">Average carbon (mg </w:t>
            </w:r>
            <w:r>
              <w:rPr>
                <w:rFonts w:ascii="Calibri" w:eastAsia="Times New Roman" w:hAnsi="Calibri" w:cs="Times New Roman"/>
                <w:color w:val="000000"/>
              </w:rPr>
              <w:t xml:space="preserve">C </w:t>
            </w:r>
            <w:r w:rsidRPr="007E60D8">
              <w:rPr>
                <w:rFonts w:ascii="Calibri" w:eastAsia="Times New Roman" w:hAnsi="Calibri" w:cs="Times New Roman"/>
                <w:color w:val="000000"/>
              </w:rPr>
              <w:t xml:space="preserve">ha </w:t>
            </w:r>
            <w:r w:rsidRPr="007E60D8">
              <w:rPr>
                <w:rFonts w:ascii="Calibri" w:eastAsia="Times New Roman" w:hAnsi="Calibri" w:cs="Times New Roman"/>
                <w:color w:val="000000"/>
                <w:vertAlign w:val="superscript"/>
              </w:rPr>
              <w:t>-1</w:t>
            </w:r>
            <w:r w:rsidRPr="007E60D8">
              <w:rPr>
                <w:rFonts w:ascii="Calibri" w:eastAsia="Times New Roman" w:hAnsi="Calibri" w:cs="Times New Roman"/>
                <w:color w:val="000000"/>
              </w:rPr>
              <w:t>)</w:t>
            </w:r>
          </w:p>
        </w:tc>
      </w:tr>
      <w:tr w:rsidR="00DC6698" w:rsidRPr="00826272" w14:paraId="76700BB4" w14:textId="77777777" w:rsidTr="00341F6B">
        <w:trPr>
          <w:trHeight w:val="486"/>
        </w:trPr>
        <w:tc>
          <w:tcPr>
            <w:tcW w:w="1881" w:type="dxa"/>
            <w:tcBorders>
              <w:top w:val="single" w:sz="4" w:space="0" w:color="auto"/>
              <w:left w:val="nil"/>
              <w:bottom w:val="nil"/>
              <w:right w:val="nil"/>
            </w:tcBorders>
            <w:shd w:val="clear" w:color="auto" w:fill="auto"/>
            <w:noWrap/>
            <w:vAlign w:val="bottom"/>
            <w:hideMark/>
          </w:tcPr>
          <w:p w14:paraId="38B555C5" w14:textId="77777777" w:rsidR="00DC6698" w:rsidRPr="00A12863" w:rsidRDefault="00DC6698" w:rsidP="00341F6B">
            <w:pPr>
              <w:spacing w:line="240" w:lineRule="auto"/>
              <w:rPr>
                <w:rFonts w:asciiTheme="majorHAnsi" w:eastAsia="Times New Roman" w:hAnsiTheme="majorHAnsi" w:cs="Times New Roman"/>
                <w:bCs/>
                <w:i/>
              </w:rPr>
            </w:pPr>
            <w:proofErr w:type="spellStart"/>
            <w:r w:rsidRPr="00A12863">
              <w:rPr>
                <w:rFonts w:asciiTheme="majorHAnsi" w:eastAsia="Times New Roman" w:hAnsiTheme="majorHAnsi" w:cs="Times New Roman"/>
                <w:bCs/>
                <w:i/>
              </w:rPr>
              <w:t>Xylocarpus</w:t>
            </w:r>
            <w:proofErr w:type="spellEnd"/>
            <w:r w:rsidRPr="00A12863">
              <w:rPr>
                <w:rFonts w:asciiTheme="majorHAnsi" w:eastAsia="Times New Roman" w:hAnsiTheme="majorHAnsi" w:cs="Times New Roman"/>
                <w:bCs/>
                <w:i/>
              </w:rPr>
              <w:t xml:space="preserve"> </w:t>
            </w:r>
            <w:proofErr w:type="spellStart"/>
            <w:r w:rsidRPr="00A12863">
              <w:rPr>
                <w:rFonts w:asciiTheme="majorHAnsi" w:eastAsia="Times New Roman" w:hAnsiTheme="majorHAnsi" w:cs="Times New Roman"/>
                <w:bCs/>
                <w:i/>
              </w:rPr>
              <w:t>granatum</w:t>
            </w:r>
            <w:proofErr w:type="spellEnd"/>
          </w:p>
        </w:tc>
        <w:tc>
          <w:tcPr>
            <w:tcW w:w="2405" w:type="dxa"/>
            <w:tcBorders>
              <w:top w:val="single" w:sz="4" w:space="0" w:color="auto"/>
              <w:left w:val="nil"/>
              <w:bottom w:val="nil"/>
              <w:right w:val="nil"/>
            </w:tcBorders>
            <w:shd w:val="clear" w:color="auto" w:fill="auto"/>
            <w:noWrap/>
            <w:vAlign w:val="bottom"/>
            <w:hideMark/>
          </w:tcPr>
          <w:p w14:paraId="1FA828A8"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0.0000823*DBH</w:t>
            </w:r>
            <w:r w:rsidRPr="00826272">
              <w:rPr>
                <w:rFonts w:asciiTheme="majorHAnsi" w:eastAsia="Times New Roman" w:hAnsiTheme="majorHAnsi" w:cs="Times New Roman"/>
                <w:vertAlign w:val="superscript"/>
              </w:rPr>
              <w:t>2.59</w:t>
            </w:r>
          </w:p>
        </w:tc>
        <w:tc>
          <w:tcPr>
            <w:tcW w:w="1383" w:type="dxa"/>
            <w:tcBorders>
              <w:top w:val="single" w:sz="4" w:space="0" w:color="auto"/>
              <w:left w:val="nil"/>
              <w:bottom w:val="nil"/>
              <w:right w:val="nil"/>
            </w:tcBorders>
            <w:shd w:val="clear" w:color="auto" w:fill="auto"/>
            <w:noWrap/>
            <w:vAlign w:val="bottom"/>
            <w:hideMark/>
          </w:tcPr>
          <w:p w14:paraId="112C7074"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Australia</w:t>
            </w:r>
          </w:p>
        </w:tc>
        <w:tc>
          <w:tcPr>
            <w:tcW w:w="1669" w:type="dxa"/>
            <w:tcBorders>
              <w:top w:val="single" w:sz="4" w:space="0" w:color="auto"/>
              <w:left w:val="nil"/>
              <w:bottom w:val="nil"/>
              <w:right w:val="nil"/>
            </w:tcBorders>
            <w:shd w:val="clear" w:color="auto" w:fill="auto"/>
            <w:noWrap/>
            <w:vAlign w:val="bottom"/>
            <w:hideMark/>
          </w:tcPr>
          <w:p w14:paraId="70E2C730" w14:textId="77777777" w:rsidR="00DC6698" w:rsidRPr="00826272" w:rsidRDefault="00DC6698" w:rsidP="00341F6B">
            <w:pPr>
              <w:spacing w:line="240" w:lineRule="auto"/>
              <w:rPr>
                <w:rFonts w:asciiTheme="majorHAnsi" w:eastAsia="Times New Roman" w:hAnsiTheme="majorHAnsi" w:cs="Times New Roman"/>
                <w:noProof/>
              </w:rPr>
            </w:pPr>
            <w:r w:rsidRPr="00826272">
              <w:rPr>
                <w:rFonts w:asciiTheme="majorHAnsi" w:eastAsia="Times New Roman" w:hAnsiTheme="majorHAnsi" w:cs="Times New Roman"/>
              </w:rPr>
              <w:t>(</w:t>
            </w:r>
            <w:r w:rsidRPr="00826272">
              <w:rPr>
                <w:rFonts w:asciiTheme="majorHAnsi" w:eastAsia="Times New Roman" w:hAnsiTheme="majorHAnsi" w:cs="Times New Roman"/>
                <w:noProof/>
              </w:rPr>
              <w:t>Clough and Scott, 1989)</w:t>
            </w:r>
          </w:p>
        </w:tc>
        <w:tc>
          <w:tcPr>
            <w:tcW w:w="1275" w:type="dxa"/>
            <w:vMerge w:val="restart"/>
            <w:tcBorders>
              <w:top w:val="single" w:sz="4" w:space="0" w:color="auto"/>
              <w:left w:val="nil"/>
              <w:right w:val="nil"/>
            </w:tcBorders>
          </w:tcPr>
          <w:p w14:paraId="47006D5B" w14:textId="77777777" w:rsidR="00DC6698" w:rsidRPr="00826272" w:rsidRDefault="00DC6698" w:rsidP="00341F6B">
            <w:pPr>
              <w:spacing w:line="240" w:lineRule="auto"/>
              <w:rPr>
                <w:rFonts w:asciiTheme="majorHAnsi" w:eastAsia="Times New Roman" w:hAnsiTheme="majorHAnsi" w:cs="Times New Roman"/>
              </w:rPr>
            </w:pPr>
            <w:r w:rsidRPr="0080317D">
              <w:rPr>
                <w:rFonts w:ascii="Calibri" w:eastAsia="Times New Roman" w:hAnsi="Calibri" w:cs="Times New Roman"/>
                <w:color w:val="000000"/>
              </w:rPr>
              <w:t>25.19</w:t>
            </w:r>
          </w:p>
        </w:tc>
      </w:tr>
      <w:tr w:rsidR="00DC6698" w:rsidRPr="00826272" w14:paraId="2149A571" w14:textId="77777777" w:rsidTr="00341F6B">
        <w:trPr>
          <w:trHeight w:val="113"/>
        </w:trPr>
        <w:tc>
          <w:tcPr>
            <w:tcW w:w="1881" w:type="dxa"/>
            <w:tcBorders>
              <w:top w:val="nil"/>
              <w:left w:val="nil"/>
              <w:bottom w:val="nil"/>
              <w:right w:val="nil"/>
            </w:tcBorders>
            <w:shd w:val="clear" w:color="auto" w:fill="auto"/>
            <w:noWrap/>
            <w:vAlign w:val="bottom"/>
            <w:hideMark/>
          </w:tcPr>
          <w:p w14:paraId="437DFBD1" w14:textId="77777777" w:rsidR="00DC6698" w:rsidRPr="00A12863" w:rsidRDefault="00DC6698" w:rsidP="00341F6B">
            <w:pPr>
              <w:spacing w:line="240" w:lineRule="auto"/>
              <w:rPr>
                <w:rFonts w:asciiTheme="majorHAnsi" w:eastAsia="Times New Roman" w:hAnsiTheme="majorHAnsi" w:cs="Times New Roman"/>
                <w:i/>
              </w:rPr>
            </w:pPr>
            <w:proofErr w:type="spellStart"/>
            <w:r w:rsidRPr="00A12863">
              <w:rPr>
                <w:rFonts w:asciiTheme="majorHAnsi" w:eastAsia="Times New Roman" w:hAnsiTheme="majorHAnsi" w:cs="Times New Roman"/>
                <w:bCs/>
                <w:i/>
              </w:rPr>
              <w:t>Ceriops</w:t>
            </w:r>
            <w:proofErr w:type="spellEnd"/>
            <w:r w:rsidRPr="00A12863">
              <w:rPr>
                <w:rFonts w:asciiTheme="majorHAnsi" w:eastAsia="Times New Roman" w:hAnsiTheme="majorHAnsi" w:cs="Times New Roman"/>
                <w:bCs/>
                <w:i/>
              </w:rPr>
              <w:t xml:space="preserve"> </w:t>
            </w:r>
            <w:proofErr w:type="spellStart"/>
            <w:r w:rsidRPr="00A12863">
              <w:rPr>
                <w:rFonts w:asciiTheme="majorHAnsi" w:eastAsia="Times New Roman" w:hAnsiTheme="majorHAnsi" w:cs="Times New Roman"/>
                <w:bCs/>
                <w:i/>
              </w:rPr>
              <w:t>tagal</w:t>
            </w:r>
            <w:proofErr w:type="spellEnd"/>
            <w:r w:rsidRPr="00A12863">
              <w:rPr>
                <w:rFonts w:asciiTheme="majorHAnsi" w:eastAsia="Times New Roman" w:hAnsiTheme="majorHAnsi" w:cs="Times New Roman"/>
                <w:i/>
              </w:rPr>
              <w:t xml:space="preserve"> </w:t>
            </w:r>
          </w:p>
        </w:tc>
        <w:tc>
          <w:tcPr>
            <w:tcW w:w="2405" w:type="dxa"/>
            <w:tcBorders>
              <w:top w:val="nil"/>
              <w:left w:val="nil"/>
              <w:bottom w:val="nil"/>
              <w:right w:val="nil"/>
            </w:tcBorders>
            <w:shd w:val="clear" w:color="auto" w:fill="auto"/>
            <w:noWrap/>
            <w:vAlign w:val="bottom"/>
            <w:hideMark/>
          </w:tcPr>
          <w:p w14:paraId="53324B7B"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0.000189*DBH</w:t>
            </w:r>
            <w:r w:rsidRPr="00826272">
              <w:rPr>
                <w:rFonts w:asciiTheme="majorHAnsi" w:eastAsia="Times New Roman" w:hAnsiTheme="majorHAnsi" w:cs="Times New Roman"/>
                <w:vertAlign w:val="superscript"/>
              </w:rPr>
              <w:t xml:space="preserve">2.34 </w:t>
            </w:r>
          </w:p>
        </w:tc>
        <w:tc>
          <w:tcPr>
            <w:tcW w:w="1383" w:type="dxa"/>
            <w:tcBorders>
              <w:top w:val="nil"/>
              <w:left w:val="nil"/>
              <w:bottom w:val="nil"/>
              <w:right w:val="nil"/>
            </w:tcBorders>
            <w:shd w:val="clear" w:color="auto" w:fill="auto"/>
            <w:noWrap/>
            <w:vAlign w:val="bottom"/>
            <w:hideMark/>
          </w:tcPr>
          <w:p w14:paraId="4B867D42"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Australia</w:t>
            </w:r>
          </w:p>
        </w:tc>
        <w:tc>
          <w:tcPr>
            <w:tcW w:w="1669" w:type="dxa"/>
            <w:tcBorders>
              <w:top w:val="nil"/>
              <w:left w:val="nil"/>
              <w:bottom w:val="nil"/>
              <w:right w:val="nil"/>
            </w:tcBorders>
            <w:shd w:val="clear" w:color="auto" w:fill="auto"/>
            <w:noWrap/>
            <w:vAlign w:val="bottom"/>
            <w:hideMark/>
          </w:tcPr>
          <w:p w14:paraId="01802313"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{"citationItems":[{"id":"ITEM-1","itemData":{"abstract":"Clough, B.F. and Scott, K., 1989. Allometric relationships for estimating above-ground biomass in six mangrove species. For. Ecol. Manage., 27: 117-127. Allometric relationships are described for estimating leaf biomass, branch biomass, stem bio-mass and total above-ground biomass from measurements of stem diameter (DBH) in the mangrove species Rhizophora apiculata, R. stylosa, Bruguiera gymnorrhiza, B. parviflora, Ceriops tagal var. australis and Xylocarpus granatum. A linear relationship was found when the biomass of each above-ground component was plotted against DBH on a log-log scale. The two Rhizophora species were found to have the greatest stem and total above-ground biomass for a given DBH, followed by B. parviflora, B. gymnorrhiza, C. tagal var. australis, and X. granatum, the last having a significantly lower biomass for a given DBH than the other five species. However, there was much less variation in stem volume for a given DBH amongst the six species, owing to differences in the specific gravity of their stems.","author":[{"dropping-particle":"","family":"Clough","given":"B F","non-dropping-particle":"","parse-names":false,"suffix":""},{"dropping-particle":"","family":"Scott","given":"K","non-dropping-particle":"","parse-names":false,"suffix":""}],"container-title":"Forest Ecology and Management","id":"ITEM-1","issued":{"date-parts":[["1989"]]},"number-of-pages":"117-127","title":"Allometric Relationships for Estimating Above-Ground Biomass in Six Mangrove Species","type":"report","volume":"27"},"uris":["http://www.mendeley.com/documents/?uuid=ce47223c-714b-3266-8616-6692545dce66"]}],"mendeley":{"formattedCitation":"(Clough and Scott, 1989)","plainTextFormattedCitation":"(Clough and Scott, 1989)","previouslyFormattedCitation":"(Clough and Scott, 1989)"},"properties":{"noteIndex":0},"schema":"https://github.com/citation-style-language/schema/raw/master/csl-citation.json"}</w:instrText>
            </w:r>
            <w:r w:rsidRPr="00826272">
              <w:rPr>
                <w:rFonts w:asciiTheme="majorHAnsi" w:eastAsia="Times New Roman" w:hAnsiTheme="majorHAnsi" w:cs="Times New Roman"/>
              </w:rPr>
              <w:fldChar w:fldCharType="separate"/>
            </w:r>
            <w:r w:rsidRPr="00A45960">
              <w:rPr>
                <w:rFonts w:asciiTheme="majorHAnsi" w:eastAsia="Times New Roman" w:hAnsiTheme="majorHAnsi" w:cs="Times New Roman"/>
                <w:noProof/>
              </w:rPr>
              <w:t>(Clough and Scott, 1989)</w:t>
            </w:r>
            <w:r w:rsidRPr="00826272">
              <w:rPr>
                <w:rFonts w:asciiTheme="majorHAnsi" w:eastAsia="Times New Roman" w:hAnsiTheme="majorHAnsi" w:cs="Times New Roman"/>
              </w:rPr>
              <w:fldChar w:fldCharType="end"/>
            </w:r>
          </w:p>
        </w:tc>
        <w:tc>
          <w:tcPr>
            <w:tcW w:w="1275" w:type="dxa"/>
            <w:vMerge/>
            <w:tcBorders>
              <w:left w:val="nil"/>
              <w:right w:val="nil"/>
            </w:tcBorders>
          </w:tcPr>
          <w:p w14:paraId="2BCE3811" w14:textId="77777777" w:rsidR="00DC6698" w:rsidRPr="00826272" w:rsidRDefault="00DC6698" w:rsidP="00341F6B">
            <w:pPr>
              <w:spacing w:line="240" w:lineRule="auto"/>
              <w:rPr>
                <w:rFonts w:asciiTheme="majorHAnsi" w:eastAsia="Times New Roman" w:hAnsiTheme="majorHAnsi" w:cs="Times New Roman"/>
              </w:rPr>
            </w:pPr>
          </w:p>
        </w:tc>
      </w:tr>
      <w:tr w:rsidR="00DC6698" w:rsidRPr="00826272" w14:paraId="2C5BF70F" w14:textId="77777777" w:rsidTr="00341F6B">
        <w:trPr>
          <w:trHeight w:val="113"/>
        </w:trPr>
        <w:tc>
          <w:tcPr>
            <w:tcW w:w="1881" w:type="dxa"/>
            <w:tcBorders>
              <w:top w:val="nil"/>
              <w:left w:val="nil"/>
              <w:bottom w:val="nil"/>
              <w:right w:val="nil"/>
            </w:tcBorders>
            <w:shd w:val="clear" w:color="auto" w:fill="auto"/>
            <w:noWrap/>
            <w:vAlign w:val="bottom"/>
            <w:hideMark/>
          </w:tcPr>
          <w:p w14:paraId="215CA70C" w14:textId="77777777" w:rsidR="00DC6698" w:rsidRPr="00A12863" w:rsidRDefault="00DC6698" w:rsidP="00341F6B">
            <w:pPr>
              <w:spacing w:line="240" w:lineRule="auto"/>
              <w:rPr>
                <w:rFonts w:asciiTheme="majorHAnsi" w:eastAsia="Times New Roman" w:hAnsiTheme="majorHAnsi" w:cs="Times New Roman"/>
                <w:bCs/>
                <w:i/>
              </w:rPr>
            </w:pPr>
            <w:r w:rsidRPr="00A12863">
              <w:rPr>
                <w:rFonts w:asciiTheme="majorHAnsi" w:eastAsia="Times New Roman" w:hAnsiTheme="majorHAnsi" w:cs="Times New Roman"/>
                <w:bCs/>
                <w:i/>
              </w:rPr>
              <w:t xml:space="preserve">Rhizophora </w:t>
            </w:r>
            <w:proofErr w:type="spellStart"/>
            <w:r w:rsidRPr="00A12863">
              <w:rPr>
                <w:rFonts w:asciiTheme="majorHAnsi" w:eastAsia="Times New Roman" w:hAnsiTheme="majorHAnsi" w:cs="Times New Roman"/>
                <w:bCs/>
                <w:i/>
              </w:rPr>
              <w:t>mucronata</w:t>
            </w:r>
            <w:proofErr w:type="spellEnd"/>
          </w:p>
        </w:tc>
        <w:tc>
          <w:tcPr>
            <w:tcW w:w="2405" w:type="dxa"/>
            <w:tcBorders>
              <w:top w:val="nil"/>
              <w:left w:val="nil"/>
              <w:bottom w:val="nil"/>
              <w:right w:val="nil"/>
            </w:tcBorders>
            <w:shd w:val="clear" w:color="auto" w:fill="auto"/>
            <w:noWrap/>
            <w:vAlign w:val="bottom"/>
            <w:hideMark/>
          </w:tcPr>
          <w:p w14:paraId="7A814206"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0.00025128*DBH﻿</w:t>
            </w:r>
            <w:r w:rsidRPr="00826272">
              <w:rPr>
                <w:rFonts w:asciiTheme="majorHAnsi" w:eastAsia="Times New Roman" w:hAnsiTheme="majorHAnsi" w:cs="Times New Roman"/>
                <w:vertAlign w:val="superscript"/>
              </w:rPr>
              <w:t>2.26026</w:t>
            </w:r>
          </w:p>
        </w:tc>
        <w:tc>
          <w:tcPr>
            <w:tcW w:w="1383" w:type="dxa"/>
            <w:tcBorders>
              <w:top w:val="nil"/>
              <w:left w:val="nil"/>
              <w:bottom w:val="nil"/>
              <w:right w:val="nil"/>
            </w:tcBorders>
            <w:shd w:val="clear" w:color="auto" w:fill="auto"/>
            <w:noWrap/>
            <w:vAlign w:val="bottom"/>
            <w:hideMark/>
          </w:tcPr>
          <w:p w14:paraId="4BCECD63"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xml:space="preserve">Tanzania </w:t>
            </w:r>
          </w:p>
        </w:tc>
        <w:tc>
          <w:tcPr>
            <w:tcW w:w="1669" w:type="dxa"/>
            <w:tcBorders>
              <w:top w:val="nil"/>
              <w:left w:val="nil"/>
              <w:bottom w:val="nil"/>
              <w:right w:val="nil"/>
            </w:tcBorders>
            <w:shd w:val="clear" w:color="auto" w:fill="auto"/>
            <w:noWrap/>
            <w:vAlign w:val="bottom"/>
            <w:hideMark/>
          </w:tcPr>
          <w:p w14:paraId="57AA3218"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fldChar w:fldCharType="begin" w:fldLock="1"/>
            </w:r>
            <w:r w:rsidRPr="00826272">
              <w:rPr>
                <w:rFonts w:asciiTheme="majorHAnsi" w:eastAsia="Times New Roman" w:hAnsiTheme="majorHAnsi" w:cs="Times New Roman"/>
              </w:rPr>
              <w:instrText>ADDIN CSL_CITATION {"citationItems":[{"id":"ITEM-1","itemData":{"author":[{"dropping-particle":"","family":"Njana","given":"Marco Andrew","non-dropping-particle":"","parse-names":false,"suffix":""}],"id":"ITEM-1","issued":{"date-parts":[["2015"]]},"title":"Biomass estimation and carbon storage in mangrove forests of Tanzania","type":"report"},"uris":["http://www.mendeley.com/documents/?uuid=f18bc671-b42e-3f44-a9ed-911be6dc9047"]}],"mendeley":{"formattedCitation":"(Njana, 2015)","plainTextFormattedCitation":"(Njana, 2015)","previouslyFormattedCitation":"(Njana, 2015)"},"properties":{"noteIndex":0},"schema":"https://github.com/citation-style-language/schema/raw/master/csl-citation.json"}</w:instrText>
            </w:r>
            <w:r w:rsidRPr="00826272">
              <w:rPr>
                <w:rFonts w:asciiTheme="majorHAnsi" w:eastAsia="Times New Roman" w:hAnsiTheme="majorHAnsi" w:cs="Times New Roman"/>
              </w:rPr>
              <w:fldChar w:fldCharType="separate"/>
            </w:r>
            <w:r w:rsidRPr="00826272">
              <w:rPr>
                <w:rFonts w:asciiTheme="majorHAnsi" w:eastAsia="Times New Roman" w:hAnsiTheme="majorHAnsi" w:cs="Times New Roman"/>
                <w:noProof/>
              </w:rPr>
              <w:t>(Njana, 2015)</w:t>
            </w:r>
            <w:r w:rsidRPr="00826272">
              <w:rPr>
                <w:rFonts w:asciiTheme="majorHAnsi" w:eastAsia="Times New Roman" w:hAnsiTheme="majorHAnsi" w:cs="Times New Roman"/>
              </w:rPr>
              <w:fldChar w:fldCharType="end"/>
            </w:r>
          </w:p>
        </w:tc>
        <w:tc>
          <w:tcPr>
            <w:tcW w:w="1275" w:type="dxa"/>
            <w:vMerge/>
            <w:tcBorders>
              <w:left w:val="nil"/>
              <w:right w:val="nil"/>
            </w:tcBorders>
          </w:tcPr>
          <w:p w14:paraId="3750A879" w14:textId="77777777" w:rsidR="00DC6698" w:rsidRPr="00826272" w:rsidRDefault="00DC6698" w:rsidP="00341F6B">
            <w:pPr>
              <w:spacing w:line="240" w:lineRule="auto"/>
              <w:rPr>
                <w:rFonts w:asciiTheme="majorHAnsi" w:eastAsia="Times New Roman" w:hAnsiTheme="majorHAnsi" w:cs="Times New Roman"/>
              </w:rPr>
            </w:pPr>
          </w:p>
        </w:tc>
      </w:tr>
      <w:tr w:rsidR="00DC6698" w:rsidRPr="00826272" w14:paraId="11198CEA" w14:textId="77777777" w:rsidTr="00341F6B">
        <w:trPr>
          <w:trHeight w:val="113"/>
        </w:trPr>
        <w:tc>
          <w:tcPr>
            <w:tcW w:w="1881" w:type="dxa"/>
            <w:tcBorders>
              <w:top w:val="nil"/>
              <w:left w:val="nil"/>
              <w:bottom w:val="nil"/>
              <w:right w:val="nil"/>
            </w:tcBorders>
            <w:shd w:val="clear" w:color="auto" w:fill="auto"/>
            <w:noWrap/>
            <w:vAlign w:val="bottom"/>
            <w:hideMark/>
          </w:tcPr>
          <w:p w14:paraId="5F21D0C4" w14:textId="77777777" w:rsidR="00DC6698" w:rsidRPr="00A12863" w:rsidRDefault="00DC6698" w:rsidP="00341F6B">
            <w:pPr>
              <w:spacing w:line="240" w:lineRule="auto"/>
              <w:rPr>
                <w:rFonts w:asciiTheme="majorHAnsi" w:eastAsia="Times New Roman" w:hAnsiTheme="majorHAnsi" w:cs="Times New Roman"/>
                <w:bCs/>
                <w:i/>
              </w:rPr>
            </w:pPr>
            <w:proofErr w:type="spellStart"/>
            <w:r w:rsidRPr="00A12863">
              <w:rPr>
                <w:rFonts w:asciiTheme="majorHAnsi" w:eastAsia="Times New Roman" w:hAnsiTheme="majorHAnsi" w:cs="Times New Roman"/>
                <w:bCs/>
                <w:i/>
              </w:rPr>
              <w:t>Bruguiera</w:t>
            </w:r>
            <w:proofErr w:type="spellEnd"/>
            <w:r w:rsidRPr="00A12863">
              <w:rPr>
                <w:rFonts w:asciiTheme="majorHAnsi" w:eastAsia="Times New Roman" w:hAnsiTheme="majorHAnsi" w:cs="Times New Roman"/>
                <w:bCs/>
                <w:i/>
              </w:rPr>
              <w:t xml:space="preserve"> </w:t>
            </w:r>
            <w:proofErr w:type="spellStart"/>
            <w:r w:rsidRPr="00A12863">
              <w:rPr>
                <w:rFonts w:asciiTheme="majorHAnsi" w:eastAsia="Times New Roman" w:hAnsiTheme="majorHAnsi" w:cs="Times New Roman"/>
                <w:bCs/>
                <w:i/>
              </w:rPr>
              <w:t>gymnorhiza</w:t>
            </w:r>
            <w:proofErr w:type="spellEnd"/>
          </w:p>
        </w:tc>
        <w:tc>
          <w:tcPr>
            <w:tcW w:w="2405" w:type="dxa"/>
            <w:tcBorders>
              <w:top w:val="nil"/>
              <w:left w:val="nil"/>
              <w:bottom w:val="nil"/>
              <w:right w:val="nil"/>
            </w:tcBorders>
            <w:shd w:val="clear" w:color="auto" w:fill="auto"/>
            <w:noWrap/>
            <w:vAlign w:val="bottom"/>
            <w:hideMark/>
          </w:tcPr>
          <w:p w14:paraId="2F52D2A2"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0.000186*DBH</w:t>
            </w:r>
            <w:r w:rsidRPr="00826272">
              <w:rPr>
                <w:rFonts w:asciiTheme="majorHAnsi" w:eastAsia="Times New Roman" w:hAnsiTheme="majorHAnsi" w:cs="Times New Roman"/>
                <w:vertAlign w:val="superscript"/>
              </w:rPr>
              <w:t>2.31</w:t>
            </w:r>
          </w:p>
        </w:tc>
        <w:tc>
          <w:tcPr>
            <w:tcW w:w="1383" w:type="dxa"/>
            <w:tcBorders>
              <w:top w:val="nil"/>
              <w:left w:val="nil"/>
              <w:bottom w:val="nil"/>
              <w:right w:val="nil"/>
            </w:tcBorders>
            <w:shd w:val="clear" w:color="auto" w:fill="auto"/>
            <w:noWrap/>
            <w:vAlign w:val="bottom"/>
            <w:hideMark/>
          </w:tcPr>
          <w:p w14:paraId="17676C1E"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Australia</w:t>
            </w:r>
          </w:p>
        </w:tc>
        <w:tc>
          <w:tcPr>
            <w:tcW w:w="1669" w:type="dxa"/>
            <w:tcBorders>
              <w:top w:val="nil"/>
              <w:left w:val="nil"/>
              <w:bottom w:val="nil"/>
              <w:right w:val="nil"/>
            </w:tcBorders>
            <w:shd w:val="clear" w:color="auto" w:fill="auto"/>
            <w:noWrap/>
            <w:vAlign w:val="bottom"/>
            <w:hideMark/>
          </w:tcPr>
          <w:p w14:paraId="75AB7783"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{"citationItems":[{"id":"ITEM-1","itemData":{"abstract":"Clough, B.F. and Scott, K., 1989. Allometric relationships for estimating above-ground biomass in six mangrove species. For. Ecol. Manage., 27: 117-127. Allometric relationships are described for estimating leaf biomass, branch biomass, stem bio-mass and total above-ground biomass from measurements of stem diameter (DBH) in the mangrove species Rhizophora apiculata, R. stylosa, Bruguiera gymnorrhiza, B. parviflora, Ceriops tagal var. australis and Xylocarpus granatum. A linear relationship was found when the biomass of each above-ground component was plotted against DBH on a log-log scale. The two Rhizophora species were found to have the greatest stem and total above-ground biomass for a given DBH, followed by B. parviflora, B. gymnorrhiza, C. tagal var. australis, and X. granatum, the last having a significantly lower biomass for a given DBH than the other five species. However, there was much less variation in stem volume for a given DBH amongst the six species, owing to differences in the specific gravity of their stems.","author":[{"dropping-particle":"","family":"Clough","given":"B F","non-dropping-particle":"","parse-names":false,"suffix":""},{"dropping-particle":"","family":"Scott","given":"K","non-dropping-particle":"","parse-names":false,"suffix":""}],"container-title":"Forest Ecology and Management","id":"ITEM-1","issued":{"date-parts":[["1989"]]},"number-of-pages":"117-127","title":"Allometric Relationships for Estimating Above-Ground Biomass in Six Mangrove Species","type":"report","volume":"27"},"uris":["http://www.mendeley.com/documents/?uuid=ce47223c-714b-3266-8616-6692545dce66"]}],"mendeley":{"formattedCitation":"(Clough and Scott, 1989)","plainTextFormattedCitation":"(Clough and Scott, 1989)","previouslyFormattedCitation":"(Clough and Scott, 1989)"},"properties":{"noteIndex":0},"schema":"https://github.com/citation-style-language/schema/raw/master/csl-citation.json"}</w:instrText>
            </w:r>
            <w:r w:rsidRPr="00826272">
              <w:rPr>
                <w:rFonts w:asciiTheme="majorHAnsi" w:eastAsia="Times New Roman" w:hAnsiTheme="majorHAnsi" w:cs="Times New Roman"/>
              </w:rPr>
              <w:fldChar w:fldCharType="separate"/>
            </w:r>
            <w:r w:rsidRPr="00A45960">
              <w:rPr>
                <w:rFonts w:asciiTheme="majorHAnsi" w:eastAsia="Times New Roman" w:hAnsiTheme="majorHAnsi" w:cs="Times New Roman"/>
                <w:noProof/>
              </w:rPr>
              <w:t>(Clough and Scott, 1989)</w:t>
            </w:r>
            <w:r w:rsidRPr="00826272">
              <w:rPr>
                <w:rFonts w:asciiTheme="majorHAnsi" w:eastAsia="Times New Roman" w:hAnsiTheme="majorHAnsi" w:cs="Times New Roman"/>
              </w:rPr>
              <w:fldChar w:fldCharType="end"/>
            </w:r>
          </w:p>
        </w:tc>
        <w:tc>
          <w:tcPr>
            <w:tcW w:w="1275" w:type="dxa"/>
            <w:vMerge/>
            <w:tcBorders>
              <w:left w:val="nil"/>
              <w:right w:val="nil"/>
            </w:tcBorders>
          </w:tcPr>
          <w:p w14:paraId="4E14DAC5" w14:textId="77777777" w:rsidR="00DC6698" w:rsidRPr="00826272" w:rsidRDefault="00DC6698" w:rsidP="00341F6B">
            <w:pPr>
              <w:spacing w:line="240" w:lineRule="auto"/>
              <w:rPr>
                <w:rFonts w:asciiTheme="majorHAnsi" w:eastAsia="Times New Roman" w:hAnsiTheme="majorHAnsi" w:cs="Times New Roman"/>
              </w:rPr>
            </w:pPr>
          </w:p>
        </w:tc>
      </w:tr>
      <w:tr w:rsidR="00DC6698" w:rsidRPr="00826272" w14:paraId="2FA1B249" w14:textId="77777777" w:rsidTr="00341F6B">
        <w:trPr>
          <w:trHeight w:val="113"/>
        </w:trPr>
        <w:tc>
          <w:tcPr>
            <w:tcW w:w="1881" w:type="dxa"/>
            <w:tcBorders>
              <w:top w:val="nil"/>
              <w:left w:val="nil"/>
              <w:bottom w:val="nil"/>
              <w:right w:val="nil"/>
            </w:tcBorders>
            <w:shd w:val="clear" w:color="auto" w:fill="auto"/>
            <w:noWrap/>
            <w:vAlign w:val="bottom"/>
            <w:hideMark/>
          </w:tcPr>
          <w:p w14:paraId="1C3F9C37" w14:textId="77777777" w:rsidR="00DC6698" w:rsidRPr="00A12863" w:rsidRDefault="00DC6698" w:rsidP="00341F6B">
            <w:pPr>
              <w:spacing w:line="240" w:lineRule="auto"/>
              <w:rPr>
                <w:rFonts w:asciiTheme="majorHAnsi" w:eastAsia="Times New Roman" w:hAnsiTheme="majorHAnsi" w:cs="Times New Roman"/>
                <w:bCs/>
                <w:i/>
              </w:rPr>
            </w:pPr>
            <w:proofErr w:type="spellStart"/>
            <w:r w:rsidRPr="00A12863">
              <w:rPr>
                <w:rFonts w:asciiTheme="majorHAnsi" w:eastAsia="Times New Roman" w:hAnsiTheme="majorHAnsi" w:cs="Times New Roman"/>
                <w:bCs/>
                <w:i/>
              </w:rPr>
              <w:t>Avicennia</w:t>
            </w:r>
            <w:proofErr w:type="spellEnd"/>
            <w:r w:rsidRPr="00A12863">
              <w:rPr>
                <w:rFonts w:asciiTheme="majorHAnsi" w:eastAsia="Times New Roman" w:hAnsiTheme="majorHAnsi" w:cs="Times New Roman"/>
                <w:bCs/>
                <w:i/>
              </w:rPr>
              <w:t xml:space="preserve"> marina</w:t>
            </w:r>
          </w:p>
        </w:tc>
        <w:tc>
          <w:tcPr>
            <w:tcW w:w="2405" w:type="dxa"/>
            <w:tcBorders>
              <w:top w:val="nil"/>
              <w:left w:val="nil"/>
              <w:bottom w:val="nil"/>
              <w:right w:val="nil"/>
            </w:tcBorders>
            <w:shd w:val="clear" w:color="auto" w:fill="auto"/>
            <w:noWrap/>
            <w:vAlign w:val="bottom"/>
            <w:hideMark/>
          </w:tcPr>
          <w:p w14:paraId="4F58AE17"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0.00025128*DBH﻿</w:t>
            </w:r>
            <w:r w:rsidRPr="00826272">
              <w:rPr>
                <w:rFonts w:asciiTheme="majorHAnsi" w:eastAsia="Times New Roman" w:hAnsiTheme="majorHAnsi" w:cs="Times New Roman"/>
                <w:vertAlign w:val="superscript"/>
              </w:rPr>
              <w:t>2.24351</w:t>
            </w:r>
          </w:p>
        </w:tc>
        <w:tc>
          <w:tcPr>
            <w:tcW w:w="1383" w:type="dxa"/>
            <w:tcBorders>
              <w:top w:val="nil"/>
              <w:left w:val="nil"/>
              <w:bottom w:val="nil"/>
              <w:right w:val="nil"/>
            </w:tcBorders>
            <w:shd w:val="clear" w:color="auto" w:fill="auto"/>
            <w:noWrap/>
            <w:vAlign w:val="bottom"/>
            <w:hideMark/>
          </w:tcPr>
          <w:p w14:paraId="181B8678"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xml:space="preserve">Tanzania </w:t>
            </w:r>
          </w:p>
        </w:tc>
        <w:tc>
          <w:tcPr>
            <w:tcW w:w="1669" w:type="dxa"/>
            <w:tcBorders>
              <w:top w:val="nil"/>
              <w:left w:val="nil"/>
              <w:bottom w:val="nil"/>
              <w:right w:val="nil"/>
            </w:tcBorders>
            <w:shd w:val="clear" w:color="auto" w:fill="auto"/>
            <w:noWrap/>
            <w:vAlign w:val="bottom"/>
            <w:hideMark/>
          </w:tcPr>
          <w:p w14:paraId="73026276"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{"citationItems":[{"id":"ITEM-1","itemData":{"author":[{"dropping-particle":"","family":"Njana","given":"Marco Andrew","non-dropping-particle":"","parse-names":false,"suffix":""},{"dropping-particle":"","family":"Zahabu","given":"Ole Martin","non-dropping-particle":"","parse-names":false,"suffix":""},{"dropping-particle":"","family":"Bollandsås","given":"Tron","non-dropping-particle":"","parse-names":false,"suffix":""},{"dropping-particle":"","family":"Eid","given":"Eliakimu","non-dropping-particle":"","parse-names":false,"suffix":""},{"dropping-particle":"","family":"Malimbwi","given":"Rogers Ernest","non-dropping-particle":"","parse-names":false,"suffix":""}],"container-title":"Annals ofForest Science","id":"ITEM-1","issued":{"date-parts":[["2015"]]},"title":"Above- and belowground tree biomass models for three mangrove species in Tanzania: a nonlinear mixed effects modelling approach","type":"article-journal"},"uris":["http://www.mendeley.com/documents/?uuid=06342947-8677-4829-9350-1155cf200cbe"]}],"mendeley":{"formattedCitation":"(Njana &lt;i&gt;et al.&lt;/i&gt;, 2015)","plainTextFormattedCitation":"(Njana et al., 2015)","previouslyFormattedCitation":"(M. A. Njana &lt;i&gt;et al.&lt;/i&gt;, 2015)"},"properties":{"noteIndex":0},"schema":"https://github.com/citation-style-language/schema/raw/master/csl-citation.json"}</w:instrText>
            </w:r>
            <w:r w:rsidRPr="00826272">
              <w:rPr>
                <w:rFonts w:asciiTheme="majorHAnsi" w:eastAsia="Times New Roman" w:hAnsiTheme="majorHAnsi" w:cs="Times New Roman"/>
              </w:rPr>
              <w:fldChar w:fldCharType="separate"/>
            </w:r>
            <w:r w:rsidRPr="00AC2FB3">
              <w:rPr>
                <w:rFonts w:asciiTheme="majorHAnsi" w:eastAsia="Times New Roman" w:hAnsiTheme="majorHAnsi" w:cs="Times New Roman"/>
                <w:noProof/>
              </w:rPr>
              <w:t xml:space="preserve">(Njana </w:t>
            </w:r>
            <w:r w:rsidRPr="00AC2FB3">
              <w:rPr>
                <w:rFonts w:asciiTheme="majorHAnsi" w:eastAsia="Times New Roman" w:hAnsiTheme="majorHAnsi" w:cs="Times New Roman"/>
                <w:i/>
                <w:noProof/>
              </w:rPr>
              <w:t>et al.</w:t>
            </w:r>
            <w:r w:rsidRPr="00AC2FB3">
              <w:rPr>
                <w:rFonts w:asciiTheme="majorHAnsi" w:eastAsia="Times New Roman" w:hAnsiTheme="majorHAnsi" w:cs="Times New Roman"/>
                <w:noProof/>
              </w:rPr>
              <w:t>, 2015)</w:t>
            </w:r>
            <w:r w:rsidRPr="00826272">
              <w:rPr>
                <w:rFonts w:asciiTheme="majorHAnsi" w:eastAsia="Times New Roman" w:hAnsiTheme="majorHAnsi" w:cs="Times New Roman"/>
              </w:rPr>
              <w:fldChar w:fldCharType="end"/>
            </w:r>
          </w:p>
        </w:tc>
        <w:tc>
          <w:tcPr>
            <w:tcW w:w="1275" w:type="dxa"/>
            <w:vMerge/>
            <w:tcBorders>
              <w:left w:val="nil"/>
              <w:right w:val="nil"/>
            </w:tcBorders>
          </w:tcPr>
          <w:p w14:paraId="3D8843E6" w14:textId="77777777" w:rsidR="00DC6698" w:rsidRPr="00826272" w:rsidRDefault="00DC6698" w:rsidP="00341F6B">
            <w:pPr>
              <w:spacing w:line="240" w:lineRule="auto"/>
              <w:rPr>
                <w:rFonts w:asciiTheme="majorHAnsi" w:eastAsia="Times New Roman" w:hAnsiTheme="majorHAnsi" w:cs="Times New Roman"/>
              </w:rPr>
            </w:pPr>
          </w:p>
        </w:tc>
      </w:tr>
      <w:tr w:rsidR="00DC6698" w:rsidRPr="00826272" w14:paraId="1A9A9E80" w14:textId="77777777" w:rsidTr="00341F6B">
        <w:trPr>
          <w:trHeight w:val="113"/>
        </w:trPr>
        <w:tc>
          <w:tcPr>
            <w:tcW w:w="1881" w:type="dxa"/>
            <w:tcBorders>
              <w:top w:val="nil"/>
              <w:left w:val="nil"/>
              <w:bottom w:val="nil"/>
              <w:right w:val="nil"/>
            </w:tcBorders>
            <w:shd w:val="clear" w:color="auto" w:fill="auto"/>
            <w:noWrap/>
            <w:vAlign w:val="bottom"/>
            <w:hideMark/>
          </w:tcPr>
          <w:p w14:paraId="69416B4A" w14:textId="77777777" w:rsidR="00DC6698" w:rsidRPr="00A12863" w:rsidRDefault="00DC6698" w:rsidP="00341F6B">
            <w:pPr>
              <w:spacing w:line="240" w:lineRule="auto"/>
              <w:rPr>
                <w:rFonts w:asciiTheme="majorHAnsi" w:eastAsia="Times New Roman" w:hAnsiTheme="majorHAnsi" w:cs="Times New Roman"/>
                <w:bCs/>
                <w:i/>
              </w:rPr>
            </w:pPr>
            <w:proofErr w:type="spellStart"/>
            <w:r w:rsidRPr="00A12863">
              <w:rPr>
                <w:rFonts w:asciiTheme="majorHAnsi" w:eastAsia="Times New Roman" w:hAnsiTheme="majorHAnsi" w:cs="Times New Roman"/>
                <w:bCs/>
                <w:i/>
              </w:rPr>
              <w:t>Sonneratia</w:t>
            </w:r>
            <w:proofErr w:type="spellEnd"/>
            <w:r w:rsidRPr="00A12863">
              <w:rPr>
                <w:rFonts w:asciiTheme="majorHAnsi" w:eastAsia="Times New Roman" w:hAnsiTheme="majorHAnsi" w:cs="Times New Roman"/>
                <w:bCs/>
                <w:i/>
              </w:rPr>
              <w:t xml:space="preserve"> alba</w:t>
            </w:r>
          </w:p>
        </w:tc>
        <w:tc>
          <w:tcPr>
            <w:tcW w:w="2405" w:type="dxa"/>
            <w:tcBorders>
              <w:top w:val="nil"/>
              <w:left w:val="nil"/>
              <w:bottom w:val="nil"/>
              <w:right w:val="nil"/>
            </w:tcBorders>
            <w:shd w:val="clear" w:color="auto" w:fill="auto"/>
            <w:noWrap/>
            <w:vAlign w:val="bottom"/>
            <w:hideMark/>
          </w:tcPr>
          <w:p w14:paraId="0DBDEEBF"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0.00025128*DBH﻿</w:t>
            </w:r>
            <w:r w:rsidRPr="00826272">
              <w:rPr>
                <w:rFonts w:asciiTheme="majorHAnsi" w:eastAsia="Times New Roman" w:hAnsiTheme="majorHAnsi" w:cs="Times New Roman"/>
                <w:vertAlign w:val="superscript"/>
              </w:rPr>
              <w:t>2.21727</w:t>
            </w:r>
          </w:p>
        </w:tc>
        <w:tc>
          <w:tcPr>
            <w:tcW w:w="1383" w:type="dxa"/>
            <w:tcBorders>
              <w:top w:val="nil"/>
              <w:left w:val="nil"/>
              <w:bottom w:val="nil"/>
              <w:right w:val="nil"/>
            </w:tcBorders>
            <w:shd w:val="clear" w:color="auto" w:fill="auto"/>
            <w:noWrap/>
            <w:vAlign w:val="bottom"/>
            <w:hideMark/>
          </w:tcPr>
          <w:p w14:paraId="4A7CC856"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xml:space="preserve">Tanzania </w:t>
            </w:r>
          </w:p>
        </w:tc>
        <w:tc>
          <w:tcPr>
            <w:tcW w:w="1669" w:type="dxa"/>
            <w:tcBorders>
              <w:top w:val="nil"/>
              <w:left w:val="nil"/>
              <w:bottom w:val="nil"/>
              <w:right w:val="nil"/>
            </w:tcBorders>
            <w:shd w:val="clear" w:color="auto" w:fill="auto"/>
            <w:noWrap/>
            <w:vAlign w:val="bottom"/>
            <w:hideMark/>
          </w:tcPr>
          <w:p w14:paraId="301E78DD"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{"citationItems":[{"id":"ITEM-1","itemData":{"author":[{"dropping-particle":"","family":"Njana","given":"Marco Andrew","non-dropping-particle":"","parse-names":false,"suffix":""},{"dropping-particle":"","family":"Zahabu","given":"Ole Martin","non-dropping-particle":"","parse-names":false,"suffix":""},{"dropping-particle":"","family":"Bollandsås","given":"Tron","non-dropping-particle":"","parse-names":false,"suffix":""},{"dropping-particle":"","family":"Eid","given":"Eliakimu","non-dropping-particle":"","parse-names":false,"suffix":""},{"dropping-particle":"","family":"Malimbwi","given":"Rogers Ernest","non-dropping-particle":"","parse-names":false,"suffix":""}],"container-title":"Annals ofForest Science","id":"ITEM-1","issued":{"date-parts":[["2015"]]},"title":"Above- and belowground tree biomass models for three mangrove species in Tanzania: a nonlinear mixed effects modelling approach","type":"article-journal"},"uris":["http://www.mendeley.com/documents/?uuid=06342947-8677-4829-9350-1155cf200cbe"]}],"mendeley":{"formattedCitation":"(Njana &lt;i&gt;et al.&lt;/i&gt;, 2015)","plainTextFormattedCitation":"(Njana et al., 2015)","previouslyFormattedCitation":"(M. A. Njana &lt;i&gt;et al.&lt;/i&gt;, 2015)"},"properties":{"noteIndex":0},"schema":"https://github.com/citation-style-language/schema/raw/master/csl-citation.json"}</w:instrText>
            </w:r>
            <w:r w:rsidRPr="00826272">
              <w:rPr>
                <w:rFonts w:asciiTheme="majorHAnsi" w:eastAsia="Times New Roman" w:hAnsiTheme="majorHAnsi" w:cs="Times New Roman"/>
              </w:rPr>
              <w:fldChar w:fldCharType="separate"/>
            </w:r>
            <w:r w:rsidRPr="00AC2FB3">
              <w:rPr>
                <w:rFonts w:asciiTheme="majorHAnsi" w:eastAsia="Times New Roman" w:hAnsiTheme="majorHAnsi" w:cs="Times New Roman"/>
                <w:noProof/>
              </w:rPr>
              <w:t xml:space="preserve">(Njana </w:t>
            </w:r>
            <w:r w:rsidRPr="00AC2FB3">
              <w:rPr>
                <w:rFonts w:asciiTheme="majorHAnsi" w:eastAsia="Times New Roman" w:hAnsiTheme="majorHAnsi" w:cs="Times New Roman"/>
                <w:i/>
                <w:noProof/>
              </w:rPr>
              <w:t>et al.</w:t>
            </w:r>
            <w:r w:rsidRPr="00AC2FB3">
              <w:rPr>
                <w:rFonts w:asciiTheme="majorHAnsi" w:eastAsia="Times New Roman" w:hAnsiTheme="majorHAnsi" w:cs="Times New Roman"/>
                <w:noProof/>
              </w:rPr>
              <w:t>, 2015)</w:t>
            </w:r>
            <w:r w:rsidRPr="00826272">
              <w:rPr>
                <w:rFonts w:asciiTheme="majorHAnsi" w:eastAsia="Times New Roman" w:hAnsiTheme="majorHAnsi" w:cs="Times New Roman"/>
              </w:rPr>
              <w:fldChar w:fldCharType="end"/>
            </w:r>
          </w:p>
        </w:tc>
        <w:tc>
          <w:tcPr>
            <w:tcW w:w="1275" w:type="dxa"/>
            <w:vMerge/>
            <w:tcBorders>
              <w:left w:val="nil"/>
              <w:right w:val="nil"/>
            </w:tcBorders>
          </w:tcPr>
          <w:p w14:paraId="1C0F8629" w14:textId="77777777" w:rsidR="00DC6698" w:rsidRPr="00826272" w:rsidRDefault="00DC6698" w:rsidP="00341F6B">
            <w:pPr>
              <w:spacing w:line="240" w:lineRule="auto"/>
              <w:rPr>
                <w:rFonts w:asciiTheme="majorHAnsi" w:eastAsia="Times New Roman" w:hAnsiTheme="majorHAnsi" w:cs="Times New Roman"/>
              </w:rPr>
            </w:pPr>
          </w:p>
        </w:tc>
      </w:tr>
      <w:tr w:rsidR="00DC6698" w:rsidRPr="00826272" w14:paraId="258EE921" w14:textId="77777777" w:rsidTr="00341F6B">
        <w:trPr>
          <w:trHeight w:val="113"/>
        </w:trPr>
        <w:tc>
          <w:tcPr>
            <w:tcW w:w="1881" w:type="dxa"/>
            <w:tcBorders>
              <w:top w:val="nil"/>
              <w:left w:val="nil"/>
              <w:bottom w:val="nil"/>
              <w:right w:val="nil"/>
            </w:tcBorders>
            <w:shd w:val="clear" w:color="auto" w:fill="auto"/>
            <w:noWrap/>
            <w:vAlign w:val="bottom"/>
            <w:hideMark/>
          </w:tcPr>
          <w:p w14:paraId="38BF528B" w14:textId="77777777" w:rsidR="00DC6698" w:rsidRPr="00A12863" w:rsidRDefault="00DC6698" w:rsidP="00341F6B">
            <w:pPr>
              <w:spacing w:line="240" w:lineRule="auto"/>
              <w:rPr>
                <w:rFonts w:asciiTheme="majorHAnsi" w:eastAsia="Times New Roman" w:hAnsiTheme="majorHAnsi" w:cs="Times New Roman"/>
                <w:bCs/>
                <w:i/>
              </w:rPr>
            </w:pPr>
            <w:proofErr w:type="spellStart"/>
            <w:r w:rsidRPr="00A12863">
              <w:rPr>
                <w:rFonts w:asciiTheme="majorHAnsi" w:eastAsia="Times New Roman" w:hAnsiTheme="majorHAnsi" w:cs="Times New Roman"/>
                <w:bCs/>
                <w:i/>
              </w:rPr>
              <w:t>Lumnitzera</w:t>
            </w:r>
            <w:proofErr w:type="spellEnd"/>
            <w:r w:rsidRPr="00A12863">
              <w:rPr>
                <w:rFonts w:asciiTheme="majorHAnsi" w:eastAsia="Times New Roman" w:hAnsiTheme="majorHAnsi" w:cs="Times New Roman"/>
                <w:bCs/>
                <w:i/>
              </w:rPr>
              <w:t xml:space="preserve"> </w:t>
            </w:r>
            <w:proofErr w:type="spellStart"/>
            <w:r w:rsidRPr="00A12863">
              <w:rPr>
                <w:rFonts w:asciiTheme="majorHAnsi" w:eastAsia="Times New Roman" w:hAnsiTheme="majorHAnsi" w:cs="Times New Roman"/>
                <w:bCs/>
                <w:i/>
              </w:rPr>
              <w:t>racemosa</w:t>
            </w:r>
            <w:proofErr w:type="spellEnd"/>
          </w:p>
        </w:tc>
        <w:tc>
          <w:tcPr>
            <w:tcW w:w="2405" w:type="dxa"/>
            <w:tcBorders>
              <w:top w:val="nil"/>
              <w:left w:val="nil"/>
              <w:bottom w:val="nil"/>
              <w:right w:val="nil"/>
            </w:tcBorders>
            <w:shd w:val="clear" w:color="auto" w:fill="auto"/>
            <w:noWrap/>
            <w:vAlign w:val="bottom"/>
            <w:hideMark/>
          </w:tcPr>
          <w:p w14:paraId="1ECE6142"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0.000184*DBH</w:t>
            </w:r>
            <w:r w:rsidRPr="00826272">
              <w:rPr>
                <w:rFonts w:asciiTheme="majorHAnsi" w:eastAsia="Times New Roman" w:hAnsiTheme="majorHAnsi" w:cs="Times New Roman"/>
                <w:vertAlign w:val="superscript"/>
              </w:rPr>
              <w:t>2.384 </w:t>
            </w:r>
          </w:p>
        </w:tc>
        <w:tc>
          <w:tcPr>
            <w:tcW w:w="1383" w:type="dxa"/>
            <w:tcBorders>
              <w:top w:val="nil"/>
              <w:left w:val="nil"/>
              <w:bottom w:val="nil"/>
              <w:right w:val="nil"/>
            </w:tcBorders>
            <w:shd w:val="clear" w:color="auto" w:fill="auto"/>
            <w:noWrap/>
            <w:vAlign w:val="bottom"/>
            <w:hideMark/>
          </w:tcPr>
          <w:p w14:paraId="6E75F4BE"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 xml:space="preserve">Indonesia </w:t>
            </w:r>
          </w:p>
        </w:tc>
        <w:tc>
          <w:tcPr>
            <w:tcW w:w="1669" w:type="dxa"/>
            <w:tcBorders>
              <w:top w:val="nil"/>
              <w:left w:val="nil"/>
              <w:bottom w:val="nil"/>
              <w:right w:val="nil"/>
            </w:tcBorders>
            <w:shd w:val="clear" w:color="auto" w:fill="auto"/>
            <w:noWrap/>
            <w:vAlign w:val="bottom"/>
            <w:hideMark/>
          </w:tcPr>
          <w:p w14:paraId="3E3B2013" w14:textId="77777777" w:rsidR="00DC6698" w:rsidRPr="00B86C92" w:rsidRDefault="00DC6698" w:rsidP="00341F6B">
            <w:pPr>
              <w:spacing w:line="240" w:lineRule="auto"/>
              <w:rPr>
                <w:rFonts w:asciiTheme="majorHAnsi" w:eastAsia="Times New Roman" w:hAnsiTheme="majorHAnsi" w:cs="Times New Roman"/>
              </w:rPr>
            </w:pPr>
            <w:r w:rsidRPr="00B86C9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{"citationItems":[{"id":"ITEM-1","itemData":{"DOI":"10.1080/21580103.2015.1034191","abstract":"Information on aboveground biomass of mangrove forest at Rawa Aopa Watumohai National (RAWN) Park is fundamental for the management of mangroves (Lumnitzera racemosa Willd.) in the park. Allometric relationships of partial or whole L. racemosa trees were examined using independent variables D30, DBH, and DB or quadratics D302H, DBH2H, and DB2H from different individuals of L. racemosa trees. Aboveground biomass was estimated by allometric equations and tree census data. Results showed that the best fit for allometric models of stem biomass (WS) and leaf biomass (WL) used the independent variable of DBH2H, while the best fit for branch biomass (WB) used quadratic DB2H. The quadratic DBH2H is the most reliable parameter for estimating aboveground biomass of L. racemosa trees. Aboveground biomass of L. racemosa varied among stands, ranging from 26.23 to 191.01 ton ha−1. Biomass density of L. racemosa forest varied from 4.07 to 29.80 ton ha−1 m−1. The high aboveground biomass of L. racemosa indicates its high...","author":[{"dropping-particle":"","family":"Kangkuso","given":"Analuddin","non-dropping-particle":"","parse-names":false,"suffix":""},{"dropping-particle":"","family":"Jamili","given":"Jamili","non-dropping-particle":"","parse-names":false,"suffix":""},{"dropping-particle":"","family":"Septiana","given":"Andi","non-dropping-particle":"","parse-names":false,"suffix":""},{"dropping-particle":"","family":"Raya","given":"Rasas","non-dropping-particle":"","parse-names":false,"suffix":""},{"dropping-particle":"","family":"Sahidin","given":"Idin","non-dropping-particle":"","parse-names":false,"suffix":""},{"dropping-particle":"","family":"Rianse","given":"Usman","non-dropping-particle":"","parse-names":false,"suffix":""},{"dropping-particle":"","family":"Rahim","given":"Saban","non-dropping-particle":"","parse-names":false,"suffix":""},{"dropping-particle":"","family":"Alfirman","given":"Alfirman","non-dropping-particle":"","parse-names":false,"suffix":""},{"dropping-particle":"","family":"Sharma","given":"Sahadev","non-dropping-particle":"","parse-names":false,"suffix":""},{"dropping-particle":"","family":"Nadaoka","given":"Kazuo","non-dropping-particle":"","parse-names":false,"suffix":""}],"container-title":"Forest Science and Technology","id":"ITEM-1","issue":"1","issued":{"date-parts":[["2016","1","2"]]},"page":"43-50","publisher":"Taylor &amp; Francis","title":"Allometric models and aboveground biomass of Lumnitzera racemosa Willd. forest in Rawa Aopa Watumohai National Park, Southeast Sulawesi, Indonesia","type":"article-journal","volume":"12"},"uris":["http://www.mendeley.com/documents/?uuid=b9e99101-26fe-3a4d-ab25-51cafdcaf431"]}],"mendeley":{"formattedCitation":"(Kangkuso &lt;i&gt;et al.&lt;/i&gt;, 2016)","plainTextFormattedCitation":"(Kangkuso et al., 2016)","previouslyFormattedCitation":"(Kangkuso &lt;i&gt;et al.&lt;/i&gt;, 2016)"},"properties":{"noteIndex":0},"schema":"https://github.com/citation-style-language/schema/raw/master/csl-citation.json"}</w:instrText>
            </w:r>
            <w:r w:rsidRPr="00B86C92">
              <w:rPr>
                <w:rFonts w:asciiTheme="majorHAnsi" w:eastAsia="Times New Roman" w:hAnsiTheme="majorHAnsi" w:cs="Times New Roman"/>
              </w:rPr>
              <w:fldChar w:fldCharType="separate"/>
            </w:r>
            <w:r w:rsidRPr="00B86C92">
              <w:rPr>
                <w:rFonts w:asciiTheme="majorHAnsi" w:eastAsia="Times New Roman" w:hAnsiTheme="majorHAnsi" w:cs="Times New Roman"/>
                <w:noProof/>
              </w:rPr>
              <w:t xml:space="preserve">(Kangkuso </w:t>
            </w:r>
            <w:r w:rsidRPr="00B86C92">
              <w:rPr>
                <w:rFonts w:asciiTheme="majorHAnsi" w:eastAsia="Times New Roman" w:hAnsiTheme="majorHAnsi" w:cs="Times New Roman"/>
                <w:i/>
                <w:noProof/>
              </w:rPr>
              <w:t>et al.</w:t>
            </w:r>
            <w:r w:rsidRPr="00B86C92">
              <w:rPr>
                <w:rFonts w:asciiTheme="majorHAnsi" w:eastAsia="Times New Roman" w:hAnsiTheme="majorHAnsi" w:cs="Times New Roman"/>
                <w:noProof/>
              </w:rPr>
              <w:t>, 2016)</w:t>
            </w:r>
            <w:r w:rsidRPr="00B86C92">
              <w:rPr>
                <w:rFonts w:asciiTheme="majorHAnsi" w:eastAsia="Times New Roman" w:hAnsiTheme="majorHAnsi" w:cs="Times New Roman"/>
              </w:rPr>
              <w:fldChar w:fldCharType="end"/>
            </w:r>
            <w:r w:rsidRPr="00B86C92">
              <w:rPr>
                <w:rFonts w:asciiTheme="majorHAnsi" w:eastAsia="Times New Roman" w:hAnsiTheme="majorHAnsi" w:cs="Times New Roman"/>
              </w:rPr>
              <w:t xml:space="preserve"> </w:t>
            </w:r>
          </w:p>
        </w:tc>
        <w:tc>
          <w:tcPr>
            <w:tcW w:w="1275" w:type="dxa"/>
            <w:vMerge/>
            <w:tcBorders>
              <w:left w:val="nil"/>
              <w:bottom w:val="nil"/>
              <w:right w:val="nil"/>
            </w:tcBorders>
          </w:tcPr>
          <w:p w14:paraId="7D4A46E6" w14:textId="77777777" w:rsidR="00DC6698" w:rsidRPr="00B86C92" w:rsidRDefault="00DC6698" w:rsidP="00341F6B">
            <w:pPr>
              <w:spacing w:line="240" w:lineRule="auto"/>
              <w:rPr>
                <w:rFonts w:asciiTheme="majorHAnsi" w:eastAsia="Times New Roman" w:hAnsiTheme="majorHAnsi" w:cs="Times New Roman"/>
              </w:rPr>
            </w:pPr>
          </w:p>
        </w:tc>
      </w:tr>
      <w:tr w:rsidR="00DC6698" w:rsidRPr="00826272" w14:paraId="7EC3E96F" w14:textId="77777777" w:rsidTr="00341F6B">
        <w:trPr>
          <w:trHeight w:val="113"/>
        </w:trPr>
        <w:tc>
          <w:tcPr>
            <w:tcW w:w="1881" w:type="dxa"/>
            <w:tcBorders>
              <w:top w:val="nil"/>
              <w:left w:val="nil"/>
              <w:bottom w:val="nil"/>
              <w:right w:val="nil"/>
            </w:tcBorders>
            <w:shd w:val="clear" w:color="auto" w:fill="E6E6E6"/>
            <w:noWrap/>
            <w:vAlign w:val="bottom"/>
          </w:tcPr>
          <w:p w14:paraId="76926F53" w14:textId="77777777" w:rsidR="00DC6698" w:rsidRPr="00826272" w:rsidRDefault="00DC6698" w:rsidP="00341F6B">
            <w:pPr>
              <w:spacing w:line="240" w:lineRule="auto"/>
              <w:rPr>
                <w:rFonts w:asciiTheme="majorHAnsi" w:eastAsia="Times New Roman" w:hAnsiTheme="majorHAnsi" w:cs="Times New Roman"/>
                <w:b/>
                <w:bCs/>
              </w:rPr>
            </w:pPr>
            <w:r>
              <w:rPr>
                <w:rFonts w:asciiTheme="majorHAnsi" w:eastAsia="Times New Roman" w:hAnsiTheme="majorHAnsi" w:cs="Times New Roman"/>
                <w:b/>
                <w:bCs/>
              </w:rPr>
              <w:t>Generic</w:t>
            </w:r>
            <w:r w:rsidRPr="00826272">
              <w:rPr>
                <w:rFonts w:asciiTheme="majorHAnsi" w:eastAsia="Times New Roman" w:hAnsiTheme="majorHAnsi" w:cs="Times New Roman"/>
                <w:b/>
                <w:bCs/>
              </w:rPr>
              <w:t xml:space="preserve"> </w:t>
            </w:r>
            <w:r>
              <w:rPr>
                <w:rFonts w:asciiTheme="majorHAnsi" w:eastAsia="Times New Roman" w:hAnsiTheme="majorHAnsi" w:cs="Times New Roman"/>
                <w:b/>
                <w:bCs/>
              </w:rPr>
              <w:t xml:space="preserve">AGB </w:t>
            </w:r>
            <w:r w:rsidRPr="00826272">
              <w:rPr>
                <w:rFonts w:asciiTheme="majorHAnsi" w:eastAsia="Times New Roman" w:hAnsiTheme="majorHAnsi" w:cs="Times New Roman"/>
                <w:b/>
                <w:bCs/>
              </w:rPr>
              <w:t>equations</w:t>
            </w:r>
          </w:p>
        </w:tc>
        <w:tc>
          <w:tcPr>
            <w:tcW w:w="2405" w:type="dxa"/>
            <w:tcBorders>
              <w:top w:val="nil"/>
              <w:left w:val="nil"/>
              <w:bottom w:val="nil"/>
              <w:right w:val="nil"/>
            </w:tcBorders>
            <w:shd w:val="clear" w:color="auto" w:fill="auto"/>
            <w:noWrap/>
            <w:vAlign w:val="bottom"/>
          </w:tcPr>
          <w:p w14:paraId="6AC5C946"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0.00025128*DBH</w:t>
            </w:r>
            <w:r w:rsidRPr="00826272">
              <w:rPr>
                <w:rFonts w:asciiTheme="majorHAnsi" w:eastAsia="Times New Roman" w:hAnsiTheme="majorHAnsi" w:cs="Times New Roman"/>
                <w:vertAlign w:val="superscript"/>
              </w:rPr>
              <w:t>2.24034</w:t>
            </w:r>
          </w:p>
        </w:tc>
        <w:tc>
          <w:tcPr>
            <w:tcW w:w="1383" w:type="dxa"/>
            <w:tcBorders>
              <w:top w:val="nil"/>
              <w:left w:val="nil"/>
              <w:bottom w:val="nil"/>
              <w:right w:val="nil"/>
            </w:tcBorders>
            <w:shd w:val="clear" w:color="auto" w:fill="auto"/>
            <w:noWrap/>
            <w:vAlign w:val="bottom"/>
          </w:tcPr>
          <w:p w14:paraId="40C761AA"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Tanzania</w:t>
            </w:r>
          </w:p>
        </w:tc>
        <w:tc>
          <w:tcPr>
            <w:tcW w:w="1669" w:type="dxa"/>
            <w:tcBorders>
              <w:top w:val="nil"/>
              <w:left w:val="nil"/>
              <w:bottom w:val="nil"/>
              <w:right w:val="nil"/>
            </w:tcBorders>
            <w:shd w:val="clear" w:color="auto" w:fill="auto"/>
            <w:noWrap/>
            <w:vAlign w:val="bottom"/>
          </w:tcPr>
          <w:p w14:paraId="3BFA8B81" w14:textId="77777777" w:rsidR="00DC6698" w:rsidRPr="00B86C92" w:rsidRDefault="00DC6698" w:rsidP="00341F6B">
            <w:pPr>
              <w:spacing w:line="240" w:lineRule="auto"/>
              <w:rPr>
                <w:rFonts w:asciiTheme="majorHAnsi" w:eastAsia="Times New Roman" w:hAnsiTheme="majorHAnsi" w:cs="Times New Roman"/>
              </w:rPr>
            </w:pPr>
            <w:r w:rsidRPr="00B86C9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{"citationItems":[{"id":"ITEM-1","itemData":{"author":[{"dropping-particle":"","family":"Njana","given":"Marco Andrew","non-dropping-particle":"","parse-names":false,"suffix":""},{"dropping-particle":"","family":"Zahabu","given":"Ole Martin","non-dropping-particle":"","parse-names":false,"suffix":""},{"dropping-particle":"","family":"Bollandsås","given":"Tron","non-dropping-particle":"","parse-names":false,"suffix":""},{"dropping-particle":"","family":"Eid","given":"Eliakimu","non-dropping-particle":"","parse-names":false,"suffix":""},{"dropping-particle":"","family":"Malimbwi","given":"Rogers Ernest","non-dropping-particle":"","parse-names":false,"suffix":""}],"container-title":"Annals ofForest Science","id":"ITEM-1","issued":{"date-parts":[["2015"]]},"title":"Above- and belowground tree biomass models for three mangrove species in Tanzania: a nonlinear mixed effects modelling approach","type":"article-journal"},"uris":["http://www.mendeley.com/documents/?uuid=06342947-8677-4829-9350-1155cf200cbe"]}],"mendeley":{"formattedCitation":"(Njana &lt;i&gt;et al.&lt;/i&gt;, 2015)","plainTextFormattedCitation":"(Njana et al., 2015)","previouslyFormattedCitation":"(M. A. Njana &lt;i&gt;et al.&lt;/i&gt;, 2015)"},"properties":{"noteIndex":0},"schema":"https://github.com/citation-style-language/schema/raw/master/csl-citation.json"}</w:instrText>
            </w:r>
            <w:r w:rsidRPr="00B86C92">
              <w:rPr>
                <w:rFonts w:asciiTheme="majorHAnsi" w:eastAsia="Times New Roman" w:hAnsiTheme="majorHAnsi" w:cs="Times New Roman"/>
              </w:rPr>
              <w:fldChar w:fldCharType="separate"/>
            </w:r>
            <w:r w:rsidRPr="00AC2FB3">
              <w:rPr>
                <w:rFonts w:asciiTheme="majorHAnsi" w:eastAsia="Times New Roman" w:hAnsiTheme="majorHAnsi" w:cs="Times New Roman"/>
                <w:noProof/>
              </w:rPr>
              <w:t xml:space="preserve">(Njana </w:t>
            </w:r>
            <w:r w:rsidRPr="00AC2FB3">
              <w:rPr>
                <w:rFonts w:asciiTheme="majorHAnsi" w:eastAsia="Times New Roman" w:hAnsiTheme="majorHAnsi" w:cs="Times New Roman"/>
                <w:i/>
                <w:noProof/>
              </w:rPr>
              <w:t>et al.</w:t>
            </w:r>
            <w:r w:rsidRPr="00AC2FB3">
              <w:rPr>
                <w:rFonts w:asciiTheme="majorHAnsi" w:eastAsia="Times New Roman" w:hAnsiTheme="majorHAnsi" w:cs="Times New Roman"/>
                <w:noProof/>
              </w:rPr>
              <w:t>, 2015)</w:t>
            </w:r>
            <w:r w:rsidRPr="00B86C92">
              <w:rPr>
                <w:rFonts w:asciiTheme="majorHAnsi" w:eastAsia="Times New Roman" w:hAnsiTheme="majorHAnsi" w:cs="Times New Roman"/>
              </w:rPr>
              <w:fldChar w:fldCharType="end"/>
            </w:r>
          </w:p>
        </w:tc>
        <w:tc>
          <w:tcPr>
            <w:tcW w:w="1275" w:type="dxa"/>
            <w:tcBorders>
              <w:top w:val="nil"/>
              <w:left w:val="nil"/>
              <w:bottom w:val="nil"/>
              <w:right w:val="nil"/>
            </w:tcBorders>
          </w:tcPr>
          <w:p w14:paraId="15C6980D" w14:textId="77777777" w:rsidR="00DC6698" w:rsidRPr="00B86C92" w:rsidRDefault="00DC6698" w:rsidP="00341F6B">
            <w:pPr>
              <w:spacing w:line="240" w:lineRule="auto"/>
              <w:rPr>
                <w:rFonts w:asciiTheme="majorHAnsi" w:eastAsia="Times New Roman" w:hAnsiTheme="majorHAnsi" w:cs="Times New Roman"/>
              </w:rPr>
            </w:pPr>
            <w:r w:rsidRPr="007E60D8">
              <w:rPr>
                <w:rFonts w:ascii="Calibri" w:eastAsia="Times New Roman" w:hAnsi="Calibri" w:cs="Times New Roman"/>
                <w:color w:val="000000"/>
              </w:rPr>
              <w:t>25.16</w:t>
            </w:r>
          </w:p>
        </w:tc>
      </w:tr>
      <w:tr w:rsidR="00DC6698" w:rsidRPr="00826272" w14:paraId="6424C265" w14:textId="77777777" w:rsidTr="00341F6B">
        <w:trPr>
          <w:trHeight w:val="113"/>
        </w:trPr>
        <w:tc>
          <w:tcPr>
            <w:tcW w:w="1881" w:type="dxa"/>
            <w:tcBorders>
              <w:top w:val="nil"/>
              <w:left w:val="nil"/>
              <w:bottom w:val="nil"/>
              <w:right w:val="nil"/>
            </w:tcBorders>
            <w:shd w:val="clear" w:color="auto" w:fill="auto"/>
            <w:noWrap/>
            <w:vAlign w:val="bottom"/>
          </w:tcPr>
          <w:p w14:paraId="3CDF48CD" w14:textId="77777777" w:rsidR="00DC6698" w:rsidRPr="00826272" w:rsidRDefault="00DC6698" w:rsidP="00341F6B">
            <w:pPr>
              <w:spacing w:line="240" w:lineRule="auto"/>
              <w:rPr>
                <w:rFonts w:asciiTheme="majorHAnsi" w:eastAsia="Times New Roman" w:hAnsiTheme="majorHAnsi" w:cs="Times New Roman"/>
                <w:b/>
                <w:bCs/>
              </w:rPr>
            </w:pPr>
          </w:p>
        </w:tc>
        <w:tc>
          <w:tcPr>
            <w:tcW w:w="2405" w:type="dxa"/>
            <w:tcBorders>
              <w:top w:val="nil"/>
              <w:left w:val="nil"/>
              <w:bottom w:val="nil"/>
              <w:right w:val="nil"/>
            </w:tcBorders>
            <w:shd w:val="clear" w:color="auto" w:fill="auto"/>
            <w:noWrap/>
            <w:vAlign w:val="bottom"/>
          </w:tcPr>
          <w:p w14:paraId="5CF8B584" w14:textId="77777777" w:rsidR="00DC6698" w:rsidRPr="00826272" w:rsidRDefault="00DC6698" w:rsidP="00341F6B">
            <w:pPr>
              <w:spacing w:line="240" w:lineRule="auto"/>
              <w:rPr>
                <w:rFonts w:ascii="Calibri" w:eastAsia="Times New Roman" w:hAnsi="Calibri" w:cs="Times New Roman"/>
              </w:rPr>
            </w:pPr>
            <w:r w:rsidRPr="00826272">
              <w:rPr>
                <w:rFonts w:ascii="Calibri" w:eastAsia="Times New Roman" w:hAnsi="Calibri" w:cs="Times New Roman"/>
              </w:rPr>
              <w:t>﻿</w:t>
            </w:r>
            <w:r w:rsidRPr="00826272" w:rsidDel="00B973AC">
              <w:rPr>
                <w:rFonts w:ascii="Calibri" w:eastAsia="Times New Roman" w:hAnsi="Calibri" w:cs="Times New Roman"/>
              </w:rPr>
              <w:t xml:space="preserve"> </w:t>
            </w:r>
            <w:r w:rsidRPr="00826272">
              <w:rPr>
                <w:rFonts w:ascii="Calibri" w:eastAsia="Times New Roman" w:hAnsi="Calibri" w:cs="Times New Roman"/>
              </w:rPr>
              <w:t>0.000716*DBH</w:t>
            </w:r>
            <w:r w:rsidRPr="00826272">
              <w:rPr>
                <w:rFonts w:ascii="Calibri" w:eastAsia="Times New Roman" w:hAnsi="Calibri" w:cs="Times New Roman"/>
                <w:vertAlign w:val="superscript"/>
              </w:rPr>
              <w:t>2.0037</w:t>
            </w:r>
          </w:p>
        </w:tc>
        <w:tc>
          <w:tcPr>
            <w:tcW w:w="1383" w:type="dxa"/>
            <w:tcBorders>
              <w:top w:val="nil"/>
              <w:left w:val="nil"/>
              <w:bottom w:val="nil"/>
              <w:right w:val="nil"/>
            </w:tcBorders>
            <w:shd w:val="clear" w:color="auto" w:fill="auto"/>
            <w:noWrap/>
            <w:vAlign w:val="bottom"/>
          </w:tcPr>
          <w:p w14:paraId="4C586903" w14:textId="77777777" w:rsidR="00DC6698" w:rsidRPr="00826272" w:rsidRDefault="00DC6698" w:rsidP="00341F6B">
            <w:pPr>
              <w:spacing w:line="240" w:lineRule="auto"/>
              <w:rPr>
                <w:rFonts w:asciiTheme="majorHAnsi" w:eastAsia="Times New Roman" w:hAnsiTheme="majorHAnsi" w:cs="Times New Roman"/>
              </w:rPr>
            </w:pPr>
            <w:r w:rsidRPr="00826272">
              <w:rPr>
                <w:rFonts w:asciiTheme="majorHAnsi" w:eastAsia="Times New Roman" w:hAnsiTheme="majorHAnsi" w:cs="Times New Roman"/>
              </w:rPr>
              <w:t>Tanzania</w:t>
            </w:r>
            <w:r>
              <w:rPr>
                <w:rFonts w:asciiTheme="majorHAnsi" w:eastAsia="Times New Roman" w:hAnsiTheme="majorHAnsi" w:cs="Times New Roman"/>
              </w:rPr>
              <w:t xml:space="preserve"> (Rufiji)</w:t>
            </w:r>
          </w:p>
        </w:tc>
        <w:tc>
          <w:tcPr>
            <w:tcW w:w="1669" w:type="dxa"/>
            <w:tcBorders>
              <w:top w:val="nil"/>
              <w:left w:val="nil"/>
              <w:bottom w:val="nil"/>
              <w:right w:val="nil"/>
            </w:tcBorders>
            <w:shd w:val="clear" w:color="auto" w:fill="auto"/>
            <w:noWrap/>
            <w:vAlign w:val="bottom"/>
          </w:tcPr>
          <w:p w14:paraId="76C16CAE" w14:textId="77777777" w:rsidR="00DC6698" w:rsidRPr="00B86C92" w:rsidRDefault="00DC6698" w:rsidP="00341F6B">
            <w:pPr>
              <w:spacing w:line="240" w:lineRule="auto"/>
              <w:rPr>
                <w:rFonts w:asciiTheme="majorHAnsi" w:eastAsia="Times New Roman" w:hAnsiTheme="majorHAnsi" w:cs="Times New Roman"/>
              </w:rPr>
            </w:pPr>
            <w:r w:rsidRPr="00B86C92">
              <w:rPr>
                <w:rFonts w:asciiTheme="majorHAnsi" w:eastAsia="Times New Roman" w:hAnsiTheme="majorHAnsi" w:cs="Times New Roman"/>
              </w:rPr>
              <w:fldChar w:fldCharType="begin" w:fldLock="1"/>
            </w:r>
            <w:r w:rsidRPr="00B86C92">
              <w:rPr>
                <w:rFonts w:asciiTheme="majorHAnsi" w:eastAsia="Times New Roman" w:hAnsiTheme="majorHAnsi" w:cs="Times New Roman"/>
              </w:rPr>
              <w:instrText>ADDIN CSL_CITATION {"citationItems":[{"id":"ITEM-1","itemData":{"author":[{"dropping-particle":"","family":"Lupembe","given":"Innocent Bernard","non-dropping-particle":"","parse-names":false,"suffix":""}],"id":"ITEM-1","issued":{"date-parts":[["2014"]]},"title":"Carbon stocks in the mangrove ecosystem of Rufiji River Delta, Rufiji District, Tanzania","type":"report"},"uris":["http://www.mendeley.com/documents/?uuid=1b6ed73c-42fe-37d4-a9f9-b3c11b6de596"]}],"mendeley":{"formattedCitation":"(Lupembe, 2014)","plainTextFormattedCitation":"(Lupembe, 2014)","previouslyFormattedCitation":"(Lupembe, 2014)"},"properties":{"noteIndex":0},"schema":"https://github.com/citation-style-language/schema/raw/master/csl-citation.json"}</w:instrText>
            </w:r>
            <w:r w:rsidRPr="00B86C92">
              <w:rPr>
                <w:rFonts w:asciiTheme="majorHAnsi" w:eastAsia="Times New Roman" w:hAnsiTheme="majorHAnsi" w:cs="Times New Roman"/>
              </w:rPr>
              <w:fldChar w:fldCharType="separate"/>
            </w:r>
            <w:r w:rsidRPr="00B86C92">
              <w:rPr>
                <w:rFonts w:asciiTheme="majorHAnsi" w:eastAsia="Times New Roman" w:hAnsiTheme="majorHAnsi" w:cs="Times New Roman"/>
                <w:noProof/>
              </w:rPr>
              <w:t>(Lupembe, 2014)</w:t>
            </w:r>
            <w:r w:rsidRPr="00B86C92">
              <w:rPr>
                <w:rFonts w:asciiTheme="majorHAnsi" w:eastAsia="Times New Roman" w:hAnsiTheme="majorHAnsi" w:cs="Times New Roman"/>
              </w:rPr>
              <w:fldChar w:fldCharType="end"/>
            </w:r>
          </w:p>
        </w:tc>
        <w:tc>
          <w:tcPr>
            <w:tcW w:w="1275" w:type="dxa"/>
            <w:tcBorders>
              <w:top w:val="nil"/>
              <w:left w:val="nil"/>
              <w:bottom w:val="nil"/>
              <w:right w:val="nil"/>
            </w:tcBorders>
          </w:tcPr>
          <w:p w14:paraId="7573522F" w14:textId="77777777" w:rsidR="00DC6698" w:rsidRPr="00B86C92" w:rsidRDefault="00DC6698" w:rsidP="00341F6B">
            <w:pPr>
              <w:spacing w:line="240" w:lineRule="auto"/>
              <w:rPr>
                <w:rFonts w:asciiTheme="majorHAnsi" w:eastAsia="Times New Roman" w:hAnsiTheme="majorHAnsi" w:cs="Times New Roman"/>
              </w:rPr>
            </w:pPr>
            <w:r w:rsidRPr="0080317D">
              <w:rPr>
                <w:rFonts w:ascii="Calibri" w:eastAsia="Times New Roman" w:hAnsi="Calibri" w:cs="Times New Roman"/>
                <w:color w:val="000000"/>
              </w:rPr>
              <w:t>38.2</w:t>
            </w:r>
            <w:r>
              <w:rPr>
                <w:rFonts w:ascii="Calibri" w:eastAsia="Times New Roman" w:hAnsi="Calibri" w:cs="Times New Roman"/>
                <w:color w:val="000000"/>
              </w:rPr>
              <w:t>0</w:t>
            </w:r>
          </w:p>
        </w:tc>
      </w:tr>
      <w:tr w:rsidR="00DC6698" w:rsidRPr="00826272" w14:paraId="692A4891" w14:textId="77777777" w:rsidTr="00341F6B">
        <w:trPr>
          <w:trHeight w:val="113"/>
        </w:trPr>
        <w:tc>
          <w:tcPr>
            <w:tcW w:w="1881" w:type="dxa"/>
            <w:tcBorders>
              <w:top w:val="nil"/>
              <w:left w:val="nil"/>
              <w:bottom w:val="nil"/>
              <w:right w:val="nil"/>
            </w:tcBorders>
            <w:shd w:val="clear" w:color="auto" w:fill="auto"/>
            <w:noWrap/>
            <w:vAlign w:val="bottom"/>
          </w:tcPr>
          <w:p w14:paraId="71427721" w14:textId="77777777" w:rsidR="00DC6698" w:rsidRPr="00826272" w:rsidRDefault="00DC6698" w:rsidP="00341F6B">
            <w:pPr>
              <w:spacing w:line="240" w:lineRule="auto"/>
              <w:rPr>
                <w:rFonts w:asciiTheme="majorHAnsi" w:eastAsia="Times New Roman" w:hAnsiTheme="majorHAnsi" w:cs="Times New Roman"/>
                <w:bCs/>
              </w:rPr>
            </w:pPr>
          </w:p>
        </w:tc>
        <w:tc>
          <w:tcPr>
            <w:tcW w:w="2405" w:type="dxa"/>
            <w:tcBorders>
              <w:top w:val="nil"/>
              <w:left w:val="nil"/>
              <w:bottom w:val="nil"/>
              <w:right w:val="nil"/>
            </w:tcBorders>
            <w:shd w:val="clear" w:color="auto" w:fill="auto"/>
            <w:noWrap/>
            <w:vAlign w:val="bottom"/>
          </w:tcPr>
          <w:p w14:paraId="1DE1100C" w14:textId="77777777" w:rsidR="00DC6698" w:rsidRPr="00826272" w:rsidRDefault="00DC6698" w:rsidP="00341F6B">
            <w:pPr>
              <w:spacing w:line="240" w:lineRule="auto"/>
              <w:rPr>
                <w:rFonts w:ascii="Calibri" w:eastAsia="Times New Roman" w:hAnsi="Calibri" w:cs="Times New Roman"/>
              </w:rPr>
            </w:pPr>
            <w:r w:rsidRPr="00826272">
              <w:rPr>
                <w:rFonts w:ascii="Calibri" w:eastAsia="Times New Roman" w:hAnsi="Calibri" w:cs="Times New Roman"/>
              </w:rPr>
              <w:t>﻿ 0.000251*</w:t>
            </w:r>
            <w:r w:rsidRPr="00826272">
              <w:rPr>
                <w:rFonts w:ascii="Calibri" w:eastAsia="Times New Roman" w:hAnsi="Calibri" w:cs="Times New Roman"/>
                <w:i/>
              </w:rPr>
              <w:t>p*</w:t>
            </w:r>
            <w:r w:rsidRPr="00826272">
              <w:rPr>
                <w:rFonts w:ascii="Calibri" w:eastAsia="Times New Roman" w:hAnsi="Calibri" w:cs="Times New Roman"/>
              </w:rPr>
              <w:t>DBH</w:t>
            </w:r>
            <w:r w:rsidRPr="00826272">
              <w:rPr>
                <w:rFonts w:ascii="Calibri" w:eastAsia="Times New Roman" w:hAnsi="Calibri" w:cs="Times New Roman"/>
                <w:vertAlign w:val="superscript"/>
              </w:rPr>
              <w:t xml:space="preserve">2.46 </w:t>
            </w:r>
          </w:p>
        </w:tc>
        <w:tc>
          <w:tcPr>
            <w:tcW w:w="1383" w:type="dxa"/>
            <w:tcBorders>
              <w:top w:val="nil"/>
              <w:left w:val="nil"/>
              <w:bottom w:val="nil"/>
              <w:right w:val="nil"/>
            </w:tcBorders>
            <w:shd w:val="clear" w:color="auto" w:fill="auto"/>
            <w:noWrap/>
            <w:vAlign w:val="bottom"/>
          </w:tcPr>
          <w:p w14:paraId="5E3154EE" w14:textId="77777777" w:rsidR="00DC6698" w:rsidRPr="00826272" w:rsidRDefault="00DC6698" w:rsidP="00341F6B">
            <w:pPr>
              <w:spacing w:line="240" w:lineRule="auto"/>
              <w:rPr>
                <w:rFonts w:asciiTheme="majorHAnsi" w:eastAsia="Times New Roman" w:hAnsiTheme="majorHAnsi" w:cs="Times New Roman"/>
              </w:rPr>
            </w:pPr>
          </w:p>
        </w:tc>
        <w:tc>
          <w:tcPr>
            <w:tcW w:w="1669" w:type="dxa"/>
            <w:tcBorders>
              <w:top w:val="nil"/>
              <w:left w:val="nil"/>
              <w:bottom w:val="nil"/>
              <w:right w:val="nil"/>
            </w:tcBorders>
            <w:shd w:val="clear" w:color="auto" w:fill="auto"/>
            <w:noWrap/>
            <w:vAlign w:val="bottom"/>
          </w:tcPr>
          <w:p w14:paraId="25940D9F" w14:textId="77777777" w:rsidR="00DC6698" w:rsidRPr="00B86C92" w:rsidRDefault="00DC6698" w:rsidP="00341F6B">
            <w:pPr>
              <w:spacing w:line="240" w:lineRule="auto"/>
              <w:rPr>
                <w:rFonts w:asciiTheme="majorHAnsi" w:eastAsia="Times New Roman" w:hAnsiTheme="majorHAnsi" w:cs="Times New Roman"/>
                <w:noProof/>
              </w:rPr>
            </w:pPr>
            <w:r w:rsidRPr="00B86C92">
              <w:rPr>
                <w:rFonts w:asciiTheme="majorHAnsi" w:eastAsia="Times New Roman" w:hAnsiTheme="majorHAnsi" w:cs="Times New Roman"/>
              </w:rPr>
              <w:fldChar w:fldCharType="begin" w:fldLock="1"/>
            </w:r>
            <w:r w:rsidRPr="00B86C92">
              <w:rPr>
                <w:rFonts w:asciiTheme="majorHAnsi" w:eastAsia="Times New Roman" w:hAnsiTheme="majorHAnsi" w:cs="Times New Roman"/>
              </w:rPr>
              <w:instrText>ADDIN CSL_CITATION {"citationItems":[{"id":"ITEM-1","itemData":{"DOI":"10.1016/j.aquabot.2007.12.006","ISSN":"03043770","abstract":"We review 72 published articles to elucidate characteristics of biomass allocation and productivity of mangrove forests and also introduce recent progress on the study of mangrove allometry to solve the site- and species-specific problems. This includes the testing of a common allometric equation, which may be applicable to mangroves worldwide. The biomass of mangrove forests varies with age, dominant species, and locality. In primary mangrove forests, the above-ground biomass tends to be relatively low near the sea and increases inland. On a global scale, mangrove forests in the tropics have much higher above-ground biomass than those in temperate areas. Mangroves often accumulate large amounts of biomass in their roots, and the above-ground biomass to below-ground biomass ratio of mangrove forests is significantly low compared to that of upland forests (ANCOVA, P &lt; 0.01). Several studies have reported on the growth increment of biomass and litter production in mangrove forests. We introduce some recent studies using the so-called \"summation method\" and investigate the trends in net primary production (NPP). For crown heights below 10 m, the above-ground NPP of mangrove forests is significantly higher (ANOVA, P &lt; 0.01) than in those of tropical upland forests. The above-ground litter production is generally high in mangrove forests. Moreover, in many mangrove forests, the rate of soil respiration is low, possibly because of anaerobic soil conditions. These trends in biomass allocation, NPP, and soil respiration will result in high net ecosystem production, making mangrove forests highly efficient carbon sinks in the tropics. © 2007 Elsevier B.V. All rights reserved.","author":[{"dropping-particle":"","family":"Komiyama","given":"Akira","non-dropping-particle":"","parse-names":false,"suffix":""},{"dropping-particle":"","family":"Ong","given":"Jin Eong","non-dropping-particle":"","parse-names":false,"suffix":""},{"dropping-particle":"","family":"Poungparn","given":"Sasitorn","non-dropping-particle":"","parse-names":false,"suffix":""}],"container-title":"Aquatic Botany","id":"ITEM-1","issue":"2","issued":{"date-parts":[["2008"]]},"page":"128-137","title":"Allometry, biomass, and productivity of mangrove forests: A review","type":"article-journal","volume":"89"},"uris":["http://www.mendeley.com/documents/?uuid=7393f85b-f1cf-4ef7-b5ee-a1423e2fdb84"]}],"mendeley":{"formattedCitation":"(Komiyama, Ong and Poungparn, 2008)","manualFormatting":"(Komiyama et al. 2008)","plainTextFormattedCitation":"(Komiyama, Ong and Poungparn, 2008)","previouslyFormattedCitation":"(Komiyama, Ong and Poungparn, 2008)"},"properties":{"noteIndex":0},"schema":"https://github.com/citation-style-language/schema/raw/master/csl-citation.json"}</w:instrText>
            </w:r>
            <w:r w:rsidRPr="00B86C92">
              <w:rPr>
                <w:rFonts w:asciiTheme="majorHAnsi" w:eastAsia="Times New Roman" w:hAnsiTheme="majorHAnsi" w:cs="Times New Roman"/>
              </w:rPr>
              <w:fldChar w:fldCharType="separate"/>
            </w:r>
            <w:r w:rsidRPr="00B86C92">
              <w:rPr>
                <w:rFonts w:asciiTheme="majorHAnsi" w:eastAsia="Times New Roman" w:hAnsiTheme="majorHAnsi" w:cs="Times New Roman"/>
                <w:noProof/>
              </w:rPr>
              <w:t>(Komiyama et al. 2008)</w:t>
            </w:r>
            <w:r w:rsidRPr="00B86C92">
              <w:rPr>
                <w:rFonts w:asciiTheme="majorHAnsi" w:eastAsia="Times New Roman" w:hAnsiTheme="majorHAnsi" w:cs="Times New Roman"/>
              </w:rPr>
              <w:fldChar w:fldCharType="end"/>
            </w:r>
          </w:p>
        </w:tc>
        <w:tc>
          <w:tcPr>
            <w:tcW w:w="1275" w:type="dxa"/>
            <w:tcBorders>
              <w:top w:val="nil"/>
              <w:left w:val="nil"/>
              <w:bottom w:val="nil"/>
              <w:right w:val="nil"/>
            </w:tcBorders>
          </w:tcPr>
          <w:p w14:paraId="3BDB5A77" w14:textId="77777777" w:rsidR="00DC6698" w:rsidRPr="00B86C92" w:rsidRDefault="00DC6698" w:rsidP="00341F6B">
            <w:pPr>
              <w:spacing w:line="240" w:lineRule="auto"/>
              <w:rPr>
                <w:rFonts w:asciiTheme="majorHAnsi" w:eastAsia="Times New Roman" w:hAnsiTheme="majorHAnsi" w:cs="Times New Roman"/>
              </w:rPr>
            </w:pPr>
            <w:r w:rsidRPr="0080317D">
              <w:rPr>
                <w:rFonts w:ascii="Calibri" w:eastAsia="Times New Roman" w:hAnsi="Calibri" w:cs="Times New Roman"/>
                <w:color w:val="000000"/>
              </w:rPr>
              <w:t>35.5</w:t>
            </w:r>
            <w:r>
              <w:rPr>
                <w:rFonts w:ascii="Calibri" w:eastAsia="Times New Roman" w:hAnsi="Calibri" w:cs="Times New Roman"/>
                <w:color w:val="000000"/>
              </w:rPr>
              <w:t>0</w:t>
            </w:r>
          </w:p>
        </w:tc>
      </w:tr>
      <w:tr w:rsidR="00DC6698" w:rsidRPr="00826272" w14:paraId="6EADB091" w14:textId="77777777" w:rsidTr="00341F6B">
        <w:trPr>
          <w:trHeight w:val="113"/>
        </w:trPr>
        <w:tc>
          <w:tcPr>
            <w:tcW w:w="1881" w:type="dxa"/>
            <w:tcBorders>
              <w:top w:val="nil"/>
              <w:left w:val="nil"/>
              <w:bottom w:val="nil"/>
              <w:right w:val="nil"/>
            </w:tcBorders>
            <w:shd w:val="clear" w:color="auto" w:fill="auto"/>
            <w:noWrap/>
            <w:vAlign w:val="bottom"/>
          </w:tcPr>
          <w:p w14:paraId="162ECB81" w14:textId="77777777" w:rsidR="00DC6698" w:rsidRPr="00826272" w:rsidRDefault="00DC6698" w:rsidP="00341F6B">
            <w:pPr>
              <w:spacing w:line="240" w:lineRule="auto"/>
              <w:rPr>
                <w:rFonts w:asciiTheme="majorHAnsi" w:eastAsia="Times New Roman" w:hAnsiTheme="majorHAnsi" w:cs="Times New Roman"/>
                <w:bCs/>
              </w:rPr>
            </w:pPr>
          </w:p>
        </w:tc>
        <w:tc>
          <w:tcPr>
            <w:tcW w:w="2405" w:type="dxa"/>
            <w:tcBorders>
              <w:top w:val="nil"/>
              <w:left w:val="nil"/>
              <w:bottom w:val="nil"/>
              <w:right w:val="nil"/>
            </w:tcBorders>
            <w:shd w:val="clear" w:color="auto" w:fill="auto"/>
            <w:noWrap/>
            <w:vAlign w:val="bottom"/>
          </w:tcPr>
          <w:p w14:paraId="1C41CBC3" w14:textId="77777777" w:rsidR="00DC6698" w:rsidRPr="00826272" w:rsidRDefault="00DC6698" w:rsidP="00341F6B">
            <w:pPr>
              <w:spacing w:line="240" w:lineRule="auto"/>
              <w:rPr>
                <w:rFonts w:ascii="Calibri" w:eastAsia="Times New Roman" w:hAnsi="Calibri" w:cs="Times New Roman"/>
              </w:rPr>
            </w:pPr>
            <w:r w:rsidRPr="00826272">
              <w:rPr>
                <w:rFonts w:ascii="Calibri" w:eastAsia="Times New Roman" w:hAnsi="Calibri" w:cs="Times New Roman"/>
              </w:rPr>
              <w:t>﻿ 0.000112*(</w:t>
            </w:r>
            <w:r w:rsidRPr="00826272">
              <w:rPr>
                <w:rFonts w:ascii="Calibri" w:eastAsia="Times New Roman" w:hAnsi="Calibri" w:cs="Times New Roman"/>
                <w:i/>
              </w:rPr>
              <w:t>p</w:t>
            </w:r>
            <w:r w:rsidRPr="00826272">
              <w:rPr>
                <w:rFonts w:ascii="Calibri" w:eastAsia="Times New Roman" w:hAnsi="Calibri" w:cs="Times New Roman"/>
              </w:rPr>
              <w:t>*DBH</w:t>
            </w:r>
            <w:r w:rsidRPr="00826272">
              <w:rPr>
                <w:rFonts w:ascii="Calibri" w:eastAsia="Times New Roman" w:hAnsi="Calibri" w:cs="Times New Roman"/>
                <w:vertAlign w:val="superscript"/>
              </w:rPr>
              <w:t>2</w:t>
            </w:r>
            <w:r w:rsidRPr="00826272">
              <w:rPr>
                <w:rFonts w:ascii="Calibri" w:eastAsia="Times New Roman" w:hAnsi="Calibri" w:cs="Times New Roman"/>
              </w:rPr>
              <w:t>*</w:t>
            </w:r>
            <w:proofErr w:type="spellStart"/>
            <w:r w:rsidRPr="00826272">
              <w:rPr>
                <w:rFonts w:ascii="Calibri" w:eastAsia="Times New Roman" w:hAnsi="Calibri" w:cs="Times New Roman"/>
              </w:rPr>
              <w:t>ht</w:t>
            </w:r>
            <w:proofErr w:type="spellEnd"/>
            <w:r w:rsidRPr="00826272">
              <w:rPr>
                <w:rFonts w:ascii="Calibri" w:eastAsia="Times New Roman" w:hAnsi="Calibri" w:cs="Times New Roman"/>
              </w:rPr>
              <w:t>)</w:t>
            </w:r>
            <w:r w:rsidRPr="00826272">
              <w:rPr>
                <w:rFonts w:ascii="Calibri" w:eastAsia="Times New Roman" w:hAnsi="Calibri" w:cs="Times New Roman"/>
                <w:vertAlign w:val="superscript"/>
              </w:rPr>
              <w:t>0.916</w:t>
            </w:r>
          </w:p>
        </w:tc>
        <w:tc>
          <w:tcPr>
            <w:tcW w:w="1383" w:type="dxa"/>
            <w:tcBorders>
              <w:top w:val="nil"/>
              <w:left w:val="nil"/>
              <w:bottom w:val="nil"/>
              <w:right w:val="nil"/>
            </w:tcBorders>
            <w:shd w:val="clear" w:color="auto" w:fill="auto"/>
            <w:noWrap/>
            <w:vAlign w:val="bottom"/>
          </w:tcPr>
          <w:p w14:paraId="2332BEA6" w14:textId="77777777" w:rsidR="00DC6698" w:rsidRPr="00826272" w:rsidRDefault="00DC6698" w:rsidP="00341F6B">
            <w:pPr>
              <w:spacing w:line="240" w:lineRule="auto"/>
              <w:rPr>
                <w:rFonts w:asciiTheme="majorHAnsi" w:eastAsia="Times New Roman" w:hAnsiTheme="majorHAnsi" w:cs="Times New Roman"/>
              </w:rPr>
            </w:pPr>
          </w:p>
        </w:tc>
        <w:tc>
          <w:tcPr>
            <w:tcW w:w="1669" w:type="dxa"/>
            <w:tcBorders>
              <w:top w:val="nil"/>
              <w:left w:val="nil"/>
              <w:bottom w:val="nil"/>
              <w:right w:val="nil"/>
            </w:tcBorders>
            <w:shd w:val="clear" w:color="auto" w:fill="auto"/>
            <w:noWrap/>
            <w:vAlign w:val="bottom"/>
          </w:tcPr>
          <w:p w14:paraId="6CC8B2BB" w14:textId="77777777" w:rsidR="00DC6698" w:rsidRPr="00B86C92" w:rsidRDefault="00DC6698" w:rsidP="00341F6B">
            <w:pPr>
              <w:spacing w:line="240" w:lineRule="auto"/>
              <w:rPr>
                <w:rFonts w:asciiTheme="majorHAnsi" w:eastAsia="Times New Roman" w:hAnsiTheme="majorHAnsi" w:cs="Times New Roman"/>
              </w:rPr>
            </w:pPr>
            <w:r w:rsidRPr="00B86C92">
              <w:rPr>
                <w:rFonts w:asciiTheme="majorHAnsi" w:eastAsia="Times New Roman" w:hAnsiTheme="majorHAnsi" w:cs="Times New Roman"/>
              </w:rPr>
              <w:t>(</w:t>
            </w:r>
            <w:proofErr w:type="spellStart"/>
            <w:r w:rsidRPr="00B86C92">
              <w:rPr>
                <w:rFonts w:asciiTheme="majorHAnsi" w:eastAsia="Times New Roman" w:hAnsiTheme="majorHAnsi" w:cs="Times New Roman"/>
              </w:rPr>
              <w:t>Chave</w:t>
            </w:r>
            <w:proofErr w:type="spellEnd"/>
            <w:r w:rsidRPr="00B86C92">
              <w:rPr>
                <w:rFonts w:asciiTheme="majorHAnsi" w:eastAsia="Times New Roman" w:hAnsiTheme="majorHAnsi" w:cs="Times New Roman"/>
              </w:rPr>
              <w:t xml:space="preserve"> et al. 2014)</w:t>
            </w:r>
          </w:p>
        </w:tc>
        <w:tc>
          <w:tcPr>
            <w:tcW w:w="1275" w:type="dxa"/>
            <w:tcBorders>
              <w:top w:val="nil"/>
              <w:left w:val="nil"/>
              <w:bottom w:val="nil"/>
              <w:right w:val="nil"/>
            </w:tcBorders>
          </w:tcPr>
          <w:p w14:paraId="6A7D9443" w14:textId="77777777" w:rsidR="00DC6698" w:rsidRPr="00720EAE" w:rsidRDefault="00DC6698" w:rsidP="00341F6B">
            <w:pPr>
              <w:spacing w:line="240" w:lineRule="auto"/>
              <w:rPr>
                <w:rFonts w:ascii="Calibri" w:eastAsia="Times New Roman" w:hAnsi="Calibri" w:cs="Times New Roman"/>
                <w:color w:val="000000"/>
              </w:rPr>
            </w:pPr>
            <w:r w:rsidRPr="0080317D">
              <w:rPr>
                <w:rFonts w:ascii="Calibri" w:eastAsia="Times New Roman" w:hAnsi="Calibri" w:cs="Times New Roman"/>
                <w:color w:val="000000"/>
              </w:rPr>
              <w:t>19.08</w:t>
            </w:r>
          </w:p>
        </w:tc>
      </w:tr>
      <w:tr w:rsidR="00DC6698" w:rsidRPr="00826272" w14:paraId="01A994C7" w14:textId="77777777" w:rsidTr="00341F6B">
        <w:trPr>
          <w:trHeight w:val="113"/>
        </w:trPr>
        <w:tc>
          <w:tcPr>
            <w:tcW w:w="1881" w:type="dxa"/>
            <w:tcBorders>
              <w:top w:val="nil"/>
              <w:left w:val="nil"/>
              <w:bottom w:val="single" w:sz="4" w:space="0" w:color="auto"/>
              <w:right w:val="nil"/>
            </w:tcBorders>
            <w:shd w:val="clear" w:color="auto" w:fill="D9D9D9" w:themeFill="background1" w:themeFillShade="D9"/>
            <w:noWrap/>
            <w:vAlign w:val="bottom"/>
          </w:tcPr>
          <w:p w14:paraId="185BAFE7" w14:textId="77777777" w:rsidR="00DC6698" w:rsidRPr="00720EAE" w:rsidRDefault="00DC6698" w:rsidP="00341F6B">
            <w:pPr>
              <w:spacing w:line="240" w:lineRule="auto"/>
              <w:rPr>
                <w:rFonts w:asciiTheme="majorHAnsi" w:eastAsia="Times New Roman" w:hAnsiTheme="majorHAnsi" w:cs="Times New Roman"/>
                <w:b/>
              </w:rPr>
            </w:pPr>
            <w:r w:rsidRPr="00720EAE">
              <w:rPr>
                <w:rFonts w:asciiTheme="majorHAnsi" w:eastAsia="Times New Roman" w:hAnsiTheme="majorHAnsi" w:cs="Times New Roman"/>
                <w:b/>
                <w:color w:val="000000" w:themeColor="text1"/>
                <w:highlight w:val="lightGray"/>
              </w:rPr>
              <w:t>BGB Equation</w:t>
            </w:r>
            <w:r w:rsidRPr="00720EAE">
              <w:rPr>
                <w:rFonts w:asciiTheme="majorHAnsi" w:eastAsia="Times New Roman" w:hAnsiTheme="majorHAnsi" w:cs="Times New Roman"/>
                <w:b/>
                <w:color w:val="000000" w:themeColor="text1"/>
              </w:rPr>
              <w:t xml:space="preserve"> </w:t>
            </w:r>
          </w:p>
        </w:tc>
        <w:tc>
          <w:tcPr>
            <w:tcW w:w="2405" w:type="dxa"/>
            <w:tcBorders>
              <w:top w:val="nil"/>
              <w:left w:val="nil"/>
              <w:bottom w:val="single" w:sz="4" w:space="0" w:color="auto"/>
              <w:right w:val="nil"/>
            </w:tcBorders>
            <w:shd w:val="clear" w:color="auto" w:fill="auto"/>
            <w:noWrap/>
            <w:vAlign w:val="bottom"/>
          </w:tcPr>
          <w:p w14:paraId="1077E2E6" w14:textId="77777777" w:rsidR="00DC6698" w:rsidRPr="00826272" w:rsidRDefault="00DC6698" w:rsidP="00341F6B">
            <w:pPr>
              <w:spacing w:line="240" w:lineRule="auto"/>
              <w:rPr>
                <w:rFonts w:ascii="Calibri" w:eastAsia="Times New Roman" w:hAnsi="Calibri" w:cs="Times New Roman"/>
              </w:rPr>
            </w:pPr>
            <w:r w:rsidRPr="00720EAE">
              <w:rPr>
                <w:rFonts w:ascii="Calibri" w:eastAsia="Times New Roman" w:hAnsi="Calibri" w:cs="Times New Roman"/>
              </w:rPr>
              <w:t>1.4204*(</w:t>
            </w:r>
            <w:r>
              <w:rPr>
                <w:rFonts w:ascii="Calibri" w:eastAsia="Times New Roman" w:hAnsi="Calibri" w:cs="Times New Roman"/>
              </w:rPr>
              <w:t>DBH</w:t>
            </w:r>
            <w:r w:rsidRPr="00720EAE">
              <w:rPr>
                <w:rFonts w:ascii="Calibri" w:eastAsia="Times New Roman" w:hAnsi="Calibri" w:cs="Times New Roman"/>
                <w:vertAlign w:val="superscript"/>
              </w:rPr>
              <w:t>1.59666</w:t>
            </w:r>
            <w:r w:rsidRPr="00720EAE">
              <w:rPr>
                <w:rFonts w:ascii="Calibri" w:eastAsia="Times New Roman" w:hAnsi="Calibri" w:cs="Times New Roman"/>
              </w:rPr>
              <w:t>)</w:t>
            </w:r>
          </w:p>
        </w:tc>
        <w:tc>
          <w:tcPr>
            <w:tcW w:w="1383" w:type="dxa"/>
            <w:tcBorders>
              <w:top w:val="nil"/>
              <w:left w:val="nil"/>
              <w:bottom w:val="single" w:sz="4" w:space="0" w:color="auto"/>
              <w:right w:val="nil"/>
            </w:tcBorders>
            <w:shd w:val="clear" w:color="auto" w:fill="auto"/>
            <w:noWrap/>
            <w:vAlign w:val="bottom"/>
          </w:tcPr>
          <w:p w14:paraId="62484AF3" w14:textId="77777777" w:rsidR="00DC6698" w:rsidRPr="00826272" w:rsidRDefault="00DC6698" w:rsidP="00341F6B">
            <w:pPr>
              <w:spacing w:line="240" w:lineRule="auto"/>
              <w:rPr>
                <w:rFonts w:asciiTheme="majorHAnsi" w:eastAsia="Times New Roman" w:hAnsiTheme="majorHAnsi" w:cs="Times New Roman"/>
              </w:rPr>
            </w:pPr>
            <w:r>
              <w:rPr>
                <w:rFonts w:asciiTheme="majorHAnsi" w:eastAsia="Times New Roman" w:hAnsiTheme="majorHAnsi" w:cs="Times New Roman"/>
              </w:rPr>
              <w:t>Tanzania</w:t>
            </w:r>
          </w:p>
        </w:tc>
        <w:tc>
          <w:tcPr>
            <w:tcW w:w="1669" w:type="dxa"/>
            <w:tcBorders>
              <w:top w:val="nil"/>
              <w:left w:val="nil"/>
              <w:bottom w:val="single" w:sz="4" w:space="0" w:color="auto"/>
              <w:right w:val="nil"/>
            </w:tcBorders>
            <w:shd w:val="clear" w:color="auto" w:fill="auto"/>
            <w:noWrap/>
            <w:vAlign w:val="bottom"/>
          </w:tcPr>
          <w:p w14:paraId="0A702B5D" w14:textId="77777777" w:rsidR="00DC6698" w:rsidRPr="00B86C92" w:rsidRDefault="00DC6698" w:rsidP="00341F6B">
            <w:pPr>
              <w:spacing w:line="240" w:lineRule="auto"/>
              <w:rPr>
                <w:rFonts w:asciiTheme="majorHAnsi" w:eastAsia="Times New Roman" w:hAnsiTheme="majorHAnsi" w:cs="Times New Roman"/>
              </w:rPr>
            </w:pPr>
            <w:r w:rsidRPr="00B86C92">
              <w:rPr>
                <w:rFonts w:asciiTheme="majorHAnsi" w:eastAsia="Times New Roman" w:hAnsiTheme="majorHAnsi" w:cs="Times New Roman"/>
              </w:rPr>
              <w:fldChar w:fldCharType="begin" w:fldLock="1"/>
            </w:r>
            <w:r>
              <w:rPr>
                <w:rFonts w:asciiTheme="majorHAnsi" w:eastAsia="Times New Roman" w:hAnsiTheme="majorHAnsi" w:cs="Times New Roman"/>
              </w:rPr>
              <w:instrText>ADDIN CSL_CITATION {"citationItems":[{"id":"ITEM-1","itemData":{"author":[{"dropping-particle":"","family":"Njana","given":"Marco Andrew","non-dropping-particle":"","parse-names":false,"suffix":""},{"dropping-particle":"","family":"Zahabu","given":"Ole Martin","non-dropping-particle":"","parse-names":false,"suffix":""},{"dropping-particle":"","family":"Bollandsås","given":"Tron","non-dropping-particle":"","parse-names":false,"suffix":""},{"dropping-particle":"","family":"Eid","given":"Eliakimu","non-dropping-particle":"","parse-names":false,"suffix":""},{"dropping-particle":"","family":"Malimbwi","given":"Rogers Ernest","non-dropping-particle":"","parse-names":false,"suffix":""}],"container-title":"Annals ofForest Science","id":"ITEM-1","issued":{"date-parts":[["2015"]]},"title":"Above- and belowground tree biomass models for three mangrove species in Tanzania: a nonlinear mixed effects modelling approach","type":"article-journal"},"uris":["http://www.mendeley.com/documents/?uuid=06342947-8677-4829-9350-1155cf200cbe"]}],"mendeley":{"formattedCitation":"(Njana &lt;i&gt;et al.&lt;/i&gt;, 2015)","plainTextFormattedCitation":"(Njana et al., 2015)","previouslyFormattedCitation":"(M. A. Njana &lt;i&gt;et al.&lt;/i&gt;, 2015)"},"properties":{"noteIndex":0},"schema":"https://github.com/citation-style-language/schema/raw/master/csl-citation.json"}</w:instrText>
            </w:r>
            <w:r w:rsidRPr="00B86C92">
              <w:rPr>
                <w:rFonts w:asciiTheme="majorHAnsi" w:eastAsia="Times New Roman" w:hAnsiTheme="majorHAnsi" w:cs="Times New Roman"/>
              </w:rPr>
              <w:fldChar w:fldCharType="separate"/>
            </w:r>
            <w:r w:rsidRPr="00AC2FB3">
              <w:rPr>
                <w:rFonts w:asciiTheme="majorHAnsi" w:eastAsia="Times New Roman" w:hAnsiTheme="majorHAnsi" w:cs="Times New Roman"/>
                <w:noProof/>
              </w:rPr>
              <w:t xml:space="preserve">(Njana </w:t>
            </w:r>
            <w:r w:rsidRPr="00AC2FB3">
              <w:rPr>
                <w:rFonts w:asciiTheme="majorHAnsi" w:eastAsia="Times New Roman" w:hAnsiTheme="majorHAnsi" w:cs="Times New Roman"/>
                <w:i/>
                <w:noProof/>
              </w:rPr>
              <w:t>et al.</w:t>
            </w:r>
            <w:r w:rsidRPr="00AC2FB3">
              <w:rPr>
                <w:rFonts w:asciiTheme="majorHAnsi" w:eastAsia="Times New Roman" w:hAnsiTheme="majorHAnsi" w:cs="Times New Roman"/>
                <w:noProof/>
              </w:rPr>
              <w:t>, 2015)</w:t>
            </w:r>
            <w:r w:rsidRPr="00B86C92">
              <w:rPr>
                <w:rFonts w:asciiTheme="majorHAnsi" w:eastAsia="Times New Roman" w:hAnsiTheme="majorHAnsi" w:cs="Times New Roman"/>
              </w:rPr>
              <w:fldChar w:fldCharType="end"/>
            </w:r>
          </w:p>
        </w:tc>
        <w:tc>
          <w:tcPr>
            <w:tcW w:w="1275" w:type="dxa"/>
            <w:tcBorders>
              <w:top w:val="nil"/>
              <w:left w:val="nil"/>
              <w:bottom w:val="single" w:sz="4" w:space="0" w:color="auto"/>
              <w:right w:val="nil"/>
            </w:tcBorders>
          </w:tcPr>
          <w:p w14:paraId="0C3C5585" w14:textId="77777777" w:rsidR="00DC6698" w:rsidRPr="0080317D" w:rsidRDefault="00DC6698" w:rsidP="00341F6B">
            <w:pPr>
              <w:spacing w:line="240" w:lineRule="auto"/>
              <w:rPr>
                <w:rFonts w:ascii="Calibri" w:eastAsia="Times New Roman" w:hAnsi="Calibri" w:cs="Times New Roman"/>
                <w:color w:val="000000"/>
              </w:rPr>
            </w:pPr>
          </w:p>
        </w:tc>
      </w:tr>
    </w:tbl>
    <w:p w14:paraId="61BD5861" w14:textId="77777777" w:rsidR="00DC6698" w:rsidRDefault="00DC6698" w:rsidP="00DC6698"/>
    <w:p w14:paraId="37F46306" w14:textId="74A11D67" w:rsidR="00DC6698" w:rsidRDefault="00DC6698" w:rsidP="00DC6698">
      <w:pPr>
        <w:keepNext/>
        <w:jc w:val="center"/>
      </w:pPr>
    </w:p>
    <w:p w14:paraId="35879DB2" w14:textId="125E46CC" w:rsidR="00DC6698" w:rsidRPr="00EF1715" w:rsidRDefault="00DC6698" w:rsidP="00DC6698">
      <w:pPr>
        <w:keepNext/>
        <w:jc w:val="center"/>
      </w:pPr>
      <w:r w:rsidRPr="00DC6698">
        <w:drawing>
          <wp:inline distT="0" distB="0" distL="0" distR="0" wp14:anchorId="45CECA5D" wp14:editId="29362BDA">
            <wp:extent cx="4597400" cy="2755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4597400" cy="2755900"/>
                    </a:xfrm>
                    <a:prstGeom prst="rect">
                      <a:avLst/>
                    </a:prstGeom>
                  </pic:spPr>
                </pic:pic>
              </a:graphicData>
            </a:graphic>
          </wp:inline>
        </w:drawing>
      </w:r>
    </w:p>
    <w:p w14:paraId="2EB97834" w14:textId="11047FA2" w:rsidR="00DC6698" w:rsidRDefault="00DC6698" w:rsidP="00DC6698">
      <w:pPr>
        <w:pStyle w:val="Caption"/>
        <w:jc w:val="both"/>
        <w:rPr>
          <w:sz w:val="24"/>
          <w:szCs w:val="24"/>
        </w:rPr>
      </w:pPr>
      <w:r w:rsidRPr="00EF1715">
        <w:rPr>
          <w:sz w:val="24"/>
          <w:szCs w:val="24"/>
        </w:rPr>
        <w:t xml:space="preserve">Figure </w:t>
      </w:r>
      <w:r>
        <w:rPr>
          <w:sz w:val="24"/>
          <w:szCs w:val="24"/>
        </w:rPr>
        <w:t>1</w:t>
      </w:r>
      <w:r w:rsidRPr="00EF1715">
        <w:rPr>
          <w:sz w:val="24"/>
          <w:szCs w:val="24"/>
        </w:rPr>
        <w:t xml:space="preserve"> </w:t>
      </w:r>
      <w:r w:rsidRPr="00EF1715">
        <w:rPr>
          <w:b w:val="0"/>
          <w:sz w:val="24"/>
          <w:szCs w:val="24"/>
        </w:rPr>
        <w:t xml:space="preserve">The total above ground carbon (AGC, Mg </w:t>
      </w:r>
      <w:proofErr w:type="gramStart"/>
      <w:r w:rsidRPr="00EF1715">
        <w:rPr>
          <w:b w:val="0"/>
          <w:sz w:val="24"/>
          <w:szCs w:val="24"/>
        </w:rPr>
        <w:t>ha</w:t>
      </w:r>
      <w:r w:rsidRPr="00EF1715">
        <w:rPr>
          <w:b w:val="0"/>
          <w:sz w:val="24"/>
          <w:szCs w:val="24"/>
          <w:vertAlign w:val="superscript"/>
        </w:rPr>
        <w:t>-1</w:t>
      </w:r>
      <w:proofErr w:type="gramEnd"/>
      <w:r w:rsidRPr="00EF1715">
        <w:rPr>
          <w:b w:val="0"/>
          <w:sz w:val="24"/>
          <w:szCs w:val="24"/>
        </w:rPr>
        <w:t>) across five permanent sample plots (PSP) calculated using five different allometric equations. See Table 2 for species-specific equations</w:t>
      </w:r>
      <w:r w:rsidRPr="00EF1715">
        <w:rPr>
          <w:sz w:val="24"/>
          <w:szCs w:val="24"/>
        </w:rPr>
        <w:t xml:space="preserve"> </w:t>
      </w:r>
    </w:p>
    <w:sectPr w:rsidR="00DC6698" w:rsidSect="00747206">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698"/>
    <w:rsid w:val="009C70CD"/>
    <w:rsid w:val="00DC6698"/>
    <w:rsid w:val="00F436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4444978"/>
  <w15:chartTrackingRefBased/>
  <w15:docId w15:val="{FCFC944C-B893-4049-9CDD-F4CB251811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698"/>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C6698"/>
    <w:rPr>
      <w:sz w:val="16"/>
      <w:szCs w:val="16"/>
    </w:rPr>
  </w:style>
  <w:style w:type="paragraph" w:styleId="CommentText">
    <w:name w:val="annotation text"/>
    <w:basedOn w:val="Normal"/>
    <w:link w:val="CommentTextChar"/>
    <w:uiPriority w:val="99"/>
    <w:semiHidden/>
    <w:unhideWhenUsed/>
    <w:rsid w:val="00DC6698"/>
    <w:pPr>
      <w:spacing w:line="240" w:lineRule="auto"/>
    </w:pPr>
    <w:rPr>
      <w:sz w:val="20"/>
      <w:szCs w:val="20"/>
    </w:rPr>
  </w:style>
  <w:style w:type="character" w:customStyle="1" w:styleId="CommentTextChar">
    <w:name w:val="Comment Text Char"/>
    <w:basedOn w:val="DefaultParagraphFont"/>
    <w:link w:val="CommentText"/>
    <w:uiPriority w:val="99"/>
    <w:semiHidden/>
    <w:rsid w:val="00DC6698"/>
    <w:rPr>
      <w:sz w:val="20"/>
      <w:szCs w:val="20"/>
    </w:rPr>
  </w:style>
  <w:style w:type="paragraph" w:styleId="Caption">
    <w:name w:val="caption"/>
    <w:basedOn w:val="Normal"/>
    <w:next w:val="Normal"/>
    <w:uiPriority w:val="35"/>
    <w:unhideWhenUsed/>
    <w:qFormat/>
    <w:rsid w:val="00DC6698"/>
    <w:pPr>
      <w:spacing w:line="240" w:lineRule="auto"/>
    </w:pPr>
    <w:rPr>
      <w:rFonts w:eastAsiaTheme="minorEastAsia"/>
      <w:b/>
      <w:bCs/>
      <w:color w:val="4472C4" w:themeColor="accent1"/>
      <w:sz w:val="18"/>
      <w:szCs w:val="18"/>
    </w:rPr>
  </w:style>
  <w:style w:type="table" w:styleId="TableGrid">
    <w:name w:val="Table Grid"/>
    <w:basedOn w:val="TableNormal"/>
    <w:uiPriority w:val="59"/>
    <w:rsid w:val="00DC6698"/>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C669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C6698"/>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2710</Words>
  <Characters>15449</Characters>
  <Application>Microsoft Office Word</Application>
  <DocSecurity>0</DocSecurity>
  <Lines>128</Lines>
  <Paragraphs>36</Paragraphs>
  <ScaleCrop>false</ScaleCrop>
  <Company/>
  <LinksUpToDate>false</LinksUpToDate>
  <CharactersWithSpaces>18123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Georgia de Jong Cleyndert</dc:creator>
  <cp:keywords/>
  <dc:description/>
  <cp:lastModifiedBy>Georgia de Jong Cleyndert</cp:lastModifiedBy>
  <cp:revision>1</cp:revision>
  <dcterms:created xsi:type="dcterms:W3CDTF">2020-04-26T15:37:00Z</dcterms:created>
  <dcterms:modified xsi:type="dcterms:W3CDTF">2020-04-26T15:46:00Z</dcterms:modified>
</cp:coreProperties>
</file>