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F8A6234" w14:textId="77777777" w:rsidR="00612B9E" w:rsidRPr="007377CE" w:rsidRDefault="00612B9E" w:rsidP="00612B9E">
      <w:pPr>
        <w:widowControl/>
        <w:spacing w:beforeLines="50" w:before="120" w:afterLines="50" w:after="120" w:line="300" w:lineRule="auto"/>
        <w:rPr>
          <w:rFonts w:eastAsia="SimSun" w:cs="Times New Roman"/>
          <w:bCs/>
          <w:kern w:val="20"/>
          <w:sz w:val="24"/>
          <w:szCs w:val="24"/>
        </w:rPr>
      </w:pPr>
      <w:r w:rsidRPr="007377CE">
        <w:rPr>
          <w:rFonts w:eastAsia="SimSun" w:cs="Times New Roman"/>
          <w:b/>
          <w:kern w:val="20"/>
          <w:sz w:val="24"/>
          <w:szCs w:val="24"/>
        </w:rPr>
        <w:t>Table 1</w:t>
      </w:r>
      <w:r w:rsidRPr="007377CE">
        <w:rPr>
          <w:rFonts w:eastAsia="SimSun" w:cs="Times New Roman"/>
          <w:bCs/>
          <w:kern w:val="20"/>
          <w:sz w:val="24"/>
          <w:szCs w:val="24"/>
        </w:rPr>
        <w:t xml:space="preserve"> </w:t>
      </w:r>
      <w:r w:rsidRPr="007377CE">
        <w:rPr>
          <w:b/>
          <w:bCs/>
          <w:sz w:val="24"/>
          <w:szCs w:val="24"/>
        </w:rPr>
        <w:t>Methodology universality</w:t>
      </w:r>
      <w:r w:rsidRPr="007377CE">
        <w:rPr>
          <w:rFonts w:eastAsia="SimSun" w:cs="Times New Roman"/>
          <w:bCs/>
          <w:kern w:val="20"/>
          <w:sz w:val="24"/>
          <w:szCs w:val="24"/>
        </w:rPr>
        <w:t>.</w:t>
      </w:r>
      <w:r w:rsidRPr="007377CE">
        <w:rPr>
          <w:rFonts w:eastAsia="SimSun" w:cs="Times New Roman" w:hint="eastAsia"/>
          <w:b/>
          <w:kern w:val="20"/>
          <w:sz w:val="24"/>
          <w:szCs w:val="24"/>
          <w:vertAlign w:val="superscript"/>
        </w:rPr>
        <w:t>a</w:t>
      </w:r>
    </w:p>
    <w:p w14:paraId="5AE658CE" w14:textId="77777777" w:rsidR="00612B9E" w:rsidRPr="007377CE" w:rsidRDefault="00612B9E" w:rsidP="00612B9E">
      <w:pPr>
        <w:widowControl/>
        <w:jc w:val="center"/>
        <w:rPr>
          <w:rFonts w:cs="Times New Roman"/>
          <w:sz w:val="24"/>
          <w:szCs w:val="24"/>
        </w:rPr>
      </w:pPr>
      <w:r w:rsidRPr="007377CE">
        <w:rPr>
          <w:noProof/>
        </w:rPr>
        <w:drawing>
          <wp:inline distT="0" distB="0" distL="0" distR="0" wp14:anchorId="0D28CEA7" wp14:editId="718C93D0">
            <wp:extent cx="6120130" cy="5384800"/>
            <wp:effectExtent l="0" t="0" r="0" b="635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2958282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538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E9B099" w14:textId="77777777" w:rsidR="00612B9E" w:rsidRPr="003A49E4" w:rsidRDefault="00612B9E" w:rsidP="00612B9E">
      <w:pPr>
        <w:widowControl/>
        <w:spacing w:afterLines="100" w:after="240" w:line="300" w:lineRule="auto"/>
        <w:rPr>
          <w:rFonts w:eastAsia="SimSun" w:cs="Times New Roman"/>
          <w:bCs/>
          <w:kern w:val="20"/>
          <w:sz w:val="24"/>
          <w:szCs w:val="24"/>
        </w:rPr>
      </w:pPr>
      <w:r w:rsidRPr="007377CE">
        <w:rPr>
          <w:rFonts w:eastAsia="SimSun" w:cs="Times New Roman" w:hint="eastAsia"/>
          <w:bCs/>
          <w:kern w:val="20"/>
          <w:sz w:val="24"/>
          <w:szCs w:val="24"/>
          <w:vertAlign w:val="superscript"/>
        </w:rPr>
        <w:t>a</w:t>
      </w:r>
      <w:r w:rsidRPr="007377CE">
        <w:rPr>
          <w:rFonts w:eastAsia="SimSun" w:cs="Times New Roman"/>
          <w:bCs/>
          <w:kern w:val="20"/>
          <w:sz w:val="24"/>
          <w:szCs w:val="24"/>
        </w:rPr>
        <w:t>Reaction conditions: substrate (0.15 mmol), in a mixed solution of Diox/0.5 M K</w:t>
      </w:r>
      <w:r w:rsidRPr="007377CE">
        <w:rPr>
          <w:rFonts w:eastAsia="SimSun" w:cs="Times New Roman"/>
          <w:bCs/>
          <w:kern w:val="20"/>
          <w:sz w:val="24"/>
          <w:szCs w:val="24"/>
          <w:vertAlign w:val="subscript"/>
        </w:rPr>
        <w:t>2</w:t>
      </w:r>
      <w:r w:rsidRPr="007377CE">
        <w:rPr>
          <w:rFonts w:eastAsia="SimSun" w:cs="Times New Roman"/>
          <w:bCs/>
          <w:kern w:val="20"/>
          <w:sz w:val="24"/>
          <w:szCs w:val="24"/>
        </w:rPr>
        <w:t>CO</w:t>
      </w:r>
      <w:r w:rsidRPr="007377CE">
        <w:rPr>
          <w:rFonts w:eastAsia="SimSun" w:cs="Times New Roman"/>
          <w:bCs/>
          <w:kern w:val="20"/>
          <w:sz w:val="24"/>
          <w:szCs w:val="24"/>
          <w:vertAlign w:val="subscript"/>
        </w:rPr>
        <w:t>3</w:t>
      </w:r>
      <w:r w:rsidRPr="007377CE">
        <w:rPr>
          <w:rFonts w:eastAsia="SimSun" w:cs="Times New Roman"/>
          <w:bCs/>
          <w:kern w:val="20"/>
          <w:sz w:val="24"/>
          <w:szCs w:val="24"/>
        </w:rPr>
        <w:t xml:space="preserve"> (1:6 v/v, 7 mL), LC-Cu NTs, at -1.3 V (-1.5 V for </w:t>
      </w:r>
      <w:r w:rsidRPr="007377CE">
        <w:rPr>
          <w:rFonts w:eastAsia="SimSun" w:cs="Times New Roman"/>
          <w:b/>
          <w:kern w:val="20"/>
          <w:sz w:val="24"/>
          <w:szCs w:val="24"/>
        </w:rPr>
        <w:t>2l</w:t>
      </w:r>
      <w:r w:rsidRPr="007377CE">
        <w:rPr>
          <w:rFonts w:eastAsia="SimSun" w:cs="Times New Roman"/>
          <w:bCs/>
          <w:kern w:val="20"/>
          <w:sz w:val="24"/>
          <w:szCs w:val="24"/>
        </w:rPr>
        <w:t xml:space="preserve"> and -1.35 V for </w:t>
      </w:r>
      <w:r w:rsidRPr="007377CE">
        <w:rPr>
          <w:rFonts w:eastAsia="SimSun" w:cs="Times New Roman"/>
          <w:b/>
          <w:kern w:val="20"/>
          <w:sz w:val="24"/>
          <w:szCs w:val="24"/>
        </w:rPr>
        <w:t>2m</w:t>
      </w:r>
      <w:r w:rsidRPr="007377CE">
        <w:rPr>
          <w:rFonts w:eastAsia="SimSun" w:cs="Times New Roman"/>
          <w:bCs/>
          <w:kern w:val="20"/>
          <w:sz w:val="24"/>
          <w:szCs w:val="24"/>
        </w:rPr>
        <w:t>), RT. Isolated yields of the hydrochloride of primary amines are reported in parentheses</w:t>
      </w:r>
      <w:r>
        <w:rPr>
          <w:rFonts w:eastAsia="SimSun" w:cs="Times New Roman"/>
          <w:bCs/>
          <w:kern w:val="20"/>
          <w:sz w:val="24"/>
          <w:szCs w:val="24"/>
        </w:rPr>
        <w:t>,</w:t>
      </w:r>
      <w:r w:rsidRPr="007377CE">
        <w:rPr>
          <w:rFonts w:eastAsia="SimSun" w:cs="Times New Roman"/>
          <w:bCs/>
          <w:kern w:val="20"/>
          <w:sz w:val="24"/>
          <w:szCs w:val="24"/>
        </w:rPr>
        <w:t xml:space="preserve"> and deuterium ratios are presented in brackets.</w:t>
      </w:r>
    </w:p>
    <w:p w14:paraId="0C9EB92F" w14:textId="77777777" w:rsidR="001760E5" w:rsidRDefault="00612B9E"/>
    <w:sectPr w:rsidR="001760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2B9E"/>
    <w:rsid w:val="00612B9E"/>
    <w:rsid w:val="006E225C"/>
    <w:rsid w:val="008A3324"/>
    <w:rsid w:val="0096107C"/>
    <w:rsid w:val="00996CDB"/>
    <w:rsid w:val="009B6A41"/>
    <w:rsid w:val="00BA546E"/>
    <w:rsid w:val="00E17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AABA69"/>
  <w15:chartTrackingRefBased/>
  <w15:docId w15:val="{4491F851-6AF8-4440-9224-87CD0747F0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12B9E"/>
    <w:pPr>
      <w:widowControl w:val="0"/>
      <w:spacing w:after="0" w:line="240" w:lineRule="auto"/>
      <w:jc w:val="both"/>
    </w:pPr>
    <w:rPr>
      <w:rFonts w:ascii="Times New Roman" w:eastAsiaTheme="minorEastAsia" w:hAnsi="Times New Roman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</Words>
  <Characters>284</Characters>
  <Application>Microsoft Office Word</Application>
  <DocSecurity>0</DocSecurity>
  <Lines>2</Lines>
  <Paragraphs>1</Paragraphs>
  <ScaleCrop>false</ScaleCrop>
  <Company>Springer Nature</Company>
  <LinksUpToDate>false</LinksUpToDate>
  <CharactersWithSpaces>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2023-02-23T06:39:00Z</dcterms:created>
  <dcterms:modified xsi:type="dcterms:W3CDTF">2023-02-23T06:39:00Z</dcterms:modified>
</cp:coreProperties>
</file>