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6DD9" w:rsidRPr="00965F11" w:rsidRDefault="009F6DD9" w:rsidP="009F6DD9">
      <w:pPr>
        <w:pStyle w:val="Descripcin"/>
        <w:rPr>
          <w:lang w:val="en-US"/>
        </w:rPr>
      </w:pPr>
      <w:bookmarkStart w:id="0" w:name="_Ref126426872"/>
      <w:r w:rsidRPr="00965F11">
        <w:rPr>
          <w:lang w:val="en-US"/>
        </w:rPr>
        <w:t xml:space="preserve">Table </w:t>
      </w:r>
      <w:r>
        <w:fldChar w:fldCharType="begin"/>
      </w:r>
      <w:r w:rsidRPr="00965F11">
        <w:rPr>
          <w:lang w:val="en-US"/>
        </w:rPr>
        <w:instrText xml:space="preserve"> SEQ Table \* ARABIC </w:instrText>
      </w:r>
      <w:r>
        <w:fldChar w:fldCharType="separate"/>
      </w:r>
      <w:r w:rsidRPr="00965F11">
        <w:rPr>
          <w:noProof/>
          <w:lang w:val="en-US"/>
        </w:rPr>
        <w:t>5</w:t>
      </w:r>
      <w:r>
        <w:fldChar w:fldCharType="end"/>
      </w:r>
      <w:bookmarkEnd w:id="0"/>
      <w:r w:rsidRPr="00965F11">
        <w:rPr>
          <w:lang w:val="en-US"/>
        </w:rPr>
        <w:t>. CPU loss ratio (%) by HPE (including mobility), 2017-2021</w:t>
      </w:r>
    </w:p>
    <w:tbl>
      <w:tblPr>
        <w:tblStyle w:val="Cuadrculadetablaclara"/>
        <w:tblW w:w="148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9"/>
        <w:gridCol w:w="1423"/>
        <w:gridCol w:w="2268"/>
        <w:gridCol w:w="992"/>
        <w:gridCol w:w="987"/>
        <w:gridCol w:w="987"/>
        <w:gridCol w:w="987"/>
        <w:gridCol w:w="987"/>
        <w:gridCol w:w="1158"/>
        <w:gridCol w:w="1273"/>
        <w:gridCol w:w="1134"/>
        <w:gridCol w:w="1134"/>
      </w:tblGrid>
      <w:tr w:rsidR="009F6DD9" w:rsidRPr="00885DFD" w:rsidTr="00A416A3">
        <w:trPr>
          <w:trHeight w:val="300"/>
          <w:jc w:val="center"/>
        </w:trPr>
        <w:tc>
          <w:tcPr>
            <w:tcW w:w="1549" w:type="dxa"/>
            <w:vMerge w:val="restart"/>
            <w:tcBorders>
              <w:top w:val="single" w:sz="4" w:space="0" w:color="auto"/>
            </w:tcBorders>
            <w:vAlign w:val="center"/>
          </w:tcPr>
          <w:p w:rsidR="009F6DD9" w:rsidRPr="00793CAD" w:rsidRDefault="009F6DD9" w:rsidP="00A416A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3CAD">
              <w:rPr>
                <w:rFonts w:ascii="Times New Roman" w:hAnsi="Times New Roman" w:cs="Times New Roman"/>
                <w:b/>
                <w:bCs/>
              </w:rPr>
              <w:t>Classification</w:t>
            </w:r>
          </w:p>
        </w:tc>
        <w:tc>
          <w:tcPr>
            <w:tcW w:w="1423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9F6DD9" w:rsidRPr="00793CAD" w:rsidRDefault="009F6DD9" w:rsidP="00A416A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3CAD">
              <w:rPr>
                <w:rFonts w:ascii="Times New Roman" w:hAnsi="Times New Roman" w:cs="Times New Roman"/>
                <w:b/>
                <w:bCs/>
              </w:rPr>
              <w:t>Authorized/enabled scheme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9F6DD9" w:rsidRPr="0003744D" w:rsidRDefault="009F6DD9" w:rsidP="00A416A3">
            <w:pPr>
              <w:jc w:val="center"/>
              <w:rPr>
                <w:rFonts w:ascii="Times New Roman" w:hAnsi="Times New Roman" w:cs="Times New Roman"/>
                <w:lang w:val="es-419"/>
              </w:rPr>
            </w:pPr>
            <w:r>
              <w:rPr>
                <w:rFonts w:ascii="Times New Roman" w:hAnsi="Times New Roman" w:cs="Times New Roman"/>
                <w:b/>
                <w:bCs/>
                <w:lang w:val="es-419"/>
              </w:rPr>
              <w:t>HPE</w:t>
            </w:r>
          </w:p>
        </w:tc>
        <w:tc>
          <w:tcPr>
            <w:tcW w:w="4940" w:type="dxa"/>
            <w:gridSpan w:val="5"/>
            <w:tcBorders>
              <w:top w:val="single" w:sz="4" w:space="0" w:color="auto"/>
            </w:tcBorders>
            <w:noWrap/>
            <w:vAlign w:val="center"/>
            <w:hideMark/>
          </w:tcPr>
          <w:p w:rsidR="009F6DD9" w:rsidRPr="00781B3E" w:rsidRDefault="009F6DD9" w:rsidP="00A416A3">
            <w:pPr>
              <w:jc w:val="center"/>
              <w:rPr>
                <w:rFonts w:ascii="Times New Roman" w:hAnsi="Times New Roman" w:cs="Times New Roman"/>
                <w:b/>
                <w:bCs/>
                <w:lang w:val="es-419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s-419"/>
              </w:rPr>
              <w:t>Year</w:t>
            </w:r>
            <w:proofErr w:type="spellEnd"/>
          </w:p>
        </w:tc>
        <w:tc>
          <w:tcPr>
            <w:tcW w:w="4699" w:type="dxa"/>
            <w:gridSpan w:val="4"/>
            <w:tcBorders>
              <w:top w:val="single" w:sz="4" w:space="0" w:color="auto"/>
            </w:tcBorders>
            <w:noWrap/>
            <w:vAlign w:val="center"/>
            <w:hideMark/>
          </w:tcPr>
          <w:p w:rsidR="009F6DD9" w:rsidRPr="00781B3E" w:rsidRDefault="009F6DD9" w:rsidP="00A416A3">
            <w:pPr>
              <w:jc w:val="center"/>
              <w:rPr>
                <w:rFonts w:ascii="Times New Roman" w:hAnsi="Times New Roman" w:cs="Times New Roman"/>
                <w:b/>
                <w:bCs/>
                <w:lang w:val="es-419"/>
              </w:rPr>
            </w:pPr>
            <w:proofErr w:type="spellStart"/>
            <w:r w:rsidRPr="008B5795">
              <w:rPr>
                <w:rFonts w:ascii="Times New Roman" w:hAnsi="Times New Roman" w:cs="Times New Roman"/>
                <w:b/>
                <w:bCs/>
                <w:lang w:val="es-419"/>
              </w:rPr>
              <w:t>Descriptive</w:t>
            </w:r>
            <w:proofErr w:type="spellEnd"/>
            <w:r w:rsidRPr="008B5795">
              <w:rPr>
                <w:rFonts w:ascii="Times New Roman" w:hAnsi="Times New Roman" w:cs="Times New Roman"/>
                <w:b/>
                <w:bCs/>
                <w:lang w:val="es-419"/>
              </w:rPr>
              <w:t xml:space="preserve"> </w:t>
            </w:r>
            <w:proofErr w:type="spellStart"/>
            <w:r w:rsidRPr="008B5795">
              <w:rPr>
                <w:rFonts w:ascii="Times New Roman" w:hAnsi="Times New Roman" w:cs="Times New Roman"/>
                <w:b/>
                <w:bCs/>
                <w:lang w:val="es-419"/>
              </w:rPr>
              <w:t>statistics</w:t>
            </w:r>
            <w:proofErr w:type="spellEnd"/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</w:tcPr>
          <w:p w:rsidR="009F6DD9" w:rsidRPr="00793CAD" w:rsidRDefault="009F6DD9" w:rsidP="00A416A3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23" w:type="dxa"/>
            <w:vMerge/>
            <w:hideMark/>
          </w:tcPr>
          <w:p w:rsidR="009F6DD9" w:rsidRPr="00793CAD" w:rsidRDefault="009F6DD9" w:rsidP="00A416A3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Merge/>
            <w:hideMark/>
          </w:tcPr>
          <w:p w:rsidR="009F6DD9" w:rsidRPr="00781B3E" w:rsidRDefault="009F6DD9" w:rsidP="00A416A3">
            <w:pPr>
              <w:jc w:val="both"/>
              <w:rPr>
                <w:rFonts w:ascii="Times New Roman" w:hAnsi="Times New Roman" w:cs="Times New Roman"/>
                <w:b/>
                <w:bCs/>
                <w:lang w:val="es-419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:rsidR="009F6DD9" w:rsidRPr="00781B3E" w:rsidRDefault="009F6DD9" w:rsidP="00A416A3">
            <w:pPr>
              <w:jc w:val="center"/>
              <w:rPr>
                <w:rFonts w:ascii="Times New Roman" w:hAnsi="Times New Roman" w:cs="Times New Roman"/>
                <w:b/>
                <w:bCs/>
                <w:lang w:val="es-419"/>
              </w:rPr>
            </w:pPr>
            <w:r w:rsidRPr="00781B3E">
              <w:rPr>
                <w:rFonts w:ascii="Times New Roman" w:hAnsi="Times New Roman" w:cs="Times New Roman"/>
                <w:b/>
                <w:bCs/>
                <w:lang w:val="es-419"/>
              </w:rPr>
              <w:t>2017</w:t>
            </w:r>
          </w:p>
        </w:tc>
        <w:tc>
          <w:tcPr>
            <w:tcW w:w="987" w:type="dxa"/>
            <w:noWrap/>
            <w:vAlign w:val="center"/>
            <w:hideMark/>
          </w:tcPr>
          <w:p w:rsidR="009F6DD9" w:rsidRPr="00781B3E" w:rsidRDefault="009F6DD9" w:rsidP="00A416A3">
            <w:pPr>
              <w:jc w:val="center"/>
              <w:rPr>
                <w:rFonts w:ascii="Times New Roman" w:hAnsi="Times New Roman" w:cs="Times New Roman"/>
                <w:b/>
                <w:bCs/>
                <w:lang w:val="es-419"/>
              </w:rPr>
            </w:pPr>
            <w:r w:rsidRPr="00781B3E">
              <w:rPr>
                <w:rFonts w:ascii="Times New Roman" w:hAnsi="Times New Roman" w:cs="Times New Roman"/>
                <w:b/>
                <w:bCs/>
                <w:lang w:val="es-419"/>
              </w:rPr>
              <w:t>2018</w:t>
            </w:r>
          </w:p>
        </w:tc>
        <w:tc>
          <w:tcPr>
            <w:tcW w:w="987" w:type="dxa"/>
            <w:noWrap/>
            <w:vAlign w:val="center"/>
            <w:hideMark/>
          </w:tcPr>
          <w:p w:rsidR="009F6DD9" w:rsidRPr="00781B3E" w:rsidRDefault="009F6DD9" w:rsidP="00A416A3">
            <w:pPr>
              <w:jc w:val="center"/>
              <w:rPr>
                <w:rFonts w:ascii="Times New Roman" w:hAnsi="Times New Roman" w:cs="Times New Roman"/>
                <w:b/>
                <w:bCs/>
                <w:lang w:val="es-419"/>
              </w:rPr>
            </w:pPr>
            <w:r w:rsidRPr="00781B3E">
              <w:rPr>
                <w:rFonts w:ascii="Times New Roman" w:hAnsi="Times New Roman" w:cs="Times New Roman"/>
                <w:b/>
                <w:bCs/>
                <w:lang w:val="es-419"/>
              </w:rPr>
              <w:t>2019</w:t>
            </w:r>
          </w:p>
        </w:tc>
        <w:tc>
          <w:tcPr>
            <w:tcW w:w="987" w:type="dxa"/>
            <w:noWrap/>
            <w:vAlign w:val="center"/>
            <w:hideMark/>
          </w:tcPr>
          <w:p w:rsidR="009F6DD9" w:rsidRPr="00781B3E" w:rsidRDefault="009F6DD9" w:rsidP="00A416A3">
            <w:pPr>
              <w:jc w:val="center"/>
              <w:rPr>
                <w:rFonts w:ascii="Times New Roman" w:hAnsi="Times New Roman" w:cs="Times New Roman"/>
                <w:b/>
                <w:bCs/>
                <w:lang w:val="es-419"/>
              </w:rPr>
            </w:pPr>
            <w:r w:rsidRPr="00781B3E">
              <w:rPr>
                <w:rFonts w:ascii="Times New Roman" w:hAnsi="Times New Roman" w:cs="Times New Roman"/>
                <w:b/>
                <w:bCs/>
                <w:lang w:val="es-419"/>
              </w:rPr>
              <w:t>2020</w:t>
            </w:r>
          </w:p>
        </w:tc>
        <w:tc>
          <w:tcPr>
            <w:tcW w:w="987" w:type="dxa"/>
            <w:noWrap/>
            <w:vAlign w:val="center"/>
            <w:hideMark/>
          </w:tcPr>
          <w:p w:rsidR="009F6DD9" w:rsidRPr="00781B3E" w:rsidRDefault="009F6DD9" w:rsidP="00A416A3">
            <w:pPr>
              <w:jc w:val="center"/>
              <w:rPr>
                <w:rFonts w:ascii="Times New Roman" w:hAnsi="Times New Roman" w:cs="Times New Roman"/>
                <w:b/>
                <w:bCs/>
                <w:lang w:val="es-419"/>
              </w:rPr>
            </w:pPr>
            <w:r w:rsidRPr="00781B3E">
              <w:rPr>
                <w:rFonts w:ascii="Times New Roman" w:hAnsi="Times New Roman" w:cs="Times New Roman"/>
                <w:b/>
                <w:bCs/>
                <w:lang w:val="es-419"/>
              </w:rPr>
              <w:t>2021</w:t>
            </w:r>
          </w:p>
        </w:tc>
        <w:tc>
          <w:tcPr>
            <w:tcW w:w="1158" w:type="dxa"/>
            <w:noWrap/>
            <w:vAlign w:val="center"/>
            <w:hideMark/>
          </w:tcPr>
          <w:p w:rsidR="009F6DD9" w:rsidRPr="00781B3E" w:rsidRDefault="009F6DD9" w:rsidP="00A416A3">
            <w:pPr>
              <w:jc w:val="center"/>
              <w:rPr>
                <w:rFonts w:ascii="Times New Roman" w:hAnsi="Times New Roman" w:cs="Times New Roman"/>
                <w:b/>
                <w:bCs/>
                <w:lang w:val="es-419"/>
              </w:rPr>
            </w:pPr>
            <w:proofErr w:type="spellStart"/>
            <w:r w:rsidRPr="00475A62">
              <w:rPr>
                <w:rFonts w:ascii="Times New Roman" w:hAnsi="Times New Roman" w:cs="Times New Roman"/>
                <w:b/>
                <w:bCs/>
                <w:lang w:val="es-419"/>
              </w:rPr>
              <w:t>Minimum</w:t>
            </w:r>
            <w:proofErr w:type="spellEnd"/>
          </w:p>
        </w:tc>
        <w:tc>
          <w:tcPr>
            <w:tcW w:w="1273" w:type="dxa"/>
            <w:noWrap/>
            <w:vAlign w:val="center"/>
            <w:hideMark/>
          </w:tcPr>
          <w:p w:rsidR="009F6DD9" w:rsidRPr="00781B3E" w:rsidRDefault="009F6DD9" w:rsidP="00A416A3">
            <w:pPr>
              <w:jc w:val="center"/>
              <w:rPr>
                <w:rFonts w:ascii="Times New Roman" w:hAnsi="Times New Roman" w:cs="Times New Roman"/>
                <w:b/>
                <w:bCs/>
                <w:lang w:val="es-419"/>
              </w:rPr>
            </w:pPr>
            <w:proofErr w:type="spellStart"/>
            <w:r w:rsidRPr="00475A62">
              <w:rPr>
                <w:rFonts w:ascii="Times New Roman" w:hAnsi="Times New Roman" w:cs="Times New Roman"/>
                <w:b/>
                <w:bCs/>
                <w:lang w:val="es-419"/>
              </w:rPr>
              <w:t>Maximum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:rsidR="009F6DD9" w:rsidRPr="00781B3E" w:rsidRDefault="009F6DD9" w:rsidP="00A416A3">
            <w:pPr>
              <w:jc w:val="center"/>
              <w:rPr>
                <w:rFonts w:ascii="Times New Roman" w:hAnsi="Times New Roman" w:cs="Times New Roman"/>
                <w:b/>
                <w:bCs/>
                <w:lang w:val="es-419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s-419"/>
              </w:rPr>
              <w:t>A</w:t>
            </w:r>
            <w:r w:rsidRPr="00475A62">
              <w:rPr>
                <w:rFonts w:ascii="Times New Roman" w:hAnsi="Times New Roman" w:cs="Times New Roman"/>
                <w:b/>
                <w:bCs/>
                <w:lang w:val="es-419"/>
              </w:rPr>
              <w:t>verage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lang w:val="es-419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lang w:val="es-419"/>
              </w:rPr>
              <w:t>over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lang w:val="es-419"/>
              </w:rPr>
              <w:t xml:space="preserve"> time</w:t>
            </w:r>
          </w:p>
        </w:tc>
        <w:tc>
          <w:tcPr>
            <w:tcW w:w="1134" w:type="dxa"/>
            <w:noWrap/>
            <w:vAlign w:val="center"/>
            <w:hideMark/>
          </w:tcPr>
          <w:p w:rsidR="009F6DD9" w:rsidRPr="00781B3E" w:rsidRDefault="009F6DD9" w:rsidP="00A416A3">
            <w:pPr>
              <w:jc w:val="center"/>
              <w:rPr>
                <w:rFonts w:ascii="Times New Roman" w:hAnsi="Times New Roman" w:cs="Times New Roman"/>
                <w:b/>
                <w:bCs/>
                <w:lang w:val="es-419"/>
              </w:rPr>
            </w:pPr>
            <w:r w:rsidRPr="00475A62">
              <w:rPr>
                <w:rFonts w:ascii="Times New Roman" w:hAnsi="Times New Roman" w:cs="Times New Roman"/>
                <w:b/>
                <w:bCs/>
                <w:lang w:val="es-419"/>
              </w:rPr>
              <w:t xml:space="preserve">Standard </w:t>
            </w:r>
            <w:proofErr w:type="spellStart"/>
            <w:r w:rsidRPr="00475A62">
              <w:rPr>
                <w:rFonts w:ascii="Times New Roman" w:hAnsi="Times New Roman" w:cs="Times New Roman"/>
                <w:b/>
                <w:bCs/>
                <w:lang w:val="es-419"/>
              </w:rPr>
              <w:t>deviation</w:t>
            </w:r>
            <w:proofErr w:type="spellEnd"/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 w:val="restart"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CAD">
              <w:rPr>
                <w:rFonts w:ascii="Times New Roman" w:hAnsi="Times New Roman" w:cs="Times New Roman"/>
                <w:sz w:val="18"/>
                <w:szCs w:val="18"/>
              </w:rPr>
              <w:t>IFRS 1</w:t>
            </w:r>
          </w:p>
        </w:tc>
        <w:tc>
          <w:tcPr>
            <w:tcW w:w="1423" w:type="dxa"/>
            <w:vMerge w:val="restart"/>
            <w:noWrap/>
            <w:vAlign w:val="center"/>
            <w:hideMark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CAD">
              <w:rPr>
                <w:rFonts w:ascii="Times New Roman" w:hAnsi="Times New Roman" w:cs="Times New Roman"/>
                <w:sz w:val="18"/>
                <w:szCs w:val="18"/>
              </w:rPr>
              <w:t>Contributory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proofErr w:type="spellStart"/>
            <w:r w:rsidRPr="00741CCC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Aliansalud</w:t>
            </w:r>
            <w:proofErr w:type="spellEnd"/>
          </w:p>
        </w:tc>
        <w:tc>
          <w:tcPr>
            <w:tcW w:w="992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</w:rPr>
              <w:t>89.73%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</w:rPr>
              <w:t>86.61%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</w:rPr>
              <w:t>88.13%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</w:rPr>
              <w:t>89.38%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</w:rPr>
              <w:t>88.48%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80454D">
              <w:rPr>
                <w:rFonts w:ascii="Times New Roman" w:hAnsi="Times New Roman" w:cs="Times New Roman"/>
                <w:sz w:val="18"/>
                <w:szCs w:val="18"/>
              </w:rPr>
              <w:t>86.61%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80454D">
              <w:rPr>
                <w:rFonts w:ascii="Times New Roman" w:hAnsi="Times New Roman" w:cs="Times New Roman"/>
                <w:sz w:val="18"/>
                <w:szCs w:val="18"/>
              </w:rPr>
              <w:t>89.73%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80454D">
              <w:rPr>
                <w:rFonts w:ascii="Times New Roman" w:hAnsi="Times New Roman" w:cs="Times New Roman"/>
                <w:sz w:val="18"/>
                <w:szCs w:val="18"/>
              </w:rPr>
              <w:t>88.47%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80454D">
              <w:rPr>
                <w:rFonts w:ascii="Times New Roman" w:hAnsi="Times New Roman" w:cs="Times New Roman"/>
                <w:sz w:val="18"/>
                <w:szCs w:val="18"/>
              </w:rPr>
              <w:t>1.22%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Compensar</w:t>
            </w:r>
          </w:p>
        </w:tc>
        <w:tc>
          <w:tcPr>
            <w:tcW w:w="992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100.25%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107.74%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100.25%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107.74%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104.00%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5.30%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41CCC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Coomeva</w:t>
            </w:r>
          </w:p>
        </w:tc>
        <w:tc>
          <w:tcPr>
            <w:tcW w:w="992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91.85%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90.38%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89.04%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91.77%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102.84%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89.04%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102.84%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93.18%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5.53%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41CCC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Sanitas</w:t>
            </w:r>
          </w:p>
        </w:tc>
        <w:tc>
          <w:tcPr>
            <w:tcW w:w="992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86.11%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85.68%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88.31%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93.52%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92.91%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85.68%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93.52%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89.31%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3.71%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41CCC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Sura</w:t>
            </w:r>
          </w:p>
        </w:tc>
        <w:tc>
          <w:tcPr>
            <w:tcW w:w="992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91.20%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91.90%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94.21%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95.11%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99.66%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91.20%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99.66%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94.42%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3.34%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 w:val="restart"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CAD">
              <w:rPr>
                <w:rFonts w:ascii="Times New Roman" w:hAnsi="Times New Roman" w:cs="Times New Roman"/>
                <w:sz w:val="18"/>
                <w:szCs w:val="18"/>
              </w:rPr>
              <w:t>Subsidized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 xml:space="preserve">CCF de Nariño – </w:t>
            </w:r>
            <w:proofErr w:type="spellStart"/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Comfamiliar</w:t>
            </w:r>
            <w:proofErr w:type="spellEnd"/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 xml:space="preserve"> Nariño</w:t>
            </w:r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146.53%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114.19%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152.92%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128.99%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133.27%</w:t>
            </w:r>
            <w:r w:rsidRPr="00FE1165">
              <w:rPr>
                <w:rStyle w:val="Refdenotaalpie"/>
              </w:rPr>
              <w:footnoteReference w:id="1"/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114.19%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152.92%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135.18%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15.22%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</w:pPr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 xml:space="preserve">CCF del Huila – </w:t>
            </w:r>
            <w:proofErr w:type="spellStart"/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Comfamiliar</w:t>
            </w:r>
            <w:proofErr w:type="spellEnd"/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 xml:space="preserve"> Huila</w:t>
            </w:r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101.98%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102.60%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107.59%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94.93%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105.17%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94.93%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107.59%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102.45%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4.76%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CAD">
              <w:rPr>
                <w:rFonts w:ascii="Times New Roman" w:hAnsi="Times New Roman" w:cs="Times New Roman"/>
                <w:sz w:val="18"/>
                <w:szCs w:val="18"/>
              </w:rPr>
              <w:t>Mixed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41CCC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Asociación Mutual Ser Empresa Solidaria de Salud – Mutual Ser</w:t>
            </w:r>
          </w:p>
        </w:tc>
        <w:tc>
          <w:tcPr>
            <w:tcW w:w="992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92.41%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95.31%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93.55%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92.00%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98.23%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92.00%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98.23%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94.30%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2.54%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 w:val="restart"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CAD">
              <w:rPr>
                <w:rFonts w:ascii="Times New Roman" w:hAnsi="Times New Roman" w:cs="Times New Roman"/>
                <w:sz w:val="18"/>
                <w:szCs w:val="18"/>
              </w:rPr>
              <w:t>IFRS 2</w:t>
            </w:r>
          </w:p>
        </w:tc>
        <w:tc>
          <w:tcPr>
            <w:tcW w:w="1423" w:type="dxa"/>
            <w:vMerge w:val="restart"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CAD">
              <w:rPr>
                <w:rFonts w:ascii="Times New Roman" w:hAnsi="Times New Roman" w:cs="Times New Roman"/>
                <w:sz w:val="18"/>
                <w:szCs w:val="18"/>
              </w:rPr>
              <w:t>Contributory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Comfenalco Valle</w:t>
            </w:r>
          </w:p>
        </w:tc>
        <w:tc>
          <w:tcPr>
            <w:tcW w:w="992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96.83%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89.85%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89.85%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96.83%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93.34%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4.94%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41CCC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Cruz Blanca</w:t>
            </w:r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102.40%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105.21%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103.35%</w:t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102.40%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105.21%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103.65%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1.43%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proofErr w:type="spellStart"/>
            <w:r w:rsidRPr="00741CCC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Famisanar</w:t>
            </w:r>
            <w:proofErr w:type="spellEnd"/>
          </w:p>
        </w:tc>
        <w:tc>
          <w:tcPr>
            <w:tcW w:w="992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95.21%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96.33%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94.55%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94.86%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99.22%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94.55%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99.22%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96.03%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1.90%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41CCC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Fundación Salud Mía</w:t>
            </w:r>
          </w:p>
        </w:tc>
        <w:tc>
          <w:tcPr>
            <w:tcW w:w="992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89.96%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87.64%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90.57%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89.85%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87.64%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90.57%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89.50%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1.28%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41CCC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Salud Total</w:t>
            </w:r>
          </w:p>
        </w:tc>
        <w:tc>
          <w:tcPr>
            <w:tcW w:w="992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86.67%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86.97%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86.62%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81.62%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90.56%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81.62%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90.56%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86.49%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3.19%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Servicio Occidental de Salud – S.O.S.</w:t>
            </w:r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106.56%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103.23%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100.58%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96.96%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104.86%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96.96%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106.56%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102.43%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3.77%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 w:val="restart"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CAD">
              <w:rPr>
                <w:rFonts w:ascii="Times New Roman" w:hAnsi="Times New Roman" w:cs="Times New Roman"/>
                <w:sz w:val="18"/>
                <w:szCs w:val="18"/>
              </w:rPr>
              <w:t>Subsidized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Asociación Barrios Unidos de Quibdó – AMBUQ</w:t>
            </w:r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105.60%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102.73%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102.28%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87.38%</w:t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87.38%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105.60%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99.50%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8.21%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Asociación Mutual Empresa Solidaria de Salud de Nariño – EMSSANAR</w:t>
            </w:r>
          </w:p>
        </w:tc>
        <w:tc>
          <w:tcPr>
            <w:tcW w:w="992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98.48%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101.59%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101.17%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96.38%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116.74%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96.38%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116.74%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102.87%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8.03%</w:t>
            </w:r>
          </w:p>
        </w:tc>
      </w:tr>
      <w:tr w:rsidR="009F6DD9" w:rsidRPr="00885DFD" w:rsidTr="00A416A3">
        <w:trPr>
          <w:trHeight w:val="64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Asociación Mutual la Esperanza – ASMET Salud</w:t>
            </w:r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106.63%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107.37%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100.61%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93.86%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97.09%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93.86%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107.37%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101.11%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5.88%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 xml:space="preserve">CCF </w:t>
            </w:r>
            <w:proofErr w:type="spellStart"/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Cajacopi</w:t>
            </w:r>
            <w:proofErr w:type="spellEnd"/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 xml:space="preserve"> Atlántico</w:t>
            </w:r>
          </w:p>
        </w:tc>
        <w:tc>
          <w:tcPr>
            <w:tcW w:w="992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90.80%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92.43%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92.11%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90.21%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82.97%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82.97%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92.43%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89.70%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3.88%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41CCC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 xml:space="preserve">CCF de Cartagena – </w:t>
            </w:r>
            <w:proofErr w:type="spellStart"/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Comfamiliar</w:t>
            </w:r>
            <w:proofErr w:type="spellEnd"/>
            <w:r w:rsidRPr="00741CCC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 xml:space="preserve"> Cartagena</w:t>
            </w:r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106.55%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105.96%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93.31%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87.60%</w:t>
            </w:r>
            <w:r w:rsidRPr="00FE1165">
              <w:rPr>
                <w:rStyle w:val="Refdenotaalpie"/>
              </w:rPr>
              <w:footnoteReference w:id="2"/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87.60%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106.55%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98.36%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9.42%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 xml:space="preserve">CCF de Córdoba – </w:t>
            </w:r>
            <w:proofErr w:type="spellStart"/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Comfacor</w:t>
            </w:r>
            <w:proofErr w:type="spellEnd"/>
          </w:p>
        </w:tc>
        <w:tc>
          <w:tcPr>
            <w:tcW w:w="992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95.62%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94.86%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111.44%</w:t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94.86%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111.44%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100.64%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4.23%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 xml:space="preserve">CCF de Cundinamarca – </w:t>
            </w:r>
            <w:proofErr w:type="spellStart"/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Comfacundi</w:t>
            </w:r>
            <w:proofErr w:type="spellEnd"/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104.97%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106.88%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90.94%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84.16%</w:t>
            </w:r>
            <w:r w:rsidRPr="00FE1165">
              <w:rPr>
                <w:rStyle w:val="Refdenotaalpie"/>
              </w:rPr>
              <w:footnoteReference w:id="3"/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84.16%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106.88%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96.74%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10.99%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</w:pPr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 xml:space="preserve">CCF de La Guajira – </w:t>
            </w:r>
            <w:proofErr w:type="spellStart"/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Comfaguajira</w:t>
            </w:r>
            <w:proofErr w:type="spellEnd"/>
          </w:p>
        </w:tc>
        <w:tc>
          <w:tcPr>
            <w:tcW w:w="992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93.52%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111.01%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96.02%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85.55%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89.39%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85.55%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111.01%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95.10%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9.75%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</w:pPr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 xml:space="preserve">CCF de Sucre – </w:t>
            </w:r>
            <w:proofErr w:type="spellStart"/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Comfasucre</w:t>
            </w:r>
            <w:proofErr w:type="spellEnd"/>
          </w:p>
        </w:tc>
        <w:tc>
          <w:tcPr>
            <w:tcW w:w="992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97.42%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97.32%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100.67%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85.93%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109.41%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85.93%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109.41%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98.15%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8.42%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</w:pPr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 xml:space="preserve">CCF del Chocó – </w:t>
            </w:r>
            <w:proofErr w:type="spellStart"/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Comfachocó</w:t>
            </w:r>
            <w:proofErr w:type="spellEnd"/>
          </w:p>
        </w:tc>
        <w:tc>
          <w:tcPr>
            <w:tcW w:w="992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89.48%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95.89%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95.62%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93.23%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99.44%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89.48%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99.44%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94.73%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3.68%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 xml:space="preserve">CCF del Oriente Colombiano – </w:t>
            </w:r>
            <w:proofErr w:type="spellStart"/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Comfaoriente</w:t>
            </w:r>
            <w:proofErr w:type="spellEnd"/>
          </w:p>
        </w:tc>
        <w:tc>
          <w:tcPr>
            <w:tcW w:w="992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96.20%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92.94%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94.56%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91.74%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91.74%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91.74%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96.20%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93.44%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1.93%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Comparta</w:t>
            </w:r>
          </w:p>
        </w:tc>
        <w:tc>
          <w:tcPr>
            <w:tcW w:w="992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94.79%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90.80%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107.85%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95.22%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97.41%</w:t>
            </w:r>
            <w:r w:rsidRPr="00FE1165">
              <w:rPr>
                <w:rStyle w:val="Refdenotaalpie"/>
              </w:rPr>
              <w:footnoteReference w:id="4"/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90.80%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107.85%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97.21%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6.40%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proofErr w:type="spellStart"/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Ecoopsos</w:t>
            </w:r>
            <w:proofErr w:type="spellEnd"/>
          </w:p>
        </w:tc>
        <w:tc>
          <w:tcPr>
            <w:tcW w:w="992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90.55%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86.92%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91.11%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89.41%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90.19%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86.92%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91.11%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89.64%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1.64%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 xml:space="preserve">Empresa Mutual para el Desarrollo Integral de la Salud – </w:t>
            </w:r>
            <w:proofErr w:type="spellStart"/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Emdisalud</w:t>
            </w:r>
            <w:proofErr w:type="spellEnd"/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121.33%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180.12%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100.24%</w:t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100.24%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180.12%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133.89%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41.40%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 w:val="restart"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CAD">
              <w:rPr>
                <w:rFonts w:ascii="Times New Roman" w:hAnsi="Times New Roman" w:cs="Times New Roman"/>
                <w:sz w:val="18"/>
                <w:szCs w:val="18"/>
              </w:rPr>
              <w:t>Mixed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</w:pPr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Cooperativa de Salud y Desarrollo Integral Zona Sur Oriental de Cartagena – COOSALUD</w:t>
            </w:r>
          </w:p>
        </w:tc>
        <w:tc>
          <w:tcPr>
            <w:tcW w:w="992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91.32%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93.16%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93.82%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89.41%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89.46%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89.41%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93.82%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91.43%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2.04%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</w:pPr>
            <w:proofErr w:type="spellStart"/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Medimás</w:t>
            </w:r>
            <w:proofErr w:type="spellEnd"/>
          </w:p>
        </w:tc>
        <w:tc>
          <w:tcPr>
            <w:tcW w:w="992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76.83%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103.64%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101.62%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91.66%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94.58%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76.83%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103.64%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93.66%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10.62%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</w:pPr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Nueva EPS</w:t>
            </w:r>
          </w:p>
        </w:tc>
        <w:tc>
          <w:tcPr>
            <w:tcW w:w="992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89.62%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92.06%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92.74%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94.06%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97.65%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89.62%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97.65%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93.22%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2.95%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</w:pPr>
            <w:proofErr w:type="spellStart"/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SaludVida</w:t>
            </w:r>
            <w:proofErr w:type="spellEnd"/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106.92%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108.90%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106.64%</w:t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106.64%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108.90%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107.49%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CAD">
              <w:rPr>
                <w:rFonts w:ascii="Times New Roman" w:hAnsi="Times New Roman" w:cs="Times New Roman"/>
                <w:sz w:val="18"/>
                <w:szCs w:val="18"/>
              </w:rPr>
              <w:t>PAR 6</w:t>
            </w:r>
          </w:p>
        </w:tc>
        <w:tc>
          <w:tcPr>
            <w:tcW w:w="1423" w:type="dxa"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CAD">
              <w:rPr>
                <w:rFonts w:ascii="Times New Roman" w:hAnsi="Times New Roman" w:cs="Times New Roman"/>
                <w:sz w:val="18"/>
                <w:szCs w:val="18"/>
              </w:rPr>
              <w:t>Contributory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Empresas Públicas de Medellín – Departamento Médico</w:t>
            </w:r>
          </w:p>
        </w:tc>
        <w:tc>
          <w:tcPr>
            <w:tcW w:w="992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198.30%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213.91%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181.22%</w:t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181.22%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213.91%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197.81%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16.35%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 w:val="restart"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CAD">
              <w:rPr>
                <w:rFonts w:ascii="Times New Roman" w:hAnsi="Times New Roman" w:cs="Times New Roman"/>
                <w:sz w:val="18"/>
                <w:szCs w:val="18"/>
              </w:rPr>
              <w:t>PAR 7</w:t>
            </w:r>
          </w:p>
        </w:tc>
        <w:tc>
          <w:tcPr>
            <w:tcW w:w="1423" w:type="dxa"/>
            <w:vMerge w:val="restart"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CAD">
              <w:rPr>
                <w:rFonts w:ascii="Times New Roman" w:hAnsi="Times New Roman" w:cs="Times New Roman"/>
                <w:sz w:val="18"/>
                <w:szCs w:val="18"/>
              </w:rPr>
              <w:t>Subsidized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proofErr w:type="spellStart"/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Anas</w:t>
            </w:r>
            <w:proofErr w:type="spellEnd"/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 xml:space="preserve"> Wayuu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Indigenous</w:t>
            </w:r>
            <w:proofErr w:type="spellEnd"/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)</w:t>
            </w:r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119.63%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115.96%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116.16%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116.48%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124.60%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115.96%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124.60%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118.57%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3.69%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noWrap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Asociación Indígena del Cauca – AIC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Indigenous</w:t>
            </w:r>
            <w:proofErr w:type="spellEnd"/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)</w:t>
            </w:r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100.23%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99.62%</w:t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95.21%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100.72%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95.21%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100.72%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98.95%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2.53%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vAlign w:val="center"/>
            <w:hideMark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Asociación Indígena del Cesar y La Guajira </w:t>
            </w:r>
            <w:proofErr w:type="spellStart"/>
            <w:r w:rsidRPr="007E7A01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Dusakawi</w:t>
            </w:r>
            <w:proofErr w:type="spellEnd"/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Indigenous</w:t>
            </w:r>
            <w:proofErr w:type="spellEnd"/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)</w:t>
            </w:r>
          </w:p>
        </w:tc>
        <w:tc>
          <w:tcPr>
            <w:tcW w:w="992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94.00%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101.39%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89.30%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92.30%</w:t>
            </w:r>
          </w:p>
        </w:tc>
        <w:tc>
          <w:tcPr>
            <w:tcW w:w="987" w:type="dxa"/>
            <w:shd w:val="clear" w:color="auto" w:fill="808080" w:themeFill="background1" w:themeFillShade="8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90.72%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89.30%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101.39%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93.54%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4.73%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vAlign w:val="center"/>
            <w:hideMark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Capital Salud</w:t>
            </w:r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105.16%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114.87%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110.20%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104.84%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114.18%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104.84%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114.87%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109.85%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4.77%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vAlign w:val="center"/>
            <w:hideMark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proofErr w:type="spellStart"/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Capresoca</w:t>
            </w:r>
            <w:proofErr w:type="spellEnd"/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129.07%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125.30%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122.82%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114.79%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246671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2466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117.71%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114.79%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129.07%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121.94%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80454D" w:rsidRDefault="009F6DD9" w:rsidP="00A416A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8045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5.74%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Convida</w:t>
            </w:r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105.80%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107.48%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109.56%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105.35%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114.46%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105.35%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114.46%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108.53%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3.70%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proofErr w:type="spellStart"/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Mallamás</w:t>
            </w:r>
            <w:proofErr w:type="spellEnd"/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Indigenous</w:t>
            </w:r>
            <w:proofErr w:type="spellEnd"/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)</w:t>
            </w:r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110.50%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97.62%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93.44%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97.62%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106.36%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93.44%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110.50%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101.11%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7.05%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proofErr w:type="spellStart"/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Pijaos</w:t>
            </w:r>
            <w:proofErr w:type="spellEnd"/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 xml:space="preserve"> Salud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Indigenous</w:t>
            </w:r>
            <w:proofErr w:type="spellEnd"/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)</w:t>
            </w:r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100.24%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111.05%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115.52%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103.25%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135.58%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100.24%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135.58%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113.13%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13.94%</w:t>
            </w:r>
          </w:p>
        </w:tc>
      </w:tr>
      <w:tr w:rsidR="009F6DD9" w:rsidRPr="00885DFD" w:rsidTr="00A416A3">
        <w:trPr>
          <w:trHeight w:val="300"/>
          <w:jc w:val="center"/>
        </w:trPr>
        <w:tc>
          <w:tcPr>
            <w:tcW w:w="1549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vMerge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7E7A01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7E7A01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Savia Salud</w:t>
            </w:r>
          </w:p>
        </w:tc>
        <w:tc>
          <w:tcPr>
            <w:tcW w:w="992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134.03%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104.38%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102.84%</w:t>
            </w:r>
          </w:p>
        </w:tc>
        <w:tc>
          <w:tcPr>
            <w:tcW w:w="987" w:type="dxa"/>
            <w:shd w:val="clear" w:color="auto" w:fill="00B05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93.50%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112.69%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93.50%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134.03%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109.49%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15.32%</w:t>
            </w:r>
          </w:p>
        </w:tc>
      </w:tr>
      <w:tr w:rsidR="009F6DD9" w:rsidRPr="00913038" w:rsidTr="00A416A3">
        <w:trPr>
          <w:trHeight w:val="439"/>
          <w:jc w:val="center"/>
        </w:trPr>
        <w:tc>
          <w:tcPr>
            <w:tcW w:w="1549" w:type="dxa"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CAD">
              <w:rPr>
                <w:rFonts w:ascii="Times New Roman" w:hAnsi="Times New Roman" w:cs="Times New Roman"/>
                <w:sz w:val="18"/>
                <w:szCs w:val="18"/>
              </w:rPr>
              <w:t>PAR 8</w:t>
            </w:r>
          </w:p>
        </w:tc>
        <w:tc>
          <w:tcPr>
            <w:tcW w:w="1423" w:type="dxa"/>
            <w:vAlign w:val="center"/>
          </w:tcPr>
          <w:p w:rsidR="009F6DD9" w:rsidRPr="00793CAD" w:rsidRDefault="009F6DD9" w:rsidP="00A4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CAD">
              <w:rPr>
                <w:rFonts w:ascii="Times New Roman" w:hAnsi="Times New Roman" w:cs="Times New Roman"/>
                <w:sz w:val="18"/>
                <w:szCs w:val="18"/>
              </w:rPr>
              <w:t>Contributory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F6DD9" w:rsidRPr="00913038" w:rsidRDefault="009F6DD9" w:rsidP="00A416A3">
            <w:pPr>
              <w:rPr>
                <w:rFonts w:ascii="Times New Roman" w:hAnsi="Times New Roman" w:cs="Times New Roman"/>
                <w:sz w:val="18"/>
                <w:szCs w:val="18"/>
                <w:lang w:val="es-419"/>
              </w:rPr>
            </w:pPr>
            <w:r w:rsidRPr="00913038">
              <w:rPr>
                <w:rFonts w:ascii="Times New Roman" w:hAnsi="Times New Roman" w:cs="Times New Roman"/>
                <w:color w:val="000000"/>
                <w:sz w:val="18"/>
                <w:szCs w:val="18"/>
                <w:lang w:val="es-CO"/>
              </w:rPr>
              <w:t>Fondo de Pasivo Social de los Ferrocarriles Nacionales</w:t>
            </w:r>
          </w:p>
        </w:tc>
        <w:tc>
          <w:tcPr>
            <w:tcW w:w="992" w:type="dxa"/>
            <w:shd w:val="clear" w:color="auto" w:fill="FFC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</w:t>
            </w:r>
          </w:p>
        </w:tc>
        <w:tc>
          <w:tcPr>
            <w:tcW w:w="987" w:type="dxa"/>
            <w:shd w:val="clear" w:color="auto" w:fill="FFC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sz w:val="18"/>
                <w:szCs w:val="18"/>
                <w:lang w:val="es-419"/>
              </w:rPr>
              <w:t>N.I.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sz w:val="18"/>
                <w:szCs w:val="18"/>
              </w:rPr>
              <w:t>189.50%</w:t>
            </w:r>
          </w:p>
        </w:tc>
        <w:tc>
          <w:tcPr>
            <w:tcW w:w="987" w:type="dxa"/>
            <w:shd w:val="clear" w:color="auto" w:fill="FF0000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sz w:val="18"/>
                <w:szCs w:val="18"/>
              </w:rPr>
              <w:t>190.28%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sz w:val="18"/>
                <w:szCs w:val="18"/>
              </w:rPr>
              <w:t>189.50%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sz w:val="18"/>
                <w:szCs w:val="18"/>
              </w:rPr>
              <w:t>190.28%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sz w:val="18"/>
                <w:szCs w:val="18"/>
              </w:rPr>
              <w:t>189.89%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F6DD9" w:rsidRPr="009C7DF5" w:rsidRDefault="009F6DD9" w:rsidP="00A416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C7DF5">
              <w:rPr>
                <w:rFonts w:ascii="Times New Roman" w:hAnsi="Times New Roman" w:cs="Times New Roman"/>
                <w:sz w:val="18"/>
                <w:szCs w:val="18"/>
              </w:rPr>
              <w:t>0.55%</w:t>
            </w:r>
          </w:p>
        </w:tc>
      </w:tr>
    </w:tbl>
    <w:p w:rsidR="007271AC" w:rsidRDefault="009F6DD9">
      <w:r w:rsidRPr="00A14EC8">
        <w:rPr>
          <w:rFonts w:ascii="Times New Roman" w:hAnsi="Times New Roman" w:cs="Times New Roman"/>
          <w:b/>
          <w:sz w:val="18"/>
          <w:szCs w:val="18"/>
        </w:rPr>
        <w:t>Note:</w:t>
      </w:r>
      <w:r w:rsidRPr="00A14EC8">
        <w:rPr>
          <w:rFonts w:ascii="Times New Roman" w:hAnsi="Times New Roman" w:cs="Times New Roman"/>
          <w:sz w:val="18"/>
          <w:szCs w:val="18"/>
        </w:rPr>
        <w:t xml:space="preserve"> </w:t>
      </w:r>
      <w:r w:rsidRPr="00C317EC">
        <w:rPr>
          <w:rFonts w:ascii="Times New Roman" w:hAnsi="Times New Roman" w:cs="Times New Roman"/>
          <w:sz w:val="18"/>
          <w:szCs w:val="18"/>
        </w:rPr>
        <w:t xml:space="preserve">red: </w:t>
      </w:r>
      <m:oMath>
        <m:sSub>
          <m:sSubPr>
            <m:ctrlPr>
              <w:rPr>
                <w:rFonts w:ascii="Cambria Math" w:hAnsi="Cambria Math" w:cs="Times New Roman"/>
                <w:i/>
                <w:sz w:val="18"/>
                <w:szCs w:val="18"/>
                <w:lang w:val="es-ES"/>
              </w:rPr>
            </m:ctrlPr>
          </m:sSubPr>
          <m:e>
            <m:r>
              <w:rPr>
                <w:rFonts w:ascii="Cambria Math" w:hAnsi="Cambria Math" w:cs="Times New Roman"/>
                <w:sz w:val="18"/>
                <w:szCs w:val="18"/>
                <w:lang w:val="es-ES"/>
              </w:rPr>
              <m:t>CPU</m:t>
            </m:r>
            <m:r>
              <w:rPr>
                <w:rFonts w:ascii="Cambria Math" w:hAnsi="Cambria Math" w:cs="Times New Roman"/>
                <w:sz w:val="18"/>
                <w:szCs w:val="18"/>
              </w:rPr>
              <m:t>_</m:t>
            </m:r>
            <m:r>
              <w:rPr>
                <w:rFonts w:ascii="Cambria Math" w:hAnsi="Cambria Math" w:cs="Times New Roman"/>
                <w:sz w:val="18"/>
                <w:szCs w:val="18"/>
                <w:lang w:val="es-ES"/>
              </w:rPr>
              <m:t>LR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  <w:lang w:val="es-ES"/>
              </w:rPr>
              <m:t>t</m:t>
            </m:r>
            <m:r>
              <w:rPr>
                <w:rFonts w:ascii="Cambria Math" w:hAnsi="Cambria Math" w:cs="Times New Roman"/>
                <w:sz w:val="18"/>
                <w:szCs w:val="18"/>
              </w:rPr>
              <m:t>,</m:t>
            </m:r>
            <m:r>
              <w:rPr>
                <w:rFonts w:ascii="Cambria Math" w:hAnsi="Cambria Math" w:cs="Times New Roman"/>
                <w:sz w:val="18"/>
                <w:szCs w:val="18"/>
                <w:lang w:val="es-ES"/>
              </w:rPr>
              <m:t>i</m:t>
            </m:r>
          </m:sub>
        </m:sSub>
      </m:oMath>
      <w:r w:rsidRPr="00C317EC">
        <w:rPr>
          <w:rFonts w:ascii="Times New Roman" w:hAnsi="Times New Roman" w:cs="Times New Roman"/>
          <w:sz w:val="18"/>
          <w:szCs w:val="18"/>
        </w:rPr>
        <w:t xml:space="preserve"> higher than 100%; green: </w:t>
      </w:r>
      <m:oMath>
        <m:sSub>
          <m:sSubPr>
            <m:ctrlPr>
              <w:rPr>
                <w:rFonts w:ascii="Cambria Math" w:hAnsi="Cambria Math" w:cs="Times New Roman"/>
                <w:i/>
                <w:sz w:val="18"/>
                <w:szCs w:val="18"/>
                <w:lang w:val="es-ES"/>
              </w:rPr>
            </m:ctrlPr>
          </m:sSubPr>
          <m:e>
            <m:r>
              <w:rPr>
                <w:rFonts w:ascii="Cambria Math" w:hAnsi="Cambria Math" w:cs="Times New Roman"/>
                <w:sz w:val="18"/>
                <w:szCs w:val="18"/>
                <w:lang w:val="es-ES"/>
              </w:rPr>
              <m:t>CPU</m:t>
            </m:r>
            <m:r>
              <w:rPr>
                <w:rFonts w:ascii="Cambria Math" w:hAnsi="Cambria Math" w:cs="Times New Roman"/>
                <w:sz w:val="18"/>
                <w:szCs w:val="18"/>
              </w:rPr>
              <m:t>_</m:t>
            </m:r>
            <m:r>
              <w:rPr>
                <w:rFonts w:ascii="Cambria Math" w:hAnsi="Cambria Math" w:cs="Times New Roman"/>
                <w:sz w:val="18"/>
                <w:szCs w:val="18"/>
                <w:lang w:val="es-ES"/>
              </w:rPr>
              <m:t>LR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  <w:lang w:val="es-ES"/>
              </w:rPr>
              <m:t>t</m:t>
            </m:r>
            <m:r>
              <w:rPr>
                <w:rFonts w:ascii="Cambria Math" w:hAnsi="Cambria Math" w:cs="Times New Roman"/>
                <w:sz w:val="18"/>
                <w:szCs w:val="18"/>
              </w:rPr>
              <m:t>,</m:t>
            </m:r>
            <m:r>
              <w:rPr>
                <w:rFonts w:ascii="Cambria Math" w:hAnsi="Cambria Math" w:cs="Times New Roman"/>
                <w:sz w:val="18"/>
                <w:szCs w:val="18"/>
                <w:lang w:val="es-ES"/>
              </w:rPr>
              <m:t>i</m:t>
            </m:r>
          </m:sub>
        </m:sSub>
      </m:oMath>
      <w:r w:rsidRPr="00C317EC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 w:rsidRPr="00C317EC">
        <w:rPr>
          <w:rFonts w:ascii="Times New Roman" w:hAnsi="Times New Roman" w:cs="Times New Roman"/>
          <w:sz w:val="18"/>
          <w:szCs w:val="18"/>
        </w:rPr>
        <w:t xml:space="preserve">between the legal minimum according to the scheme (90% for HPE operating in the </w:t>
      </w:r>
      <w:r>
        <w:rPr>
          <w:rFonts w:ascii="Times New Roman" w:hAnsi="Times New Roman" w:cs="Times New Roman"/>
          <w:sz w:val="18"/>
          <w:szCs w:val="18"/>
        </w:rPr>
        <w:t>CS</w:t>
      </w:r>
      <w:r w:rsidRPr="00C317EC">
        <w:rPr>
          <w:rFonts w:ascii="Times New Roman" w:hAnsi="Times New Roman" w:cs="Times New Roman"/>
          <w:sz w:val="18"/>
          <w:szCs w:val="18"/>
        </w:rPr>
        <w:t xml:space="preserve"> and 92% for HPE operating in the </w:t>
      </w:r>
      <w:r>
        <w:rPr>
          <w:rFonts w:ascii="Times New Roman" w:hAnsi="Times New Roman" w:cs="Times New Roman"/>
          <w:sz w:val="18"/>
          <w:szCs w:val="18"/>
        </w:rPr>
        <w:t>S</w:t>
      </w:r>
      <w:r w:rsidRPr="00C317EC">
        <w:rPr>
          <w:rFonts w:ascii="Times New Roman" w:hAnsi="Times New Roman" w:cs="Times New Roman"/>
          <w:sz w:val="18"/>
          <w:szCs w:val="18"/>
        </w:rPr>
        <w:t>S and mixed) and 100</w:t>
      </w:r>
      <w:r w:rsidRPr="00A14EC8">
        <w:rPr>
          <w:rFonts w:ascii="Times New Roman" w:hAnsi="Times New Roman" w:cs="Times New Roman"/>
          <w:sz w:val="18"/>
          <w:szCs w:val="18"/>
        </w:rPr>
        <w:t xml:space="preserve">%; grey: </w:t>
      </w:r>
      <m:oMath>
        <m:sSub>
          <m:sSubPr>
            <m:ctrlPr>
              <w:rPr>
                <w:rFonts w:ascii="Cambria Math" w:hAnsi="Cambria Math" w:cs="Times New Roman"/>
                <w:i/>
                <w:sz w:val="18"/>
                <w:szCs w:val="18"/>
                <w:lang w:val="es-ES"/>
              </w:rPr>
            </m:ctrlPr>
          </m:sSubPr>
          <m:e>
            <m:r>
              <w:rPr>
                <w:rFonts w:ascii="Cambria Math" w:hAnsi="Cambria Math" w:cs="Times New Roman"/>
                <w:sz w:val="18"/>
                <w:szCs w:val="18"/>
                <w:lang w:val="es-ES"/>
              </w:rPr>
              <m:t>CPU</m:t>
            </m:r>
            <m:r>
              <w:rPr>
                <w:rFonts w:ascii="Cambria Math" w:hAnsi="Cambria Math" w:cs="Times New Roman"/>
                <w:sz w:val="18"/>
                <w:szCs w:val="18"/>
              </w:rPr>
              <m:t>_</m:t>
            </m:r>
            <m:r>
              <w:rPr>
                <w:rFonts w:ascii="Cambria Math" w:hAnsi="Cambria Math" w:cs="Times New Roman"/>
                <w:sz w:val="18"/>
                <w:szCs w:val="18"/>
                <w:lang w:val="es-ES"/>
              </w:rPr>
              <m:t>LR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  <w:lang w:val="es-ES"/>
              </w:rPr>
              <m:t>t</m:t>
            </m:r>
            <m:r>
              <w:rPr>
                <w:rFonts w:ascii="Cambria Math" w:hAnsi="Cambria Math" w:cs="Times New Roman"/>
                <w:sz w:val="18"/>
                <w:szCs w:val="18"/>
              </w:rPr>
              <m:t>,</m:t>
            </m:r>
            <m:r>
              <w:rPr>
                <w:rFonts w:ascii="Cambria Math" w:hAnsi="Cambria Math" w:cs="Times New Roman"/>
                <w:sz w:val="18"/>
                <w:szCs w:val="18"/>
                <w:lang w:val="es-ES"/>
              </w:rPr>
              <m:t>i</m:t>
            </m:r>
          </m:sub>
        </m:sSub>
      </m:oMath>
      <w:r w:rsidRPr="00A14EC8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 w:rsidRPr="00A14EC8">
        <w:rPr>
          <w:rFonts w:ascii="Times New Roman" w:hAnsi="Times New Roman" w:cs="Times New Roman"/>
          <w:sz w:val="18"/>
          <w:szCs w:val="18"/>
        </w:rPr>
        <w:t xml:space="preserve">lower than the </w:t>
      </w:r>
      <w:r>
        <w:rPr>
          <w:rFonts w:ascii="Times New Roman" w:hAnsi="Times New Roman" w:cs="Times New Roman"/>
          <w:sz w:val="18"/>
          <w:szCs w:val="18"/>
        </w:rPr>
        <w:t xml:space="preserve">imposed </w:t>
      </w:r>
      <w:r w:rsidRPr="00A14EC8">
        <w:rPr>
          <w:rFonts w:ascii="Times New Roman" w:hAnsi="Times New Roman" w:cs="Times New Roman"/>
          <w:sz w:val="18"/>
          <w:szCs w:val="18"/>
        </w:rPr>
        <w:t>legal minimum; orange: no information (N.I.) –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A14EC8">
        <w:rPr>
          <w:rFonts w:ascii="Times New Roman" w:hAnsi="Times New Roman" w:cs="Times New Roman"/>
          <w:sz w:val="18"/>
          <w:szCs w:val="18"/>
        </w:rPr>
        <w:t xml:space="preserve">either because </w:t>
      </w:r>
      <w:r>
        <w:rPr>
          <w:rFonts w:ascii="Times New Roman" w:hAnsi="Times New Roman" w:cs="Times New Roman"/>
          <w:sz w:val="18"/>
          <w:szCs w:val="18"/>
        </w:rPr>
        <w:t>the HPE’s</w:t>
      </w:r>
      <w:r w:rsidRPr="00A14EC8">
        <w:rPr>
          <w:rFonts w:ascii="Times New Roman" w:hAnsi="Times New Roman" w:cs="Times New Roman"/>
          <w:sz w:val="18"/>
          <w:szCs w:val="18"/>
        </w:rPr>
        <w:t xml:space="preserve"> information report is inconsistent or because it is </w:t>
      </w:r>
      <w:r>
        <w:rPr>
          <w:rFonts w:ascii="Times New Roman" w:hAnsi="Times New Roman" w:cs="Times New Roman"/>
          <w:sz w:val="18"/>
          <w:szCs w:val="18"/>
        </w:rPr>
        <w:t xml:space="preserve">in </w:t>
      </w:r>
      <w:r w:rsidRPr="00A14EC8">
        <w:rPr>
          <w:rFonts w:ascii="Times New Roman" w:hAnsi="Times New Roman" w:cs="Times New Roman"/>
          <w:sz w:val="18"/>
          <w:szCs w:val="18"/>
        </w:rPr>
        <w:t>liquidat</w:t>
      </w:r>
      <w:r>
        <w:rPr>
          <w:rFonts w:ascii="Times New Roman" w:hAnsi="Times New Roman" w:cs="Times New Roman"/>
          <w:sz w:val="18"/>
          <w:szCs w:val="18"/>
        </w:rPr>
        <w:t>ion</w:t>
      </w:r>
      <w:r w:rsidRPr="00A14EC8">
        <w:rPr>
          <w:rFonts w:ascii="Times New Roman" w:hAnsi="Times New Roman" w:cs="Times New Roman"/>
          <w:sz w:val="18"/>
          <w:szCs w:val="18"/>
        </w:rPr>
        <w:t>.</w:t>
      </w:r>
      <w:bookmarkStart w:id="2" w:name="_GoBack"/>
      <w:bookmarkEnd w:id="2"/>
    </w:p>
    <w:sectPr w:rsidR="007271AC" w:rsidSect="009F6DD9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725D" w:rsidRDefault="0072725D" w:rsidP="009F6DD9">
      <w:pPr>
        <w:spacing w:after="0" w:line="240" w:lineRule="auto"/>
      </w:pPr>
      <w:r>
        <w:separator/>
      </w:r>
    </w:p>
  </w:endnote>
  <w:endnote w:type="continuationSeparator" w:id="0">
    <w:p w:rsidR="0072725D" w:rsidRDefault="0072725D" w:rsidP="009F6D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725D" w:rsidRDefault="0072725D" w:rsidP="009F6DD9">
      <w:pPr>
        <w:spacing w:after="0" w:line="240" w:lineRule="auto"/>
      </w:pPr>
      <w:r>
        <w:separator/>
      </w:r>
    </w:p>
  </w:footnote>
  <w:footnote w:type="continuationSeparator" w:id="0">
    <w:p w:rsidR="0072725D" w:rsidRDefault="0072725D" w:rsidP="009F6DD9">
      <w:pPr>
        <w:spacing w:after="0" w:line="240" w:lineRule="auto"/>
      </w:pPr>
      <w:r>
        <w:continuationSeparator/>
      </w:r>
    </w:p>
  </w:footnote>
  <w:footnote w:id="1">
    <w:p w:rsidR="009F6DD9" w:rsidRPr="00FE1165" w:rsidRDefault="009F6DD9" w:rsidP="009F6DD9">
      <w:pPr>
        <w:pStyle w:val="Textonotapie"/>
        <w:rPr>
          <w:rFonts w:ascii="Times New Roman" w:hAnsi="Times New Roman" w:cs="Times New Roman"/>
          <w:sz w:val="18"/>
          <w:szCs w:val="18"/>
          <w:lang w:val="en-US"/>
        </w:rPr>
      </w:pPr>
      <w:r w:rsidRPr="00FE1165">
        <w:rPr>
          <w:rStyle w:val="Refdenotaalpie"/>
          <w:rFonts w:ascii="Times New Roman" w:hAnsi="Times New Roman" w:cs="Times New Roman"/>
        </w:rPr>
        <w:footnoteRef/>
      </w:r>
      <w:r w:rsidRPr="00FE116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bookmarkStart w:id="1" w:name="_Hlk126742070"/>
      <w:r w:rsidRPr="00FE1165">
        <w:rPr>
          <w:rFonts w:ascii="Times New Roman" w:hAnsi="Times New Roman" w:cs="Times New Roman"/>
          <w:sz w:val="18"/>
          <w:szCs w:val="18"/>
          <w:lang w:val="en-US"/>
        </w:rPr>
        <w:t>Available information as of September 2021.</w:t>
      </w:r>
      <w:bookmarkEnd w:id="1"/>
    </w:p>
  </w:footnote>
  <w:footnote w:id="2">
    <w:p w:rsidR="009F6DD9" w:rsidRPr="00FE1165" w:rsidRDefault="009F6DD9" w:rsidP="009F6DD9">
      <w:pPr>
        <w:pStyle w:val="Textonotapie"/>
        <w:rPr>
          <w:rFonts w:ascii="Times New Roman" w:hAnsi="Times New Roman" w:cs="Times New Roman"/>
          <w:lang w:val="en-US"/>
        </w:rPr>
      </w:pPr>
      <w:r w:rsidRPr="00FE1165">
        <w:rPr>
          <w:rStyle w:val="Refdenotaalpie"/>
          <w:rFonts w:ascii="Times New Roman" w:hAnsi="Times New Roman" w:cs="Times New Roman"/>
        </w:rPr>
        <w:footnoteRef/>
      </w:r>
      <w:r w:rsidRPr="00FE1165">
        <w:rPr>
          <w:rFonts w:ascii="Times New Roman" w:hAnsi="Times New Roman" w:cs="Times New Roman"/>
          <w:lang w:val="en-US"/>
        </w:rPr>
        <w:t xml:space="preserve"> </w:t>
      </w:r>
      <w:r w:rsidRPr="00FE1165">
        <w:rPr>
          <w:rFonts w:ascii="Times New Roman" w:hAnsi="Times New Roman" w:cs="Times New Roman"/>
          <w:sz w:val="18"/>
          <w:szCs w:val="18"/>
          <w:lang w:val="en-US"/>
        </w:rPr>
        <w:t>Available information as of September 2020.</w:t>
      </w:r>
    </w:p>
  </w:footnote>
  <w:footnote w:id="3">
    <w:p w:rsidR="009F6DD9" w:rsidRPr="00FE1165" w:rsidRDefault="009F6DD9" w:rsidP="009F6DD9">
      <w:pPr>
        <w:pStyle w:val="Textonotapie"/>
        <w:rPr>
          <w:rFonts w:ascii="Times New Roman" w:hAnsi="Times New Roman" w:cs="Times New Roman"/>
          <w:lang w:val="en-US"/>
        </w:rPr>
      </w:pPr>
      <w:r w:rsidRPr="00FE1165">
        <w:rPr>
          <w:rStyle w:val="Refdenotaalpie"/>
          <w:rFonts w:ascii="Times New Roman" w:hAnsi="Times New Roman" w:cs="Times New Roman"/>
        </w:rPr>
        <w:footnoteRef/>
      </w:r>
      <w:r w:rsidRPr="00FE1165">
        <w:rPr>
          <w:rFonts w:ascii="Times New Roman" w:hAnsi="Times New Roman" w:cs="Times New Roman"/>
          <w:sz w:val="18"/>
          <w:szCs w:val="18"/>
          <w:lang w:val="en-US"/>
        </w:rPr>
        <w:t xml:space="preserve"> Available information as of September 2020.</w:t>
      </w:r>
    </w:p>
  </w:footnote>
  <w:footnote w:id="4">
    <w:p w:rsidR="009F6DD9" w:rsidRPr="00FE1165" w:rsidRDefault="009F6DD9" w:rsidP="009F6DD9">
      <w:pPr>
        <w:pStyle w:val="Textonotapie"/>
        <w:rPr>
          <w:rFonts w:ascii="Times New Roman" w:hAnsi="Times New Roman" w:cs="Times New Roman"/>
          <w:lang w:val="en-US"/>
        </w:rPr>
      </w:pPr>
      <w:r w:rsidRPr="00FE1165">
        <w:rPr>
          <w:rStyle w:val="Refdenotaalpie"/>
          <w:rFonts w:ascii="Times New Roman" w:hAnsi="Times New Roman" w:cs="Times New Roman"/>
        </w:rPr>
        <w:footnoteRef/>
      </w:r>
      <w:r w:rsidRPr="00FE1165">
        <w:rPr>
          <w:rFonts w:ascii="Times New Roman" w:hAnsi="Times New Roman" w:cs="Times New Roman"/>
          <w:lang w:val="en-US"/>
        </w:rPr>
        <w:t xml:space="preserve"> </w:t>
      </w:r>
      <w:r w:rsidRPr="00FE1165">
        <w:rPr>
          <w:rFonts w:ascii="Times New Roman" w:hAnsi="Times New Roman" w:cs="Times New Roman"/>
          <w:sz w:val="18"/>
          <w:szCs w:val="18"/>
          <w:lang w:val="en-US"/>
        </w:rPr>
        <w:t>Available information as of March 2021.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DD9"/>
    <w:rsid w:val="007271AC"/>
    <w:rsid w:val="0072725D"/>
    <w:rsid w:val="009F6DD9"/>
    <w:rsid w:val="00BE7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DA5D7B-42CC-43A5-BCD5-D66667B3E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6D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9F6DD9"/>
    <w:pPr>
      <w:spacing w:after="0" w:line="240" w:lineRule="auto"/>
    </w:pPr>
    <w:rPr>
      <w:rFonts w:ascii="Arial" w:eastAsia="Arial" w:hAnsi="Arial" w:cs="Arial"/>
      <w:sz w:val="20"/>
      <w:szCs w:val="20"/>
      <w:lang w:val="es-CO" w:eastAsia="es-CO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9F6DD9"/>
    <w:rPr>
      <w:rFonts w:ascii="Arial" w:eastAsia="Arial" w:hAnsi="Arial" w:cs="Arial"/>
      <w:sz w:val="20"/>
      <w:szCs w:val="20"/>
      <w:lang w:val="es-CO" w:eastAsia="es-CO"/>
    </w:rPr>
  </w:style>
  <w:style w:type="character" w:styleId="Refdenotaalpie">
    <w:name w:val="footnote reference"/>
    <w:basedOn w:val="Fuentedeprrafopredeter"/>
    <w:uiPriority w:val="99"/>
    <w:semiHidden/>
    <w:unhideWhenUsed/>
    <w:rsid w:val="009F6DD9"/>
    <w:rPr>
      <w:vertAlign w:val="superscript"/>
    </w:rPr>
  </w:style>
  <w:style w:type="paragraph" w:styleId="Descripcin">
    <w:name w:val="caption"/>
    <w:basedOn w:val="Normal"/>
    <w:next w:val="Normal"/>
    <w:autoRedefine/>
    <w:uiPriority w:val="35"/>
    <w:unhideWhenUsed/>
    <w:qFormat/>
    <w:rsid w:val="009F6DD9"/>
    <w:pPr>
      <w:keepNext/>
      <w:spacing w:after="0" w:line="240" w:lineRule="auto"/>
      <w:jc w:val="center"/>
    </w:pPr>
    <w:rPr>
      <w:rFonts w:ascii="Times New Roman" w:hAnsi="Times New Roman" w:cs="Times New Roman"/>
      <w:b/>
      <w:bCs/>
      <w:iCs/>
      <w:sz w:val="24"/>
      <w:szCs w:val="24"/>
      <w:lang w:val="es-CO"/>
    </w:rPr>
  </w:style>
  <w:style w:type="table" w:styleId="Cuadrculadetablaclara">
    <w:name w:val="Grid Table Light"/>
    <w:basedOn w:val="Tablanormal"/>
    <w:uiPriority w:val="40"/>
    <w:rsid w:val="009F6DD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730</Words>
  <Characters>4161</Characters>
  <Application>Microsoft Office Word</Application>
  <DocSecurity>0</DocSecurity>
  <Lines>34</Lines>
  <Paragraphs>9</Paragraphs>
  <ScaleCrop>false</ScaleCrop>
  <Company/>
  <LinksUpToDate>false</LinksUpToDate>
  <CharactersWithSpaces>4882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2023-02-20T22:48:00Z</dcterms:created>
  <dcterms:modified xsi:type="dcterms:W3CDTF">2023-02-20T22:48:00Z</dcterms:modified>
</cp:coreProperties>
</file>