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80"/>
        <w:rPr>
          <w:rFonts w:ascii="Times New Roman" w:hAnsi="Times New Roman"/>
          <w:b/>
          <w:b/>
          <w:bCs/>
          <w:sz w:val="20"/>
          <w:szCs w:val="20"/>
        </w:rPr>
      </w:pPr>
      <w:r>
        <w:rPr>
          <w:rFonts w:ascii="Times New Roman" w:hAnsi="Times New Roman"/>
          <w:b/>
          <w:bCs/>
          <w:sz w:val="20"/>
          <w:szCs w:val="20"/>
        </w:rPr>
        <w:t>SUPPLEMENTARY MATERIAL</w:t>
      </w:r>
    </w:p>
    <w:p>
      <w:pPr>
        <w:pStyle w:val="Normal"/>
        <w:spacing w:lineRule="auto" w:line="480"/>
        <w:rPr>
          <w:rFonts w:ascii="Times New Roman" w:hAnsi="Times New Roman"/>
          <w:sz w:val="20"/>
          <w:szCs w:val="20"/>
        </w:rPr>
      </w:pPr>
      <w:r>
        <w:rPr>
          <w:rFonts w:ascii="Times New Roman" w:hAnsi="Times New Roman"/>
          <w:b/>
          <w:bCs/>
          <w:sz w:val="20"/>
          <w:szCs w:val="20"/>
        </w:rPr>
        <w:t xml:space="preserve">Table S1 </w:t>
      </w:r>
      <w:r>
        <w:rPr>
          <w:rFonts w:ascii="Times New Roman" w:hAnsi="Times New Roman"/>
          <w:sz w:val="20"/>
          <w:szCs w:val="20"/>
        </w:rPr>
        <w:t xml:space="preserve">Parameters used to estimate the body mass of invertebrates collected in the Middle Xingu River. Invertebrates length were either measured in our study or estimated from the literature (see Size reference). Length measurements were converted to dry weight using the formula proposed </w:t>
      </w:r>
      <w:r>
        <w:rPr>
          <w:rFonts w:cs="Calibri" w:ascii="Times New Roman" w:hAnsi="Times New Roman" w:cstheme="minorHAnsi"/>
          <w:sz w:val="20"/>
          <w:szCs w:val="20"/>
        </w:rPr>
        <w:t xml:space="preserve">by Keys 1928: </w:t>
      </w:r>
      <w:r>
        <w:rPr>
          <w:rFonts w:ascii="Times New Roman" w:hAnsi="Times New Roman"/>
          <w:sz w:val="20"/>
          <w:szCs w:val="20"/>
        </w:rPr>
      </w:r>
      <m:oMath xmlns:m="http://schemas.openxmlformats.org/officeDocument/2006/math">
        <m:sSub>
          <m:e>
            <m:r>
              <w:rPr>
                <w:rFonts w:ascii="Cambria Math" w:hAnsi="Cambria Math"/>
              </w:rPr>
              <m:t xml:space="preserve">W</m:t>
            </m:r>
          </m:e>
          <m:sub>
            <m:r>
              <w:rPr>
                <w:rFonts w:ascii="Cambria Math" w:hAnsi="Cambria Math"/>
              </w:rPr>
              <m:t xml:space="preserve">i</m:t>
            </m:r>
          </m:sub>
        </m:sSub>
        <m:r>
          <w:rPr>
            <w:rFonts w:ascii="Cambria Math" w:hAnsi="Cambria Math"/>
          </w:rPr>
          <m:t xml:space="preserve">=</m:t>
        </m:r>
        <m:r>
          <w:rPr>
            <w:rFonts w:ascii="Cambria Math" w:hAnsi="Cambria Math"/>
          </w:rPr>
          <m:t xml:space="preserve">a</m:t>
        </m:r>
        <m:sSubSup>
          <m:e>
            <m:r>
              <w:rPr>
                <w:rFonts w:ascii="Cambria Math" w:hAnsi="Cambria Math"/>
              </w:rPr>
              <m:t xml:space="preserve">L</m:t>
            </m:r>
          </m:e>
          <m:sub>
            <m:r>
              <w:rPr>
                <w:rFonts w:ascii="Cambria Math" w:hAnsi="Cambria Math"/>
              </w:rPr>
              <m:t xml:space="preserve">i</m:t>
            </m:r>
          </m:sub>
          <m:sup>
            <m:r>
              <w:rPr>
                <w:rFonts w:ascii="Cambria Math" w:hAnsi="Cambria Math"/>
              </w:rPr>
              <m:t xml:space="preserve">b</m:t>
            </m:r>
          </m:sup>
        </m:sSubSup>
      </m:oMath>
      <w:r>
        <w:rPr>
          <w:rFonts w:cs="Calibri" w:ascii="Times New Roman" w:hAnsi="Times New Roman" w:cstheme="minorHAnsi"/>
          <w:b/>
          <w:bCs/>
          <w:sz w:val="20"/>
          <w:szCs w:val="20"/>
        </w:rPr>
        <w:t xml:space="preserve"> </w:t>
      </w:r>
      <w:r>
        <w:rPr>
          <w:rFonts w:cs="Calibri" w:ascii="Times New Roman" w:hAnsi="Times New Roman" w:cstheme="minorHAnsi"/>
          <w:sz w:val="20"/>
          <w:szCs w:val="20"/>
        </w:rPr>
        <w:t xml:space="preserve">, </w:t>
      </w:r>
      <w:r>
        <w:rPr>
          <w:rFonts w:eastAsia="" w:cs="Calibri" w:ascii="Times New Roman" w:hAnsi="Times New Roman" w:cstheme="minorHAnsi" w:eastAsiaTheme="minorEastAsia"/>
          <w:sz w:val="20"/>
          <w:szCs w:val="20"/>
        </w:rPr>
        <w:t xml:space="preserve">where </w:t>
      </w:r>
      <w:r>
        <w:rPr>
          <w:rFonts w:ascii="Times New Roman" w:hAnsi="Times New Roman"/>
          <w:sz w:val="20"/>
          <w:szCs w:val="20"/>
        </w:rPr>
      </w:r>
      <m:oMath xmlns:m="http://schemas.openxmlformats.org/officeDocument/2006/math">
        <m:sSub>
          <m:e>
            <m:r>
              <w:rPr>
                <w:rFonts w:ascii="Cambria Math" w:hAnsi="Cambria Math"/>
              </w:rPr>
              <m:t xml:space="preserve">W</m:t>
            </m:r>
          </m:e>
          <m:sub>
            <m:r>
              <w:rPr>
                <w:rFonts w:ascii="Cambria Math" w:hAnsi="Cambria Math"/>
              </w:rPr>
              <m:t xml:space="preserve">i</m:t>
            </m:r>
          </m:sub>
        </m:sSub>
      </m:oMath>
      <w:r>
        <w:rPr>
          <w:rFonts w:eastAsia="" w:cs="Calibri" w:ascii="Times New Roman" w:hAnsi="Times New Roman" w:cstheme="minorHAnsi" w:eastAsiaTheme="minorEastAsia"/>
          <w:sz w:val="20"/>
          <w:szCs w:val="20"/>
        </w:rPr>
        <w:t xml:space="preserve"> is the weight of individual </w:t>
      </w:r>
      <w:r>
        <w:rPr>
          <w:rFonts w:eastAsia="" w:cs="Calibri" w:ascii="Times New Roman" w:hAnsi="Times New Roman" w:cstheme="minorHAnsi" w:eastAsiaTheme="minorEastAsia"/>
          <w:i/>
          <w:iCs/>
          <w:sz w:val="20"/>
          <w:szCs w:val="20"/>
        </w:rPr>
        <w:t>i</w:t>
      </w:r>
      <w:r>
        <w:rPr>
          <w:rFonts w:eastAsia="" w:cs="Calibri" w:ascii="Times New Roman" w:hAnsi="Times New Roman" w:cstheme="minorHAnsi" w:eastAsiaTheme="minorEastAsia"/>
          <w:sz w:val="20"/>
          <w:szCs w:val="20"/>
        </w:rPr>
        <w:t xml:space="preserve">, </w:t>
      </w:r>
      <w:r>
        <w:rPr>
          <w:rFonts w:ascii="Times New Roman" w:hAnsi="Times New Roman"/>
          <w:sz w:val="20"/>
          <w:szCs w:val="20"/>
        </w:rPr>
      </w:r>
      <m:oMath xmlns:m="http://schemas.openxmlformats.org/officeDocument/2006/math">
        <m:sSub>
          <m:e>
            <m:r>
              <w:rPr>
                <w:rFonts w:ascii="Cambria Math" w:hAnsi="Cambria Math"/>
              </w:rPr>
              <m:t xml:space="preserve">L</m:t>
            </m:r>
          </m:e>
          <m:sub>
            <m:r>
              <w:rPr>
                <w:rFonts w:ascii="Cambria Math" w:hAnsi="Cambria Math"/>
              </w:rPr>
              <m:t xml:space="preserve">i</m:t>
            </m:r>
          </m:sub>
        </m:sSub>
      </m:oMath>
      <w:r>
        <w:rPr>
          <w:rFonts w:eastAsia="" w:cs="Calibri" w:ascii="Times New Roman" w:hAnsi="Times New Roman" w:cstheme="minorHAnsi" w:eastAsiaTheme="minorEastAsia"/>
          <w:sz w:val="20"/>
          <w:szCs w:val="20"/>
        </w:rPr>
        <w:t xml:space="preserve">is the length of individual </w:t>
      </w:r>
      <w:r>
        <w:rPr>
          <w:rFonts w:eastAsia="" w:cs="Calibri" w:ascii="Times New Roman" w:hAnsi="Times New Roman" w:cstheme="minorHAnsi" w:eastAsiaTheme="minorEastAsia"/>
          <w:i/>
          <w:iCs/>
          <w:sz w:val="20"/>
          <w:szCs w:val="20"/>
        </w:rPr>
        <w:t>i</w:t>
      </w:r>
      <w:r>
        <w:rPr>
          <w:rFonts w:eastAsia="" w:cs="Calibri" w:ascii="Times New Roman" w:hAnsi="Times New Roman" w:cstheme="minorHAnsi" w:eastAsiaTheme="minorEastAsia"/>
          <w:sz w:val="20"/>
          <w:szCs w:val="20"/>
        </w:rPr>
        <w:t xml:space="preserve">, and </w:t>
      </w:r>
      <w:r>
        <w:rPr>
          <w:rFonts w:eastAsia="" w:cs="Calibri" w:ascii="Times New Roman" w:hAnsi="Times New Roman" w:cstheme="minorHAnsi" w:eastAsiaTheme="minorEastAsia"/>
          <w:i/>
          <w:iCs/>
          <w:sz w:val="20"/>
          <w:szCs w:val="20"/>
        </w:rPr>
        <w:t>a</w:t>
      </w:r>
      <w:r>
        <w:rPr>
          <w:rFonts w:eastAsia="" w:cs="Calibri" w:ascii="Times New Roman" w:hAnsi="Times New Roman" w:cstheme="minorHAnsi" w:eastAsiaTheme="minorEastAsia"/>
          <w:sz w:val="20"/>
          <w:szCs w:val="20"/>
        </w:rPr>
        <w:t xml:space="preserve"> and </w:t>
      </w:r>
      <w:r>
        <w:rPr>
          <w:rFonts w:eastAsia="" w:cs="Calibri" w:ascii="Times New Roman" w:hAnsi="Times New Roman" w:cstheme="minorHAnsi" w:eastAsiaTheme="minorEastAsia"/>
          <w:i/>
          <w:iCs/>
          <w:sz w:val="20"/>
          <w:szCs w:val="20"/>
        </w:rPr>
        <w:t xml:space="preserve">b </w:t>
      </w:r>
      <w:r>
        <w:rPr>
          <w:rFonts w:eastAsia="" w:cs="Calibri" w:ascii="Times New Roman" w:hAnsi="Times New Roman" w:cstheme="minorHAnsi" w:eastAsiaTheme="minorEastAsia"/>
          <w:sz w:val="20"/>
          <w:szCs w:val="20"/>
        </w:rPr>
        <w:t xml:space="preserve">are the intercept and slope, respectively, of the logarithmic form of the length-weight relationship of individual i’s population. Parameters a and b were obtained from the literature and listed below </w:t>
      </w:r>
      <w:r>
        <w:rPr>
          <w:rFonts w:ascii="Times New Roman" w:hAnsi="Times New Roman"/>
          <w:sz w:val="20"/>
          <w:szCs w:val="20"/>
        </w:rPr>
        <w:t>(see Par a, Par b, and LWR reference). Dry weight were later converted into wet weight using Dry weight-Weight ratios obtained from the literature (See Dry weight %, and Dry weight % - Reference).</w:t>
      </w:r>
    </w:p>
    <w:tbl>
      <w:tblPr>
        <w:tblW w:w="1251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419"/>
        <w:gridCol w:w="961"/>
        <w:gridCol w:w="959"/>
        <w:gridCol w:w="1880"/>
        <w:gridCol w:w="1901"/>
        <w:gridCol w:w="1520"/>
        <w:gridCol w:w="2869"/>
      </w:tblGrid>
      <w:tr>
        <w:trPr>
          <w:tblHeader w:val="true"/>
          <w:trHeight w:val="288" w:hRule="atLeast"/>
        </w:trPr>
        <w:tc>
          <w:tcPr>
            <w:tcW w:w="2419" w:type="dxa"/>
            <w:tcBorders/>
            <w:shd w:color="000000" w:fill="5B9BD5"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Order, Family, Species</w:t>
            </w:r>
          </w:p>
        </w:tc>
        <w:tc>
          <w:tcPr>
            <w:tcW w:w="961" w:type="dxa"/>
            <w:tcBorders/>
            <w:shd w:color="000000" w:fill="5B9BD5"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Par a</w:t>
            </w:r>
          </w:p>
        </w:tc>
        <w:tc>
          <w:tcPr>
            <w:tcW w:w="959" w:type="dxa"/>
            <w:tcBorders/>
            <w:shd w:color="000000" w:fill="5B9BD5"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Par b</w:t>
            </w:r>
          </w:p>
        </w:tc>
        <w:tc>
          <w:tcPr>
            <w:tcW w:w="1880" w:type="dxa"/>
            <w:tcBorders/>
            <w:shd w:color="000000" w:fill="5B9BD5"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Size reference</w:t>
            </w:r>
          </w:p>
        </w:tc>
        <w:tc>
          <w:tcPr>
            <w:tcW w:w="1901" w:type="dxa"/>
            <w:tcBorders/>
            <w:shd w:color="000000" w:fill="5B9BD5"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LWR reference</w:t>
            </w:r>
          </w:p>
        </w:tc>
        <w:tc>
          <w:tcPr>
            <w:tcW w:w="1520" w:type="dxa"/>
            <w:tcBorders/>
            <w:shd w:color="000000" w:fill="5B9BD5"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Dry weight %</w:t>
            </w:r>
          </w:p>
        </w:tc>
        <w:tc>
          <w:tcPr>
            <w:tcW w:w="2869" w:type="dxa"/>
            <w:tcBorders/>
            <w:shd w:color="000000" w:fill="5B9BD5"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xml:space="preserve"> </w:t>
            </w:r>
            <w:r>
              <w:rPr>
                <w:rFonts w:eastAsia="Times New Roman" w:cs="Calibri" w:ascii="Times New Roman" w:hAnsi="Times New Roman"/>
                <w:b/>
                <w:bCs/>
                <w:color w:val="000000"/>
                <w:sz w:val="20"/>
                <w:szCs w:val="20"/>
              </w:rPr>
              <w:t>Dry weight % - Reference</w:t>
            </w:r>
          </w:p>
        </w:tc>
      </w:tr>
      <w:tr>
        <w:trPr>
          <w:trHeight w:val="288" w:hRule="atLeast"/>
        </w:trPr>
        <w:tc>
          <w:tcPr>
            <w:tcW w:w="241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Hirudinea</w:t>
            </w:r>
          </w:p>
        </w:tc>
        <w:tc>
          <w:tcPr>
            <w:tcW w:w="9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95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188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190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15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286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r>
      <w:tr>
        <w:trPr>
          <w:trHeight w:val="288" w:hRule="atLeast"/>
        </w:trPr>
        <w:tc>
          <w:tcPr>
            <w:tcW w:w="241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Hirudinea</w:t>
            </w:r>
          </w:p>
        </w:tc>
        <w:tc>
          <w:tcPr>
            <w:tcW w:w="9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95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188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190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15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286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Hirudinea sp.</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0.004</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2.26</w:t>
            </w:r>
          </w:p>
        </w:tc>
        <w:tc>
          <w:tcPr>
            <w:tcW w:w="1880" w:type="dxa"/>
            <w:tcBorders/>
            <w:shd w:color="auto" w:fill="auto"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Present study</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Hass et al. 2007</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18</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Ricciardi &amp; Bourget 1998</w:t>
            </w:r>
          </w:p>
        </w:tc>
      </w:tr>
      <w:tr>
        <w:trPr>
          <w:trHeight w:val="288" w:hRule="atLeast"/>
        </w:trPr>
        <w:tc>
          <w:tcPr>
            <w:tcW w:w="241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Gastropoda</w:t>
            </w:r>
          </w:p>
        </w:tc>
        <w:tc>
          <w:tcPr>
            <w:tcW w:w="9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A6A6A6"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Pleuroceridae</w:t>
            </w:r>
          </w:p>
        </w:tc>
        <w:tc>
          <w:tcPr>
            <w:tcW w:w="9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D9D9D9"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Doryssa millepunctata</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0.021</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2.961</w:t>
            </w:r>
          </w:p>
        </w:tc>
        <w:tc>
          <w:tcPr>
            <w:tcW w:w="1880" w:type="dxa"/>
            <w:tcBorders/>
            <w:shd w:color="auto" w:fill="auto"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Present study</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Benke et al. 1999</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50</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Zilli et al. 2017</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Doryssa starkii</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0.021</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2.961</w:t>
            </w:r>
          </w:p>
        </w:tc>
        <w:tc>
          <w:tcPr>
            <w:tcW w:w="188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Benke et al. 1999</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Benke et al. 1999</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50</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Zilli et al. 2017</w:t>
            </w:r>
          </w:p>
        </w:tc>
      </w:tr>
      <w:tr>
        <w:trPr>
          <w:trHeight w:val="288" w:hRule="atLeast"/>
        </w:trPr>
        <w:tc>
          <w:tcPr>
            <w:tcW w:w="241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Decapoda</w:t>
            </w:r>
          </w:p>
        </w:tc>
        <w:tc>
          <w:tcPr>
            <w:tcW w:w="9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Pseudothelphusidae</w:t>
            </w:r>
          </w:p>
        </w:tc>
        <w:tc>
          <w:tcPr>
            <w:tcW w:w="9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Kinsleya</w:t>
            </w:r>
            <w:r>
              <w:rPr>
                <w:rFonts w:eastAsia="Times New Roman" w:cs="Calibri" w:ascii="Times New Roman" w:hAnsi="Times New Roman"/>
                <w:color w:val="000000"/>
                <w:sz w:val="20"/>
                <w:szCs w:val="20"/>
              </w:rPr>
              <w:t xml:space="preserve"> cf. </w:t>
            </w:r>
            <w:r>
              <w:rPr>
                <w:rFonts w:eastAsia="Times New Roman" w:cs="Calibri" w:ascii="Times New Roman" w:hAnsi="Times New Roman"/>
                <w:i/>
                <w:iCs/>
                <w:color w:val="000000"/>
                <w:sz w:val="20"/>
                <w:szCs w:val="20"/>
              </w:rPr>
              <w:t>ytupora</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0.051</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2.39</w:t>
            </w:r>
          </w:p>
        </w:tc>
        <w:tc>
          <w:tcPr>
            <w:tcW w:w="1880" w:type="dxa"/>
            <w:tcBorders/>
            <w:shd w:color="auto" w:fill="auto"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Present study</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Costa et al. 2018</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26</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Ricciardi &amp; Bourget 1998</w:t>
            </w:r>
          </w:p>
        </w:tc>
      </w:tr>
      <w:tr>
        <w:trPr>
          <w:trHeight w:val="288" w:hRule="atLeast"/>
        </w:trPr>
        <w:tc>
          <w:tcPr>
            <w:tcW w:w="241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Zooplankton</w:t>
            </w:r>
          </w:p>
        </w:tc>
        <w:tc>
          <w:tcPr>
            <w:tcW w:w="9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A6A6A6"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Zooplankton</w:t>
            </w:r>
          </w:p>
        </w:tc>
        <w:tc>
          <w:tcPr>
            <w:tcW w:w="9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D9D9D9"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Zooplankton *</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5.762</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2.653</w:t>
            </w:r>
          </w:p>
        </w:tc>
        <w:tc>
          <w:tcPr>
            <w:tcW w:w="188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Bonecker et al. 2011</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Bottrell et al. 1976</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24</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Penczak &amp; Pakulska 1984</w:t>
            </w:r>
          </w:p>
        </w:tc>
      </w:tr>
      <w:tr>
        <w:trPr>
          <w:trHeight w:val="288" w:hRule="atLeast"/>
        </w:trPr>
        <w:tc>
          <w:tcPr>
            <w:tcW w:w="241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Diptera</w:t>
            </w:r>
          </w:p>
        </w:tc>
        <w:tc>
          <w:tcPr>
            <w:tcW w:w="9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Chironomidae</w:t>
            </w:r>
          </w:p>
        </w:tc>
        <w:tc>
          <w:tcPr>
            <w:tcW w:w="9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Chironomidae</w:t>
            </w:r>
            <w:r>
              <w:rPr>
                <w:rFonts w:eastAsia="Times New Roman" w:cs="Calibri" w:ascii="Times New Roman" w:hAnsi="Times New Roman"/>
                <w:color w:val="000000"/>
                <w:sz w:val="20"/>
                <w:szCs w:val="20"/>
              </w:rPr>
              <w:t xml:space="preserve"> sp.</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0.002</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2.617</w:t>
            </w:r>
          </w:p>
        </w:tc>
        <w:tc>
          <w:tcPr>
            <w:tcW w:w="1880" w:type="dxa"/>
            <w:tcBorders/>
            <w:shd w:color="auto" w:fill="auto"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Present study</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Benke et al. 1999</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26</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Penczak &amp; Pakulska 1984</w:t>
            </w:r>
          </w:p>
        </w:tc>
      </w:tr>
      <w:tr>
        <w:trPr>
          <w:trHeight w:val="288" w:hRule="atLeast"/>
        </w:trPr>
        <w:tc>
          <w:tcPr>
            <w:tcW w:w="241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Simuliidae</w:t>
            </w:r>
          </w:p>
        </w:tc>
        <w:tc>
          <w:tcPr>
            <w:tcW w:w="9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D9D9D9"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Simulium</w:t>
            </w:r>
            <w:r>
              <w:rPr>
                <w:rFonts w:eastAsia="Times New Roman" w:cs="Calibri" w:ascii="Times New Roman" w:hAnsi="Times New Roman"/>
                <w:color w:val="000000"/>
                <w:sz w:val="20"/>
                <w:szCs w:val="20"/>
              </w:rPr>
              <w:t xml:space="preserve"> sp. "1"</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0.002</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3.011</w:t>
            </w:r>
          </w:p>
        </w:tc>
        <w:tc>
          <w:tcPr>
            <w:tcW w:w="1880" w:type="dxa"/>
            <w:tcBorders/>
            <w:shd w:color="auto" w:fill="auto"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Present study</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Benke et al. 1999</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15</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Penczak &amp; Pakulska 1984</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Simulium</w:t>
            </w:r>
            <w:r>
              <w:rPr>
                <w:rFonts w:eastAsia="Times New Roman" w:cs="Calibri" w:ascii="Times New Roman" w:hAnsi="Times New Roman"/>
                <w:color w:val="000000"/>
                <w:sz w:val="20"/>
                <w:szCs w:val="20"/>
              </w:rPr>
              <w:t xml:space="preserve"> sp. "2"</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0.002</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3.011</w:t>
            </w:r>
          </w:p>
        </w:tc>
        <w:tc>
          <w:tcPr>
            <w:tcW w:w="1880" w:type="dxa"/>
            <w:tcBorders/>
            <w:shd w:color="auto" w:fill="auto"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Present study</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Benke et al. 1999</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15</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Penczak &amp; Pakulska 1984</w:t>
            </w:r>
          </w:p>
        </w:tc>
      </w:tr>
      <w:tr>
        <w:trPr>
          <w:trHeight w:val="288" w:hRule="atLeast"/>
        </w:trPr>
        <w:tc>
          <w:tcPr>
            <w:tcW w:w="241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Ephemeroptera</w:t>
            </w:r>
          </w:p>
        </w:tc>
        <w:tc>
          <w:tcPr>
            <w:tcW w:w="9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A6A6A6"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Leptophlebiidae</w:t>
            </w:r>
          </w:p>
        </w:tc>
        <w:tc>
          <w:tcPr>
            <w:tcW w:w="9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D9D9D9"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Leptophlebiidae sp.</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0.005</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2.686</w:t>
            </w:r>
          </w:p>
        </w:tc>
        <w:tc>
          <w:tcPr>
            <w:tcW w:w="1880" w:type="dxa"/>
            <w:tcBorders/>
            <w:shd w:color="auto" w:fill="auto"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Present study</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Benke et al. 1999</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17</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Penczak &amp; Pakulska 1984</w:t>
            </w:r>
          </w:p>
        </w:tc>
      </w:tr>
      <w:tr>
        <w:trPr>
          <w:trHeight w:val="288" w:hRule="atLeast"/>
        </w:trPr>
        <w:tc>
          <w:tcPr>
            <w:tcW w:w="241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Hemiptera</w:t>
            </w:r>
          </w:p>
        </w:tc>
        <w:tc>
          <w:tcPr>
            <w:tcW w:w="9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A6A6A6"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Enicocephalidae</w:t>
            </w:r>
          </w:p>
        </w:tc>
        <w:tc>
          <w:tcPr>
            <w:tcW w:w="9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D9D9D9"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Enicocephalidae sp.</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0.011</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2.734</w:t>
            </w:r>
          </w:p>
        </w:tc>
        <w:tc>
          <w:tcPr>
            <w:tcW w:w="1880" w:type="dxa"/>
            <w:tcBorders/>
            <w:shd w:color="auto" w:fill="auto"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Present study</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Benke et al. 1999</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20</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Penczak &amp; Pakulska 1984</w:t>
            </w:r>
          </w:p>
        </w:tc>
      </w:tr>
      <w:tr>
        <w:trPr>
          <w:trHeight w:val="288" w:hRule="atLeast"/>
        </w:trPr>
        <w:tc>
          <w:tcPr>
            <w:tcW w:w="241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Hymenoptera</w:t>
            </w:r>
          </w:p>
        </w:tc>
        <w:tc>
          <w:tcPr>
            <w:tcW w:w="9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A6A6A6"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Formicidae</w:t>
            </w:r>
          </w:p>
        </w:tc>
        <w:tc>
          <w:tcPr>
            <w:tcW w:w="9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D9D9D9"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Formicideae sp.</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0.027</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2.666</w:t>
            </w:r>
          </w:p>
        </w:tc>
        <w:tc>
          <w:tcPr>
            <w:tcW w:w="1880" w:type="dxa"/>
            <w:tcBorders/>
            <w:shd w:color="auto" w:fill="auto"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Present study</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Sabo 2002</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20</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Penczak &amp; Pakulska 1984</w:t>
            </w:r>
          </w:p>
        </w:tc>
      </w:tr>
      <w:tr>
        <w:trPr>
          <w:trHeight w:val="288" w:hRule="atLeast"/>
        </w:trPr>
        <w:tc>
          <w:tcPr>
            <w:tcW w:w="241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Lepidoptera</w:t>
            </w:r>
          </w:p>
        </w:tc>
        <w:tc>
          <w:tcPr>
            <w:tcW w:w="9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A6A6A6"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Crambidae</w:t>
            </w:r>
          </w:p>
        </w:tc>
        <w:tc>
          <w:tcPr>
            <w:tcW w:w="9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D9D9D9"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Petrophila</w:t>
            </w:r>
            <w:r>
              <w:rPr>
                <w:rFonts w:eastAsia="Times New Roman" w:cs="Calibri" w:ascii="Times New Roman" w:hAnsi="Times New Roman"/>
                <w:color w:val="000000"/>
                <w:sz w:val="20"/>
                <w:szCs w:val="20"/>
              </w:rPr>
              <w:t xml:space="preserve"> sp.</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0.002</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2.807</w:t>
            </w:r>
          </w:p>
        </w:tc>
        <w:tc>
          <w:tcPr>
            <w:tcW w:w="188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BugGuide 2022</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Cummins et al. 2022</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23</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Penczak &amp; Pakulska 1984</w:t>
            </w:r>
          </w:p>
        </w:tc>
      </w:tr>
      <w:tr>
        <w:trPr>
          <w:trHeight w:val="288" w:hRule="atLeast"/>
        </w:trPr>
        <w:tc>
          <w:tcPr>
            <w:tcW w:w="241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Megaloptera</w:t>
            </w:r>
          </w:p>
        </w:tc>
        <w:tc>
          <w:tcPr>
            <w:tcW w:w="9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Chauliodes</w:t>
            </w:r>
          </w:p>
        </w:tc>
        <w:tc>
          <w:tcPr>
            <w:tcW w:w="9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Chauliodes</w:t>
            </w:r>
            <w:r>
              <w:rPr>
                <w:rFonts w:eastAsia="Times New Roman" w:cs="Calibri" w:ascii="Times New Roman" w:hAnsi="Times New Roman"/>
                <w:color w:val="000000"/>
                <w:sz w:val="20"/>
                <w:szCs w:val="20"/>
              </w:rPr>
              <w:t xml:space="preserve"> sp.</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0.004</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2.873</w:t>
            </w:r>
          </w:p>
        </w:tc>
        <w:tc>
          <w:tcPr>
            <w:tcW w:w="1880" w:type="dxa"/>
            <w:tcBorders/>
            <w:shd w:color="auto" w:fill="auto"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Present study</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Benke et al. 1999</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20</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Penczak &amp; Pakulska 1984</w:t>
            </w:r>
          </w:p>
        </w:tc>
      </w:tr>
      <w:tr>
        <w:trPr>
          <w:trHeight w:val="288" w:hRule="atLeast"/>
        </w:trPr>
        <w:tc>
          <w:tcPr>
            <w:tcW w:w="241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Odonata</w:t>
            </w:r>
          </w:p>
        </w:tc>
        <w:tc>
          <w:tcPr>
            <w:tcW w:w="9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A6A6A6"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Libellulidae</w:t>
            </w:r>
          </w:p>
        </w:tc>
        <w:tc>
          <w:tcPr>
            <w:tcW w:w="9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D9D9D9"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Brechmorhoga</w:t>
            </w:r>
            <w:r>
              <w:rPr>
                <w:rFonts w:eastAsia="Times New Roman" w:cs="Calibri" w:ascii="Times New Roman" w:hAnsi="Times New Roman"/>
                <w:color w:val="000000"/>
                <w:sz w:val="20"/>
                <w:szCs w:val="20"/>
              </w:rPr>
              <w:t xml:space="preserve"> sp.</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0.008</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2.809</w:t>
            </w:r>
          </w:p>
        </w:tc>
        <w:tc>
          <w:tcPr>
            <w:tcW w:w="1880" w:type="dxa"/>
            <w:tcBorders/>
            <w:shd w:color="auto" w:fill="auto"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Present study</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Benke et al. 1999</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27</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Penczak &amp; Pakulska 1984</w:t>
            </w:r>
          </w:p>
        </w:tc>
      </w:tr>
      <w:tr>
        <w:trPr>
          <w:trHeight w:val="288" w:hRule="atLeast"/>
        </w:trPr>
        <w:tc>
          <w:tcPr>
            <w:tcW w:w="241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Plecoptera</w:t>
            </w:r>
          </w:p>
        </w:tc>
        <w:tc>
          <w:tcPr>
            <w:tcW w:w="9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A6A6A6"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Perlidae</w:t>
            </w:r>
          </w:p>
        </w:tc>
        <w:tc>
          <w:tcPr>
            <w:tcW w:w="9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D9D9D9"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Perlidae</w:t>
            </w:r>
            <w:r>
              <w:rPr>
                <w:rFonts w:eastAsia="Times New Roman" w:cs="Calibri" w:ascii="Times New Roman" w:hAnsi="Times New Roman"/>
                <w:color w:val="000000"/>
                <w:sz w:val="20"/>
                <w:szCs w:val="20"/>
              </w:rPr>
              <w:t xml:space="preserve"> sp.</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0.010</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2.879</w:t>
            </w:r>
          </w:p>
        </w:tc>
        <w:tc>
          <w:tcPr>
            <w:tcW w:w="1880" w:type="dxa"/>
            <w:tcBorders/>
            <w:shd w:color="auto" w:fill="auto"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Present study</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Benke et al. 1999</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23</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Penczak &amp; Pakulska 1984</w:t>
            </w:r>
          </w:p>
        </w:tc>
      </w:tr>
      <w:tr>
        <w:trPr>
          <w:trHeight w:val="288" w:hRule="atLeast"/>
        </w:trPr>
        <w:tc>
          <w:tcPr>
            <w:tcW w:w="241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Trichoptera</w:t>
            </w:r>
          </w:p>
        </w:tc>
        <w:tc>
          <w:tcPr>
            <w:tcW w:w="9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A6A6A6"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Hydropsychidae</w:t>
            </w:r>
          </w:p>
        </w:tc>
        <w:tc>
          <w:tcPr>
            <w:tcW w:w="9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95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880" w:type="dxa"/>
            <w:tcBorders/>
            <w:shd w:color="000000" w:fill="D9D9D9"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 </w:t>
            </w:r>
          </w:p>
        </w:tc>
        <w:tc>
          <w:tcPr>
            <w:tcW w:w="190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86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Macronema</w:t>
            </w:r>
            <w:r>
              <w:rPr>
                <w:rFonts w:eastAsia="Times New Roman" w:cs="Calibri" w:ascii="Times New Roman" w:hAnsi="Times New Roman"/>
                <w:color w:val="000000"/>
                <w:sz w:val="20"/>
                <w:szCs w:val="20"/>
              </w:rPr>
              <w:t xml:space="preserve"> sp.</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0.005</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2.926</w:t>
            </w:r>
          </w:p>
        </w:tc>
        <w:tc>
          <w:tcPr>
            <w:tcW w:w="1880" w:type="dxa"/>
            <w:tcBorders/>
            <w:shd w:color="auto" w:fill="auto"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Present study</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Benke et al. 1999</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19</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Penczak &amp; Pakulska 1984</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Smicridea</w:t>
            </w:r>
            <w:r>
              <w:rPr>
                <w:rFonts w:eastAsia="Times New Roman" w:cs="Calibri" w:ascii="Times New Roman" w:hAnsi="Times New Roman"/>
                <w:color w:val="000000"/>
                <w:sz w:val="20"/>
                <w:szCs w:val="20"/>
              </w:rPr>
              <w:t xml:space="preserve"> sp.</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0.005</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2.926</w:t>
            </w:r>
          </w:p>
        </w:tc>
        <w:tc>
          <w:tcPr>
            <w:tcW w:w="1880" w:type="dxa"/>
            <w:tcBorders/>
            <w:shd w:color="auto" w:fill="auto"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Present study</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Benke et al. 1999</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19</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Penczak &amp; Pakulska 1984</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Synoestropsis</w:t>
            </w:r>
            <w:r>
              <w:rPr>
                <w:rFonts w:eastAsia="Times New Roman" w:cs="Calibri" w:ascii="Times New Roman" w:hAnsi="Times New Roman"/>
                <w:color w:val="000000"/>
                <w:sz w:val="20"/>
                <w:szCs w:val="20"/>
              </w:rPr>
              <w:t xml:space="preserve"> sp.</w:t>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0.005</w:t>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2.926</w:t>
            </w:r>
          </w:p>
        </w:tc>
        <w:tc>
          <w:tcPr>
            <w:tcW w:w="1880" w:type="dxa"/>
            <w:tcBorders/>
            <w:shd w:color="auto" w:fill="auto" w:val="clear"/>
            <w:vAlign w:val="bottom"/>
          </w:tcPr>
          <w:p>
            <w:pPr>
              <w:pStyle w:val="Normal"/>
              <w:widowControl w:val="false"/>
              <w:spacing w:lineRule="auto" w:line="480" w:before="0" w:after="0"/>
              <w:jc w:val="center"/>
              <w:rPr>
                <w:rFonts w:ascii="Times New Roman" w:hAnsi="Times New Roman"/>
                <w:sz w:val="20"/>
                <w:szCs w:val="20"/>
              </w:rPr>
            </w:pPr>
            <w:r>
              <w:rPr>
                <w:rFonts w:eastAsia="Times New Roman" w:cs="Calibri" w:ascii="Times New Roman" w:hAnsi="Times New Roman"/>
                <w:color w:val="000000"/>
                <w:sz w:val="20"/>
                <w:szCs w:val="20"/>
              </w:rPr>
              <w:t>Present study</w:t>
            </w:r>
          </w:p>
        </w:tc>
        <w:tc>
          <w:tcPr>
            <w:tcW w:w="190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Benke et al. 1999</w:t>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19</w:t>
            </w:r>
          </w:p>
        </w:tc>
        <w:tc>
          <w:tcPr>
            <w:tcW w:w="286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Penczak &amp; Pakulska 1984</w:t>
            </w:r>
          </w:p>
        </w:tc>
      </w:tr>
      <w:tr>
        <w:trPr>
          <w:trHeight w:val="288" w:hRule="atLeast"/>
        </w:trPr>
        <w:tc>
          <w:tcPr>
            <w:tcW w:w="2419" w:type="dxa"/>
            <w:tcBorders/>
            <w:shd w:color="auto" w:fill="auto" w:val="clear"/>
            <w:vAlign w:val="bottom"/>
          </w:tcPr>
          <w:p>
            <w:pPr>
              <w:pStyle w:val="Normal"/>
              <w:widowControl w:val="false"/>
              <w:spacing w:lineRule="auto" w:line="480" w:before="0" w:after="0"/>
              <w:rPr>
                <w:rFonts w:ascii="Times New Roman" w:hAnsi="Times New Roman" w:eastAsia="Times New Roman" w:cs="Calibri"/>
                <w:i/>
                <w:i/>
                <w:iCs/>
                <w:color w:val="000000"/>
                <w:sz w:val="20"/>
                <w:szCs w:val="20"/>
              </w:rPr>
            </w:pPr>
            <w:r>
              <w:rPr>
                <w:rFonts w:eastAsia="Times New Roman" w:cs="Calibri" w:ascii="Times New Roman" w:hAnsi="Times New Roman"/>
                <w:i/>
                <w:iCs/>
                <w:color w:val="000000"/>
                <w:sz w:val="20"/>
                <w:szCs w:val="20"/>
              </w:rPr>
            </w:r>
          </w:p>
        </w:tc>
        <w:tc>
          <w:tcPr>
            <w:tcW w:w="961" w:type="dxa"/>
            <w:tcBorders/>
            <w:shd w:color="auto" w:fill="auto" w:val="clear"/>
            <w:vAlign w:val="bottom"/>
          </w:tcPr>
          <w:p>
            <w:pPr>
              <w:pStyle w:val="Normal"/>
              <w:widowControl w:val="false"/>
              <w:spacing w:lineRule="auto" w:line="480" w:before="0" w:after="0"/>
              <w:jc w:val="right"/>
              <w:rPr>
                <w:rFonts w:ascii="Times New Roman" w:hAnsi="Times New Roman" w:eastAsia="Times New Roman" w:cs="Calibri"/>
                <w:color w:val="000000"/>
                <w:sz w:val="20"/>
                <w:szCs w:val="20"/>
              </w:rPr>
            </w:pPr>
            <w:r>
              <w:rPr>
                <w:rFonts w:eastAsia="Times New Roman" w:cs="Calibri" w:ascii="Times New Roman" w:hAnsi="Times New Roman"/>
                <w:color w:val="000000"/>
                <w:sz w:val="20"/>
                <w:szCs w:val="20"/>
              </w:rPr>
            </w:r>
          </w:p>
        </w:tc>
        <w:tc>
          <w:tcPr>
            <w:tcW w:w="959" w:type="dxa"/>
            <w:tcBorders/>
            <w:shd w:color="auto" w:fill="auto" w:val="clear"/>
            <w:vAlign w:val="bottom"/>
          </w:tcPr>
          <w:p>
            <w:pPr>
              <w:pStyle w:val="Normal"/>
              <w:widowControl w:val="false"/>
              <w:spacing w:lineRule="auto" w:line="480" w:before="0" w:after="0"/>
              <w:jc w:val="right"/>
              <w:rPr>
                <w:rFonts w:ascii="Times New Roman" w:hAnsi="Times New Roman" w:eastAsia="Times New Roman" w:cs="Calibri"/>
                <w:color w:val="000000"/>
                <w:sz w:val="20"/>
                <w:szCs w:val="20"/>
              </w:rPr>
            </w:pPr>
            <w:r>
              <w:rPr>
                <w:rFonts w:eastAsia="Times New Roman" w:cs="Calibri" w:ascii="Times New Roman" w:hAnsi="Times New Roman"/>
                <w:color w:val="000000"/>
                <w:sz w:val="20"/>
                <w:szCs w:val="20"/>
              </w:rPr>
            </w:r>
          </w:p>
        </w:tc>
        <w:tc>
          <w:tcPr>
            <w:tcW w:w="1880" w:type="dxa"/>
            <w:tcBorders/>
            <w:shd w:color="auto" w:fill="auto" w:val="clear"/>
            <w:vAlign w:val="bottom"/>
          </w:tcPr>
          <w:p>
            <w:pPr>
              <w:pStyle w:val="Normal"/>
              <w:widowControl w:val="false"/>
              <w:spacing w:lineRule="auto" w:line="480" w:before="0" w:after="0"/>
              <w:jc w:val="center"/>
              <w:rPr>
                <w:rFonts w:ascii="Times New Roman" w:hAnsi="Times New Roman" w:eastAsia="Times New Roman" w:cs="Calibri"/>
                <w:color w:val="000000"/>
                <w:sz w:val="20"/>
                <w:szCs w:val="20"/>
              </w:rPr>
            </w:pPr>
            <w:r>
              <w:rPr>
                <w:rFonts w:eastAsia="Times New Roman" w:cs="Calibri" w:ascii="Times New Roman" w:hAnsi="Times New Roman"/>
                <w:color w:val="000000"/>
                <w:sz w:val="20"/>
                <w:szCs w:val="20"/>
              </w:rPr>
            </w:r>
          </w:p>
        </w:tc>
        <w:tc>
          <w:tcPr>
            <w:tcW w:w="1901" w:type="dxa"/>
            <w:tcBorders/>
            <w:shd w:color="auto" w:fill="auto" w:val="clear"/>
            <w:vAlign w:val="bottom"/>
          </w:tcPr>
          <w:p>
            <w:pPr>
              <w:pStyle w:val="Normal"/>
              <w:widowControl w:val="false"/>
              <w:spacing w:lineRule="auto" w:line="480" w:before="0" w:after="0"/>
              <w:rPr>
                <w:rFonts w:ascii="Times New Roman" w:hAnsi="Times New Roman" w:eastAsia="Times New Roman" w:cs="Calibri"/>
                <w:color w:val="000000"/>
                <w:sz w:val="20"/>
                <w:szCs w:val="20"/>
              </w:rPr>
            </w:pPr>
            <w:r>
              <w:rPr>
                <w:rFonts w:eastAsia="Times New Roman" w:cs="Calibri" w:ascii="Times New Roman" w:hAnsi="Times New Roman"/>
                <w:color w:val="000000"/>
                <w:sz w:val="20"/>
                <w:szCs w:val="20"/>
              </w:rPr>
            </w:r>
          </w:p>
        </w:tc>
        <w:tc>
          <w:tcPr>
            <w:tcW w:w="1520" w:type="dxa"/>
            <w:tcBorders/>
            <w:shd w:color="auto" w:fill="auto" w:val="clear"/>
            <w:vAlign w:val="bottom"/>
          </w:tcPr>
          <w:p>
            <w:pPr>
              <w:pStyle w:val="Normal"/>
              <w:widowControl w:val="false"/>
              <w:spacing w:lineRule="auto" w:line="480" w:before="0" w:after="0"/>
              <w:jc w:val="right"/>
              <w:rPr>
                <w:rFonts w:ascii="Times New Roman" w:hAnsi="Times New Roman" w:eastAsia="Times New Roman" w:cs="Calibri"/>
                <w:color w:val="000000"/>
                <w:sz w:val="20"/>
                <w:szCs w:val="20"/>
              </w:rPr>
            </w:pPr>
            <w:r>
              <w:rPr>
                <w:rFonts w:eastAsia="Times New Roman" w:cs="Calibri" w:ascii="Times New Roman" w:hAnsi="Times New Roman"/>
                <w:color w:val="000000"/>
                <w:sz w:val="20"/>
                <w:szCs w:val="20"/>
              </w:rPr>
            </w:r>
          </w:p>
        </w:tc>
        <w:tc>
          <w:tcPr>
            <w:tcW w:w="2869" w:type="dxa"/>
            <w:tcBorders/>
            <w:shd w:color="auto" w:fill="auto" w:val="clear"/>
            <w:vAlign w:val="bottom"/>
          </w:tcPr>
          <w:p>
            <w:pPr>
              <w:pStyle w:val="Normal"/>
              <w:widowControl w:val="false"/>
              <w:spacing w:lineRule="auto" w:line="480" w:before="0" w:after="0"/>
              <w:rPr>
                <w:rFonts w:ascii="Times New Roman" w:hAnsi="Times New Roman" w:eastAsia="Times New Roman" w:cs="Calibri"/>
                <w:color w:val="000000"/>
                <w:sz w:val="20"/>
                <w:szCs w:val="20"/>
              </w:rPr>
            </w:pPr>
            <w:r>
              <w:rPr>
                <w:rFonts w:eastAsia="Times New Roman" w:cs="Calibri" w:ascii="Times New Roman" w:hAnsi="Times New Roman"/>
                <w:color w:val="000000"/>
                <w:sz w:val="20"/>
                <w:szCs w:val="20"/>
              </w:rPr>
            </w:r>
          </w:p>
        </w:tc>
      </w:tr>
    </w:tbl>
    <w:p>
      <w:pPr>
        <w:pStyle w:val="Normal"/>
        <w:spacing w:lineRule="auto" w:line="480"/>
        <w:rPr>
          <w:rFonts w:ascii="Times New Roman" w:hAnsi="Times New Roman"/>
          <w:sz w:val="20"/>
          <w:szCs w:val="20"/>
        </w:rPr>
      </w:pPr>
      <w:r>
        <w:rPr>
          <w:rFonts w:ascii="Times New Roman" w:hAnsi="Times New Roman"/>
          <w:b/>
          <w:bCs/>
          <w:sz w:val="20"/>
          <w:szCs w:val="20"/>
        </w:rPr>
        <w:t>References</w:t>
      </w:r>
    </w:p>
    <w:p>
      <w:pPr>
        <w:pStyle w:val="Normal"/>
        <w:spacing w:lineRule="auto" w:line="480"/>
        <w:rPr>
          <w:rFonts w:ascii="Times New Roman" w:hAnsi="Times New Roman"/>
          <w:sz w:val="20"/>
          <w:szCs w:val="20"/>
        </w:rPr>
      </w:pPr>
      <w:r>
        <w:rPr>
          <w:rFonts w:ascii="Times New Roman" w:hAnsi="Times New Roman"/>
          <w:sz w:val="20"/>
          <w:szCs w:val="20"/>
        </w:rPr>
        <w:t>Benke AC, Huryn AD, Smock LA, Wallace JB. 1999. Length-mass relationships for freshwater macroinvertebrates in North America with particular reference to the Southeastern United States. Journal of the North American Benthological Society 18: 308-343.</w:t>
      </w:r>
    </w:p>
    <w:p>
      <w:pPr>
        <w:pStyle w:val="Normal"/>
        <w:spacing w:lineRule="auto" w:line="480"/>
        <w:rPr>
          <w:rFonts w:ascii="Times New Roman" w:hAnsi="Times New Roman"/>
          <w:sz w:val="20"/>
          <w:szCs w:val="20"/>
        </w:rPr>
      </w:pPr>
      <w:r>
        <w:rPr>
          <w:rFonts w:ascii="Times New Roman" w:hAnsi="Times New Roman"/>
          <w:sz w:val="20"/>
          <w:szCs w:val="20"/>
        </w:rPr>
        <w:t>Bonecker CC, Azevedo F, Simões NR. 2011. Zooplankton body-size structure and biomass in tropical floodplain lakes: relationship with planktivorous fishes. Acta Limnologica Brasiliensia 23 217-228.</w:t>
      </w:r>
    </w:p>
    <w:p>
      <w:pPr>
        <w:pStyle w:val="Normal"/>
        <w:spacing w:lineRule="auto" w:line="480"/>
        <w:rPr>
          <w:rFonts w:ascii="Times New Roman" w:hAnsi="Times New Roman"/>
          <w:sz w:val="20"/>
          <w:szCs w:val="20"/>
        </w:rPr>
      </w:pPr>
      <w:r>
        <w:rPr>
          <w:rFonts w:ascii="Times New Roman" w:hAnsi="Times New Roman"/>
          <w:sz w:val="20"/>
          <w:szCs w:val="20"/>
        </w:rPr>
        <w:t>Bottrell HH, Duncan A, Gliwicz ZM, Grygierek E, Herzig A, Hillbricht-Ilkowska A, Kurasawa H, Larsson P, Weglenska T. 1976. A review of some problems in zooplankton production studies. Norwegian Journal of Zoology 24: 419-456.</w:t>
      </w:r>
    </w:p>
    <w:p>
      <w:pPr>
        <w:pStyle w:val="Normal"/>
        <w:spacing w:lineRule="auto" w:line="480"/>
        <w:rPr>
          <w:rFonts w:ascii="Times New Roman" w:hAnsi="Times New Roman"/>
          <w:sz w:val="20"/>
          <w:szCs w:val="20"/>
        </w:rPr>
      </w:pPr>
      <w:r>
        <w:rPr>
          <w:rFonts w:ascii="Times New Roman" w:hAnsi="Times New Roman"/>
          <w:sz w:val="20"/>
          <w:szCs w:val="20"/>
        </w:rPr>
        <w:t>BugGuide. 2022. https://bugguide.net/node/view/975461/bgimage. Ames, IA: Iowa State University [accessed June 23, 2022]</w:t>
      </w:r>
    </w:p>
    <w:p>
      <w:pPr>
        <w:pStyle w:val="Normal"/>
        <w:spacing w:lineRule="auto" w:line="480"/>
        <w:rPr>
          <w:rFonts w:ascii="Times New Roman" w:hAnsi="Times New Roman"/>
          <w:sz w:val="20"/>
          <w:szCs w:val="20"/>
        </w:rPr>
      </w:pPr>
      <w:r>
        <w:rPr>
          <w:rFonts w:ascii="Times New Roman" w:hAnsi="Times New Roman"/>
          <w:sz w:val="20"/>
          <w:szCs w:val="20"/>
        </w:rPr>
        <w:t>Cummins KW, Wilzbach M, Kolouch B, Merritt R. 2022. Estimating macroinvertebrate biomass for stream ecosystem assessments. International Journal of Environmental Research and Public Health 19: 3240.</w:t>
      </w:r>
    </w:p>
    <w:p>
      <w:pPr>
        <w:pStyle w:val="Normal"/>
        <w:spacing w:lineRule="auto" w:line="480"/>
        <w:rPr>
          <w:rFonts w:ascii="Times New Roman" w:hAnsi="Times New Roman"/>
          <w:sz w:val="20"/>
          <w:szCs w:val="20"/>
        </w:rPr>
      </w:pPr>
      <w:r>
        <w:rPr>
          <w:rFonts w:ascii="Times New Roman" w:hAnsi="Times New Roman"/>
          <w:sz w:val="20"/>
          <w:szCs w:val="20"/>
        </w:rPr>
        <w:t>Haas K, Köhler U, Diehl S, Köhler P, Dietrich S, Holler S, Jaensch A, Niedermaier M, Vilsmeier J. 2007. Influence of fish on habitat choice of water birds: a whole system experiment. Ecology 88: 2915-2925.</w:t>
      </w:r>
    </w:p>
    <w:p>
      <w:pPr>
        <w:pStyle w:val="Normal"/>
        <w:spacing w:lineRule="auto" w:line="480"/>
        <w:rPr/>
      </w:pPr>
      <w:r>
        <w:rPr>
          <w:rFonts w:cs="Calibri" w:ascii="Times New Roman" w:hAnsi="Times New Roman" w:cstheme="minorHAnsi"/>
          <w:sz w:val="20"/>
          <w:szCs w:val="20"/>
        </w:rPr>
        <w:t xml:space="preserve">Keys AB. 1928. The weight-length relationship in fishes. Proceedings of the National Academy of Sciences 14: 922–925. doi: </w:t>
      </w:r>
      <w:hyperlink r:id="rId2">
        <w:r>
          <w:rPr>
            <w:rStyle w:val="InternetLink"/>
            <w:rFonts w:cs="Calibri" w:ascii="Times New Roman" w:hAnsi="Times New Roman" w:cstheme="minorHAnsi"/>
            <w:sz w:val="20"/>
            <w:szCs w:val="20"/>
          </w:rPr>
          <w:t>10.1073/pnas.14.12.922</w:t>
        </w:r>
      </w:hyperlink>
      <w:r>
        <w:rPr>
          <w:rFonts w:cs="Calibri" w:ascii="Times New Roman" w:hAnsi="Times New Roman" w:cstheme="minorHAnsi"/>
          <w:sz w:val="20"/>
          <w:szCs w:val="20"/>
        </w:rPr>
        <w:t xml:space="preserve"> </w:t>
      </w:r>
    </w:p>
    <w:p>
      <w:pPr>
        <w:pStyle w:val="Normal"/>
        <w:spacing w:lineRule="auto" w:line="480"/>
        <w:rPr>
          <w:rFonts w:ascii="Times New Roman" w:hAnsi="Times New Roman"/>
          <w:sz w:val="20"/>
          <w:szCs w:val="20"/>
        </w:rPr>
      </w:pPr>
      <w:r>
        <w:rPr>
          <w:rFonts w:ascii="Times New Roman" w:hAnsi="Times New Roman"/>
          <w:sz w:val="20"/>
          <w:szCs w:val="20"/>
        </w:rPr>
        <w:t>Penczak T, Pakulska D. 1984. Food consumption and energy transformations by fish populations in two small lowland rivers in Poland. Hydrobiologia 108: 135-144.</w:t>
      </w:r>
    </w:p>
    <w:p>
      <w:pPr>
        <w:pStyle w:val="Normal"/>
        <w:spacing w:lineRule="auto" w:line="480"/>
        <w:rPr>
          <w:rFonts w:ascii="Times New Roman" w:hAnsi="Times New Roman"/>
          <w:sz w:val="20"/>
          <w:szCs w:val="20"/>
        </w:rPr>
      </w:pPr>
      <w:r>
        <w:rPr>
          <w:rFonts w:ascii="Times New Roman" w:hAnsi="Times New Roman"/>
          <w:sz w:val="20"/>
          <w:szCs w:val="20"/>
        </w:rPr>
        <w:t>Ricciardi A, Bourget E. 1998. Weight-to-weight conversion factors for marine benthic macroinvertebrates. Marine Ecology Progress Series 163: 245: 251</w:t>
      </w:r>
    </w:p>
    <w:p>
      <w:pPr>
        <w:pStyle w:val="Normal"/>
        <w:spacing w:lineRule="auto" w:line="480"/>
        <w:rPr>
          <w:rFonts w:ascii="Times New Roman" w:hAnsi="Times New Roman"/>
          <w:sz w:val="20"/>
          <w:szCs w:val="20"/>
        </w:rPr>
      </w:pPr>
      <w:r>
        <w:rPr>
          <w:rFonts w:ascii="Times New Roman" w:hAnsi="Times New Roman"/>
          <w:sz w:val="20"/>
          <w:szCs w:val="20"/>
        </w:rPr>
        <w:t>Sabo JL, Bastow JL, Power ME. 2002. Length–mass relationships for adult aquatic and terrestrial invertebrates in a California watershed. Journal of the North American Benthological Society 21: 336-343.</w:t>
      </w:r>
    </w:p>
    <w:p>
      <w:pPr>
        <w:sectPr>
          <w:footerReference w:type="default" r:id="rId3"/>
          <w:type w:val="nextPage"/>
          <w:pgSz w:orient="landscape" w:w="15840" w:h="12240"/>
          <w:pgMar w:left="1440" w:right="1440" w:gutter="0" w:header="0" w:top="1440" w:footer="1440" w:bottom="2172"/>
          <w:pgNumType w:fmt="decimal"/>
          <w:formProt w:val="false"/>
          <w:textDirection w:val="lrTb"/>
          <w:docGrid w:type="default" w:linePitch="360" w:charSpace="4096"/>
        </w:sectPr>
        <w:pStyle w:val="Normal"/>
        <w:spacing w:lineRule="auto" w:line="480"/>
        <w:rPr>
          <w:rFonts w:ascii="Times New Roman" w:hAnsi="Times New Roman"/>
          <w:sz w:val="20"/>
          <w:szCs w:val="20"/>
        </w:rPr>
      </w:pPr>
      <w:r>
        <w:rPr>
          <w:rFonts w:ascii="Times New Roman" w:hAnsi="Times New Roman"/>
          <w:sz w:val="20"/>
          <w:szCs w:val="20"/>
        </w:rPr>
        <w:t>Zilli F, del Barco J, Vanzetti A. 2017. Biometry of neotropical invertebrates inhabiting floodplain rivers: unraveling bionomy. Iheringia 107: e2017014</w:t>
      </w:r>
    </w:p>
    <w:p>
      <w:pPr>
        <w:pStyle w:val="Normal"/>
        <w:spacing w:lineRule="auto" w:line="480"/>
        <w:rPr>
          <w:rFonts w:ascii="Times New Roman" w:hAnsi="Times New Roman"/>
          <w:sz w:val="20"/>
          <w:szCs w:val="20"/>
        </w:rPr>
      </w:pPr>
      <w:r>
        <w:rPr>
          <w:rFonts w:ascii="Times New Roman" w:hAnsi="Times New Roman"/>
          <w:b/>
          <w:bCs/>
          <w:sz w:val="20"/>
          <w:szCs w:val="20"/>
        </w:rPr>
        <w:t xml:space="preserve">Table S2 </w:t>
      </w:r>
      <w:r>
        <w:rPr>
          <w:rFonts w:ascii="Times New Roman" w:hAnsi="Times New Roman"/>
          <w:sz w:val="20"/>
          <w:szCs w:val="20"/>
        </w:rPr>
        <w:t>List containing the number specimens analyzed, mean and standard deviation of body mass (g), δ15N, and δ13C, and statistical mode and 50% credibility intervals of relative trophic position and alpha (i.e., Relative contribution of aquatic sources) estimated for all fish and invertebrate species collected in the Middle Xingu River. Taxon acronyms are the same as those in F</w:t>
      </w:r>
      <w:r>
        <w:rPr>
          <w:rFonts w:ascii="Times New Roman" w:hAnsi="Times New Roman"/>
          <w:sz w:val="20"/>
          <w:szCs w:val="20"/>
          <w:lang w:val="it-IT"/>
        </w:rPr>
        <w:t>igure 2.</w:t>
      </w:r>
      <w:r>
        <w:rPr>
          <w:rFonts w:ascii="Times New Roman" w:hAnsi="Times New Roman"/>
          <w:sz w:val="20"/>
          <w:szCs w:val="20"/>
        </w:rPr>
        <w:t xml:space="preserve"> </w:t>
      </w: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2940"/>
        <w:gridCol w:w="599"/>
        <w:gridCol w:w="420"/>
        <w:gridCol w:w="1439"/>
        <w:gridCol w:w="1711"/>
        <w:gridCol w:w="1532"/>
        <w:gridCol w:w="2161"/>
        <w:gridCol w:w="2156"/>
      </w:tblGrid>
      <w:tr>
        <w:trPr>
          <w:tblHeader w:val="true"/>
          <w:trHeight w:val="288" w:hRule="atLeast"/>
        </w:trPr>
        <w:tc>
          <w:tcPr>
            <w:tcW w:w="2940" w:type="dxa"/>
            <w:tcBorders/>
            <w:shd w:color="000000" w:fill="5B9BD5"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Order, Family, Species</w:t>
            </w:r>
          </w:p>
        </w:tc>
        <w:tc>
          <w:tcPr>
            <w:tcW w:w="599" w:type="dxa"/>
            <w:tcBorders/>
            <w:shd w:color="000000" w:fill="5B9BD5"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Acr</w:t>
            </w:r>
          </w:p>
        </w:tc>
        <w:tc>
          <w:tcPr>
            <w:tcW w:w="420" w:type="dxa"/>
            <w:tcBorders/>
            <w:shd w:color="000000" w:fill="5B9BD5"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N</w:t>
            </w:r>
          </w:p>
        </w:tc>
        <w:tc>
          <w:tcPr>
            <w:tcW w:w="1439" w:type="dxa"/>
            <w:tcBorders/>
            <w:shd w:color="000000" w:fill="5B9BD5"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Body mass (g)</w:t>
            </w:r>
          </w:p>
        </w:tc>
        <w:tc>
          <w:tcPr>
            <w:tcW w:w="1711" w:type="dxa"/>
            <w:tcBorders/>
            <w:shd w:color="000000" w:fill="5B9BD5"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δ15N</w:t>
            </w:r>
          </w:p>
        </w:tc>
        <w:tc>
          <w:tcPr>
            <w:tcW w:w="1532" w:type="dxa"/>
            <w:tcBorders/>
            <w:shd w:color="000000" w:fill="5B9BD5"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δ13C</w:t>
            </w:r>
          </w:p>
        </w:tc>
        <w:tc>
          <w:tcPr>
            <w:tcW w:w="2161" w:type="dxa"/>
            <w:tcBorders/>
            <w:shd w:color="000000" w:fill="5B9BD5"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Relative TP</w:t>
            </w:r>
          </w:p>
        </w:tc>
        <w:tc>
          <w:tcPr>
            <w:tcW w:w="2156" w:type="dxa"/>
            <w:tcBorders/>
            <w:shd w:color="000000" w:fill="5B9BD5"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Alpha</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Porifera</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Spongillidae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b/>
                <w:bCs/>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Ephydatia</w:t>
            </w:r>
            <w:r>
              <w:rPr>
                <w:rFonts w:eastAsia="Times New Roman" w:cs="Calibri" w:ascii="Times New Roman" w:hAnsi="Times New Roman"/>
                <w:color w:val="000000"/>
                <w:sz w:val="20"/>
                <w:szCs w:val="20"/>
              </w:rPr>
              <w:t xml:space="preserve"> sp.</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Eph</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jc w:val="right"/>
              <w:rPr>
                <w:rFonts w:ascii="Times New Roman" w:hAnsi="Times New Roman" w:eastAsia="Times New Roman" w:cs="Calibri"/>
                <w:color w:val="000000"/>
                <w:sz w:val="20"/>
                <w:szCs w:val="20"/>
              </w:rPr>
            </w:pPr>
            <w:r>
              <w:rPr>
                <w:rFonts w:eastAsia="Times New Roman" w:cs="Calibri" w:ascii="Times New Roman" w:hAnsi="Times New Roman"/>
                <w:color w:val="000000"/>
                <w:sz w:val="20"/>
                <w:szCs w:val="20"/>
              </w:rPr>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8.62 ± 0.24</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-31.51 ± 0.31</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2.64 (2.46 - 2.70)</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0.01 (0.02 - 0.12)</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Potamolepidae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Sterrastrolepis brasiliensis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Sbr</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jc w:val="right"/>
              <w:rPr>
                <w:rFonts w:ascii="Times New Roman" w:hAnsi="Times New Roman" w:eastAsia="Times New Roman" w:cs="Calibri"/>
                <w:color w:val="000000"/>
                <w:sz w:val="20"/>
                <w:szCs w:val="20"/>
              </w:rPr>
            </w:pPr>
            <w:r>
              <w:rPr>
                <w:rFonts w:eastAsia="Times New Roman" w:cs="Calibri" w:ascii="Times New Roman" w:hAnsi="Times New Roman"/>
                <w:color w:val="000000"/>
                <w:sz w:val="20"/>
                <w:szCs w:val="20"/>
              </w:rPr>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9.80 ± 0.15</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-31.75 ± 0.42</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2.97 (2.72 - 3.03)</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0.02 (0.06 - 0.39)</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Hirudinea</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Hirudinea</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Hirudinea</w:t>
            </w:r>
            <w:r>
              <w:rPr>
                <w:rFonts w:eastAsia="Times New Roman" w:cs="Calibri" w:ascii="Times New Roman" w:hAnsi="Times New Roman"/>
                <w:color w:val="000000"/>
                <w:sz w:val="20"/>
                <w:szCs w:val="20"/>
              </w:rPr>
              <w:t xml:space="preserve"> sp.</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Hir</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0.06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10.01 ± 0.63</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-21.30 ± 1.04</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2.47 (2.35 - 2.77)</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0.99 (0.79 - 0.95)</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Gastropoda</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Pleuroceridae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Doryssa millepunctata</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Dmi</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0.13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6.47 ± 0.08</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-29.19 ± 0.24</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1.86 (1.78 - 1.93)</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0.14 (0.11 - 0.18)</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Doryssa starkii</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Dst</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20</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5.13 ± 3.30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7.05 ± 0.25</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-30.81 ± 0.21</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2.13 (2.07 - 2.18)</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0.00 (0.00 - 0.02)</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Decapoda</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Pseudothelphusidae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Kinsleya</w:t>
            </w:r>
            <w:r>
              <w:rPr>
                <w:rFonts w:eastAsia="Times New Roman" w:cs="Calibri" w:ascii="Times New Roman" w:hAnsi="Times New Roman"/>
                <w:color w:val="000000"/>
                <w:sz w:val="20"/>
                <w:szCs w:val="20"/>
              </w:rPr>
              <w:t xml:space="preserve"> cf. </w:t>
            </w:r>
            <w:r>
              <w:rPr>
                <w:rFonts w:eastAsia="Times New Roman" w:cs="Calibri" w:ascii="Times New Roman" w:hAnsi="Times New Roman"/>
                <w:i/>
                <w:iCs/>
                <w:color w:val="000000"/>
                <w:sz w:val="20"/>
                <w:szCs w:val="20"/>
              </w:rPr>
              <w:t>ytupora</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Kyt</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6</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3.87 ± 1.73</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10.14 ± 0.07</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-28.75 ± 0.54</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3.13 (3.07 - 3.18)</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0.08 (0.06 - 0.11)</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Zooplankton</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Zooplankton</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Zooplankton sp</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Zoo</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0.00001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5.66 ± 0.25</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-26.24 ± 0.14</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1.03 (1.06 - 1.42)</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0.98 (0.77 - 0.96)</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Diptera</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Chironomidae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Chironomidae</w:t>
            </w:r>
            <w:r>
              <w:rPr>
                <w:rFonts w:eastAsia="Times New Roman" w:cs="Calibri" w:ascii="Times New Roman" w:hAnsi="Times New Roman"/>
                <w:color w:val="000000"/>
                <w:sz w:val="20"/>
                <w:szCs w:val="20"/>
              </w:rPr>
              <w:t xml:space="preserve"> sp.</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Chi</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0.00004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7.77 ± 0.14</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-27.42 ± 0.41</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1.99 (1.85 - 2.50)</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0.54 (0.39 - 0.61)</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Simuliidae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Simulium</w:t>
            </w:r>
            <w:r>
              <w:rPr>
                <w:rFonts w:eastAsia="Times New Roman" w:cs="Calibri" w:ascii="Times New Roman" w:hAnsi="Times New Roman"/>
                <w:color w:val="000000"/>
                <w:sz w:val="20"/>
                <w:szCs w:val="20"/>
              </w:rPr>
              <w:t xml:space="preserve"> sp. "1"</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Si1</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7</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0.003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6.20 ± 0.25</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-30.20 ± 0.63</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1.78 (1.73 - 1.84)</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0.12 (0.10 - 0.14)</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Simulium</w:t>
            </w:r>
            <w:r>
              <w:rPr>
                <w:rFonts w:eastAsia="Times New Roman" w:cs="Calibri" w:ascii="Times New Roman" w:hAnsi="Times New Roman"/>
                <w:color w:val="000000"/>
                <w:sz w:val="20"/>
                <w:szCs w:val="20"/>
              </w:rPr>
              <w:t xml:space="preserve"> sp. "2"</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Si2</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4</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0.002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6.02 ± 0.04</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-29.58 ± 0.07</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1.70 (1.65 - 1.75)</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0.15 (0.14 - 0.17)</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Ephemeroptera</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Leptophlebiidae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Leptophlebiidae</w:t>
            </w:r>
            <w:r>
              <w:rPr>
                <w:rFonts w:eastAsia="Times New Roman" w:cs="Calibri" w:ascii="Times New Roman" w:hAnsi="Times New Roman"/>
                <w:color w:val="000000"/>
                <w:sz w:val="20"/>
                <w:szCs w:val="20"/>
              </w:rPr>
              <w:t xml:space="preserve"> sp.</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Lep</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0.004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6.13 ± 0.08</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-28.27 ± 0.16</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1.51 (1.46 - 1.57)</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0.43 (0.42 - 0.46)</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Hemiptera</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Enicocephalidae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Enicocephalidae</w:t>
            </w:r>
            <w:r>
              <w:rPr>
                <w:rFonts w:eastAsia="Times New Roman" w:cs="Calibri" w:ascii="Times New Roman" w:hAnsi="Times New Roman"/>
                <w:color w:val="000000"/>
                <w:sz w:val="20"/>
                <w:szCs w:val="20"/>
              </w:rPr>
              <w:t xml:space="preserve"> sp.</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Eni</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0.36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10.52 ± 0.13</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-27.20 ± 0.07</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3.04 (2.97 - 3.11)</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0.36 (0.34 - 0.39)</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Hymenoptera</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Formicidae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Formicideae</w:t>
            </w:r>
            <w:r>
              <w:rPr>
                <w:rFonts w:eastAsia="Times New Roman" w:cs="Calibri" w:ascii="Times New Roman" w:hAnsi="Times New Roman"/>
                <w:color w:val="000000"/>
                <w:sz w:val="20"/>
                <w:szCs w:val="20"/>
              </w:rPr>
              <w:t xml:space="preserve"> sp.</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For</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0.18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5.37 ± 0.49</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-27.51 ± 0.73</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1.27 (1.19 - 1.49)</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0.43 (0.35 - 0.49)</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Lepidoptera</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Crambidae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Petrophila</w:t>
            </w:r>
            <w:r>
              <w:rPr>
                <w:rFonts w:eastAsia="Times New Roman" w:cs="Calibri" w:ascii="Times New Roman" w:hAnsi="Times New Roman"/>
                <w:color w:val="000000"/>
                <w:sz w:val="20"/>
                <w:szCs w:val="20"/>
              </w:rPr>
              <w:t xml:space="preserve"> sp.</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Pet</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0.007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7.78 ± 1.02</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-24.04 ± 2.44</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1.79 (1.65 - 2.24)</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0.86 (0.62 - 0.88)</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Megaloptera</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Corydalidae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Chauliodes</w:t>
            </w:r>
            <w:r>
              <w:rPr>
                <w:rFonts w:eastAsia="Times New Roman" w:cs="Calibri" w:ascii="Times New Roman" w:hAnsi="Times New Roman"/>
                <w:color w:val="000000"/>
                <w:sz w:val="20"/>
                <w:szCs w:val="20"/>
              </w:rPr>
              <w:t xml:space="preserve"> sp.</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Cha</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6</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2.08 ± 1.36</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7.49 ± 0.22</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-28.99 ± 2.34</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2.05 (1.99 - 2.14)</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0.32 (0.25 - 0.39)</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Odonata</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Libellulidae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Brechmorhogo</w:t>
            </w:r>
            <w:r>
              <w:rPr>
                <w:rFonts w:eastAsia="Times New Roman" w:cs="Calibri" w:ascii="Times New Roman" w:hAnsi="Times New Roman"/>
                <w:color w:val="000000"/>
                <w:sz w:val="20"/>
                <w:szCs w:val="20"/>
              </w:rPr>
              <w:t xml:space="preserve"> sp.</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Bre</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0.09 ± 0.04</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6.87 ± 0.37</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-26.91 ± 1.02</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1.70 (1.58 - 1.86)</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0.51 (0.43 - 0.58)</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Plecoptera</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Perlidae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Perlidae</w:t>
            </w:r>
            <w:r>
              <w:rPr>
                <w:rFonts w:eastAsia="Times New Roman" w:cs="Calibri" w:ascii="Times New Roman" w:hAnsi="Times New Roman"/>
                <w:color w:val="000000"/>
                <w:sz w:val="20"/>
                <w:szCs w:val="20"/>
              </w:rPr>
              <w:t xml:space="preserve"> sp.</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Per</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0.03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9.54 ± 0.03</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-27.71 ± 0.31</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2.68 (2.57 - 2.96)</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0.40 (0.33 - 0.44)</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Trichoptera</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Hydropsychidae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Macronema</w:t>
            </w:r>
            <w:r>
              <w:rPr>
                <w:rFonts w:eastAsia="Times New Roman" w:cs="Calibri" w:ascii="Times New Roman" w:hAnsi="Times New Roman"/>
                <w:color w:val="000000"/>
                <w:sz w:val="20"/>
                <w:szCs w:val="20"/>
              </w:rPr>
              <w:t xml:space="preserve"> sp.</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Mac</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0.007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7.01 ± 0.05</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-28.75 ± 0.09</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1.83 (1.78 - 1.89)</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0.41 (0.38 - 0.43)</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Smicridea</w:t>
            </w:r>
            <w:r>
              <w:rPr>
                <w:rFonts w:eastAsia="Times New Roman" w:cs="Calibri" w:ascii="Times New Roman" w:hAnsi="Times New Roman"/>
                <w:color w:val="000000"/>
                <w:sz w:val="20"/>
                <w:szCs w:val="20"/>
              </w:rPr>
              <w:t xml:space="preserve"> sp.</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Smi</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0.30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7.68 ± 0.10</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-25.90 ± 0.15</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1.83 (1.78 - 1.89)</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0.70 (0.67 - 0.72)</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Synoestropsis</w:t>
            </w:r>
            <w:r>
              <w:rPr>
                <w:rFonts w:eastAsia="Times New Roman" w:cs="Calibri" w:ascii="Times New Roman" w:hAnsi="Times New Roman"/>
                <w:color w:val="000000"/>
                <w:sz w:val="20"/>
                <w:szCs w:val="20"/>
              </w:rPr>
              <w:t xml:space="preserve"> sp.</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Syn</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9</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0.21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8.31 ± 0.06</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-29.02 ± 0.61</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2.32 (2.28 - 2.36)</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0.33 (0.32 - 0.37)</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Rajiformes</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Potamotrygonidae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Potamotrygon leopoldi</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Ple</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4</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2057.50 ± 2266.66</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11.57 ± 0.52</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-27.22 ± 1.21</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5.34 (5.10 - 5.53)</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0.11 (0.08 - 0.20)</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Characiformes</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Anostomidae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Hypomasticus julii</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Hju</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4</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55.25 ± 11.09</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11.09 ± 0.42</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-24.19 ± 1.28</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2.28 (2.21 - 2.35)</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0.62 (0.55 - 0.7)</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 xml:space="preserve">Leporinus </w:t>
            </w:r>
            <w:r>
              <w:rPr>
                <w:rFonts w:eastAsia="Times New Roman" w:cs="Calibri" w:ascii="Times New Roman" w:hAnsi="Times New Roman"/>
                <w:color w:val="000000"/>
                <w:sz w:val="20"/>
                <w:szCs w:val="20"/>
              </w:rPr>
              <w:t xml:space="preserve">aff. </w:t>
            </w:r>
            <w:r>
              <w:rPr>
                <w:rFonts w:eastAsia="Times New Roman" w:cs="Calibri" w:ascii="Times New Roman" w:hAnsi="Times New Roman"/>
                <w:i/>
                <w:iCs/>
                <w:color w:val="000000"/>
                <w:sz w:val="20"/>
                <w:szCs w:val="20"/>
              </w:rPr>
              <w:t>fasciatus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Lfa</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5</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151.00 ± 125.92</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10.90 ± 0.36</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-30.14 ± 1.10</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3.17 (3.08 - 3.24)</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0.00 (0.02 - 0.10)</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Characidae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Brycon falcatus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Bfa</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6</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80.33 ± 112.75</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10.05 ± 0.78</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-26.62 ± 0.33</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2.75 (2.65 - 2.84)</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0.32 (0.30 - 0.34)</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Brycon sp. “hyaline adipose"</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Bhi</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4</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16.00 ± 0.82</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11.03 ± 0.13</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-26.75 ± 0.49</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3.04 (2.98 - 3.09)</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0.32 (0.29 - 0.35)</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Ctenoluciidae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Boulengerella cuvieri</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Bcu</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315.00 ± 205.06</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11.46 ± 0.05</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-27.80 ± 2.01</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5.24 (4.50 - 5.42)</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0.06 (0.12 - 0.53)</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Hemiodontidae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Hemiodus</w:t>
            </w:r>
            <w:r>
              <w:rPr>
                <w:rFonts w:eastAsia="Times New Roman" w:cs="Calibri" w:ascii="Times New Roman" w:hAnsi="Times New Roman"/>
                <w:color w:val="000000"/>
                <w:sz w:val="20"/>
                <w:szCs w:val="20"/>
              </w:rPr>
              <w:t xml:space="preserve"> </w:t>
            </w:r>
            <w:r>
              <w:rPr>
                <w:rFonts w:eastAsia="Times New Roman" w:cs="Calibri" w:ascii="Times New Roman" w:hAnsi="Times New Roman"/>
                <w:i/>
                <w:iCs/>
                <w:color w:val="000000"/>
                <w:sz w:val="20"/>
                <w:szCs w:val="20"/>
              </w:rPr>
              <w:t>vorderwinkleri</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Hvo</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4</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30.25 ± 7.41</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10.58 ± 0.45</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-21.70 ± 1.90</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2.06 (2.01 - 2.16)</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0.91 (0.76 - 0.92)</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Prochilodontidae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Prochilodus nigricans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Pni</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4</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390.00 ± 170.68</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9.67 ± 0.38</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-24.41 ± 1.00</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1.98 (1.93 - 2.05)</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0.61 (0.55 - 0.68)</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Serrasalmidae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Myleus setiger</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Mse</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41.33 ± 6.03</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10.65 ± 0.52</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-30.93 ± 1.88</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2.42 (2.23 - 2.50)</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0.02 (0.06 - 0.36)</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Myloplus arnoldi</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Mar</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16.50 ± 12.02</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8.56 ± 0.33</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-20.72 ± 1.05</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1.93 (1.88 - 3.26)</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0.98 (0.53 - 0.91)</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Myloplus schomburgkii</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Msc</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1</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160.00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8.34 ± 0.00</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-28.06 ± 0.00</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2.17 (2.25 - 6.00)</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0.20 (0.19 - 0.67)</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Ossubtus xinguense</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Oxi</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75.73 ± 60.70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10.95 ± 0.69</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-27.04 ± 2.12</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2.40 (2.24 - 2.54)</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0.30 (0.20 - 0.46)</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Serrasalmus rhombeus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Srh</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1</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240.00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12.56 ± 0.00</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-25.56 ± 0.00</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5.55 (3.61 - 7.17)</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0.27 (0.22 - 0.67)</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Tometes kranponhah</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Tkr</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870.33 ± 562.65</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9.33 ± 0.45</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-32.51 ± 3.71</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2.11 (1.92 - 2.19)</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0.03 (0.11 - 0.51)</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Siluriformes</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Loricariidae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Ancistrus ranunculus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Ara</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4</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23.75 ± 24.62</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10.10 ± 0.27</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-29.51 ± 2.67</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2.31 (2.21 - 2.36)</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0.05 (0.07 - 0.28)</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Baryancistrus chrysolomus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Bch</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4</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397.50 ± 147.73</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9.36 ± 0.80</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-20.45 ± 1.93</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1.80 (1.72 - 1.93)</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0.99 (0.79 - 0.96)</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Pseudancistrus nudiventris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Pnu</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4</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63.75 ± 11.09</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8.96 ± 0.26</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-30.03 ± 0.17</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2.12 (2.06 - 2.16)</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0.00 (0.01 - 0.03)</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Baryancistrus xanthellus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Bxa</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4</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287.50 ± 51.88</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9.39 ± 0.05</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-23.48 ± 1.88</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1.88 (1.83 - 1.95)</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0.72 (0.59 - 0.80)</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Harttia duriventris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Hdu</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15.00 ± 13.08</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10.50 ± 0.20</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-25.98 ± 2.63</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2.26 (2.15 - 2.35)</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0.41 (0.29 - 0.58)</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Aphanotorulus emarginata</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Aem</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92.00 ± 67.88</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9.46 ± 0.51</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-21.39 ± 2.24</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1.87 (1.79 - 2.93)</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0.89 (0.46 - 0.86)</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Peckoltia feldbergae</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Pfe</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25.00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10.45 ± 0.35</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-27.11 ± 0.23</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2.30 (2.12 - 2.75)</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0.29 (0.22 - 0.39)</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Scobinancistrus pariolispos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Spa</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1</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272.00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11.19 ± 0.00</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-31.02 ± 0.00</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2.38 (2.30 - 5.93)</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0.09 (0.19 - 0.70)</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Pimelodidae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Phractocephalus hemioliopterus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Phe</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1</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4100.00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12.25 ± 0.00</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-28.05 ± 0.00</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5.40 (3.39 - 6.93)</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0.04 (0.18 - 0.68)</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Pseudopimelodus</w:t>
            </w:r>
            <w:r>
              <w:rPr>
                <w:rFonts w:eastAsia="Times New Roman" w:cs="Calibri" w:ascii="Times New Roman" w:hAnsi="Times New Roman"/>
                <w:color w:val="000000"/>
                <w:sz w:val="20"/>
                <w:szCs w:val="20"/>
              </w:rPr>
              <w:t xml:space="preserve"> </w:t>
            </w:r>
            <w:r>
              <w:rPr>
                <w:rFonts w:eastAsia="Times New Roman" w:cs="Calibri" w:ascii="Times New Roman" w:hAnsi="Times New Roman"/>
                <w:i/>
                <w:iCs/>
                <w:color w:val="000000"/>
                <w:sz w:val="20"/>
                <w:szCs w:val="20"/>
              </w:rPr>
              <w:t>bufonius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Pbu</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1</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45.00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12.01 ± 0.00</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-28.55 ± 0.00</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3.19 (2.75 - 6.08)</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0.08 (0.17 - 0.67)</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Pseudoplatystoma punctifer</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Ppu</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1</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1200.00 ± 0.00</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12.09 ± 0.00</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-27.67 ± 0.00</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5.15 (3.37 - 6.88)</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0.21 (0.19 - 0.67)</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Synbranchiformes</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Synbranchidae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Synbranchus marmoratus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Sma</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4</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25.00 ± 24.15</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11.16 ± 0.75</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-30.24 ± 1.66</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5.10 (4.67 - 5.29)</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0.01 (0.04 - 0.21)</w:t>
            </w:r>
          </w:p>
        </w:tc>
      </w:tr>
      <w:tr>
        <w:trPr>
          <w:trHeight w:val="288" w:hRule="atLeast"/>
        </w:trPr>
        <w:tc>
          <w:tcPr>
            <w:tcW w:w="294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Perciformes</w:t>
            </w:r>
          </w:p>
        </w:tc>
        <w:tc>
          <w:tcPr>
            <w:tcW w:w="59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A6A6A6"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xml:space="preserve">  </w:t>
            </w:r>
            <w:r>
              <w:rPr>
                <w:rFonts w:eastAsia="Times New Roman" w:cs="Calibri" w:ascii="Times New Roman" w:hAnsi="Times New Roman"/>
                <w:color w:val="000000"/>
                <w:sz w:val="20"/>
                <w:szCs w:val="20"/>
              </w:rPr>
              <w:t>Cichlidae</w:t>
            </w:r>
          </w:p>
        </w:tc>
        <w:tc>
          <w:tcPr>
            <w:tcW w:w="59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420"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439"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71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1532"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61"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c>
          <w:tcPr>
            <w:tcW w:w="2156" w:type="dxa"/>
            <w:tcBorders/>
            <w:shd w:color="000000" w:fill="D9D9D9"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 </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Cichla melaniae</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Cme</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219.50 ± 226.98</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11.49 ± 1.29</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-25.14 ± 4.50</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4.88 (3.89 - 5.93)</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0.35 (0.23 - 0.67)</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Crenicichla lugubris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Clu</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137.50 ± 173.24</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11.95 ± 1.04</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-24.74 ± 3.43</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5.1 (4.20 - 6.11)</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0.36 (0.25 - 0.67)</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Geophagus argyrostictus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Gar</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6</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72.00 ± 39.78</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10.44 ± 0.23</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-27.64 ± 1.03</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2.33 (2.29 - 2.38)</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0.23 (0.19 - 0.28)</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Retroculus xinguensis</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Rxi</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340.00 ± 98.99</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10.88 ± 0.14</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-29.46 ± 0.04</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2.52 (2.28 - 2.61)</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0.03 (0.03 - 0.13)</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Teleocichla</w:t>
            </w:r>
            <w:r>
              <w:rPr>
                <w:rFonts w:eastAsia="Times New Roman" w:cs="Calibri" w:ascii="Times New Roman" w:hAnsi="Times New Roman"/>
                <w:color w:val="000000"/>
                <w:sz w:val="20"/>
                <w:szCs w:val="20"/>
              </w:rPr>
              <w:t xml:space="preserve"> preta</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Tpr</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3</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16.67 ± 10.41</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11.32 ± 0.41</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-26.63 ± 1.86</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5.08 (4.70 - 5.31)</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0.19 (0.14 - 0.37)</w:t>
            </w:r>
          </w:p>
        </w:tc>
      </w:tr>
      <w:tr>
        <w:trPr>
          <w:trHeight w:val="288" w:hRule="atLeast"/>
        </w:trPr>
        <w:tc>
          <w:tcPr>
            <w:tcW w:w="2940"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i/>
                <w:iCs/>
                <w:color w:val="000000"/>
                <w:sz w:val="20"/>
                <w:szCs w:val="20"/>
              </w:rPr>
              <w:t xml:space="preserve">    </w:t>
            </w:r>
            <w:r>
              <w:rPr>
                <w:rFonts w:eastAsia="Times New Roman" w:cs="Calibri" w:ascii="Times New Roman" w:hAnsi="Times New Roman"/>
                <w:i/>
                <w:iCs/>
                <w:color w:val="000000"/>
                <w:sz w:val="20"/>
                <w:szCs w:val="20"/>
              </w:rPr>
              <w:t>Teleocichla</w:t>
            </w:r>
            <w:r>
              <w:rPr>
                <w:rFonts w:eastAsia="Times New Roman" w:cs="Calibri" w:ascii="Times New Roman" w:hAnsi="Times New Roman"/>
                <w:color w:val="000000"/>
                <w:sz w:val="20"/>
                <w:szCs w:val="20"/>
              </w:rPr>
              <w:t xml:space="preserve"> sp.</w:t>
            </w:r>
          </w:p>
        </w:tc>
        <w:tc>
          <w:tcPr>
            <w:tcW w:w="59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Tel</w:t>
            </w:r>
          </w:p>
        </w:tc>
        <w:tc>
          <w:tcPr>
            <w:tcW w:w="420" w:type="dxa"/>
            <w:tcBorders/>
            <w:shd w:color="auto" w:fill="auto" w:val="clear"/>
            <w:vAlign w:val="bottom"/>
          </w:tcPr>
          <w:p>
            <w:pPr>
              <w:pStyle w:val="Normal"/>
              <w:widowControl w:val="false"/>
              <w:spacing w:lineRule="auto" w:line="480" w:before="0" w:after="0"/>
              <w:jc w:val="right"/>
              <w:rPr>
                <w:rFonts w:ascii="Times New Roman" w:hAnsi="Times New Roman"/>
                <w:sz w:val="20"/>
                <w:szCs w:val="20"/>
              </w:rPr>
            </w:pPr>
            <w:r>
              <w:rPr>
                <w:rFonts w:eastAsia="Times New Roman" w:cs="Calibri" w:ascii="Times New Roman" w:hAnsi="Times New Roman"/>
                <w:color w:val="000000"/>
                <w:sz w:val="20"/>
                <w:szCs w:val="20"/>
              </w:rPr>
              <w:t>2</w:t>
            </w:r>
          </w:p>
        </w:tc>
        <w:tc>
          <w:tcPr>
            <w:tcW w:w="1439"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0.65 ± 0.49</w:t>
            </w:r>
          </w:p>
        </w:tc>
        <w:tc>
          <w:tcPr>
            <w:tcW w:w="171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10.50 ± 0.42</w:t>
            </w:r>
          </w:p>
        </w:tc>
        <w:tc>
          <w:tcPr>
            <w:tcW w:w="1532"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-21.00 ± 2.28</w:t>
            </w:r>
          </w:p>
        </w:tc>
        <w:tc>
          <w:tcPr>
            <w:tcW w:w="2161"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3.93 (3.64 - 5.21)</w:t>
            </w:r>
          </w:p>
        </w:tc>
        <w:tc>
          <w:tcPr>
            <w:tcW w:w="2156" w:type="dxa"/>
            <w:tcBorders/>
            <w:shd w:color="auto" w:fill="auto" w:val="clear"/>
            <w:vAlign w:val="bottom"/>
          </w:tcPr>
          <w:p>
            <w:pPr>
              <w:pStyle w:val="Normal"/>
              <w:widowControl w:val="false"/>
              <w:spacing w:lineRule="auto" w:line="480" w:before="0" w:after="0"/>
              <w:rPr>
                <w:rFonts w:ascii="Times New Roman" w:hAnsi="Times New Roman"/>
                <w:sz w:val="20"/>
                <w:szCs w:val="20"/>
              </w:rPr>
            </w:pPr>
            <w:r>
              <w:rPr>
                <w:rFonts w:eastAsia="Times New Roman" w:cs="Calibri" w:ascii="Times New Roman" w:hAnsi="Times New Roman"/>
                <w:color w:val="000000"/>
                <w:sz w:val="20"/>
                <w:szCs w:val="20"/>
              </w:rPr>
              <w:t>0.86 (0.47 - 0.85)</w:t>
            </w:r>
          </w:p>
        </w:tc>
      </w:tr>
    </w:tbl>
    <w:p>
      <w:pPr>
        <w:pStyle w:val="Normal"/>
        <w:spacing w:lineRule="auto" w:line="480" w:before="0" w:after="160"/>
        <w:rPr>
          <w:rFonts w:ascii="Times New Roman" w:hAnsi="Times New Roman"/>
          <w:sz w:val="20"/>
          <w:szCs w:val="20"/>
        </w:rPr>
      </w:pPr>
      <w:r>
        <w:rPr>
          <w:rFonts w:ascii="Times New Roman" w:hAnsi="Times New Roman"/>
          <w:sz w:val="20"/>
          <w:szCs w:val="20"/>
        </w:rPr>
      </w:r>
    </w:p>
    <w:sectPr>
      <w:footerReference w:type="default" r:id="rId4"/>
      <w:type w:val="nextPage"/>
      <w:pgSz w:orient="landscape" w:w="15840" w:h="12240"/>
      <w:pgMar w:left="1440" w:right="1440" w:gutter="0" w:header="0" w:top="1440" w:footer="1440" w:bottom="2172"/>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jc w:val="right"/>
      <w:rPr/>
    </w:pPr>
    <w:r>
      <w:rPr/>
      <w:fldChar w:fldCharType="begin"/>
    </w:r>
    <w:r>
      <w:rPr/>
      <w:instrText xml:space="preserve"> PAGE </w:instrText>
    </w:r>
    <w:r>
      <w:rPr/>
      <w:fldChar w:fldCharType="separate"/>
    </w:r>
    <w:r>
      <w:rPr/>
      <w:t>1</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jc w:val="right"/>
      <w:rPr/>
    </w:pPr>
    <w:r>
      <w:rPr/>
      <w:fldChar w:fldCharType="begin"/>
    </w:r>
    <w:r>
      <w:rPr/>
      <w:instrText xml:space="preserve"> PAGE </w:instrText>
    </w:r>
    <w:r>
      <w:rPr/>
      <w:fldChar w:fldCharType="separate"/>
    </w:r>
    <w:r>
      <w:rPr/>
      <w:t>12</w:t>
    </w:r>
    <w:r>
      <w:rPr/>
      <w:fldChar w:fldCharType="end"/>
    </w:r>
  </w:p>
</w:ft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semiHidden/>
    <w:unhideWhenUsed/>
    <w:rsid w:val="00db1cbb"/>
    <w:rPr>
      <w:color w:val="0563C1"/>
      <w:u w:val="single"/>
    </w:rPr>
  </w:style>
  <w:style w:type="character" w:styleId="VisitedInternetLink">
    <w:name w:val="FollowedHyperlink"/>
    <w:basedOn w:val="DefaultParagraphFont"/>
    <w:uiPriority w:val="99"/>
    <w:semiHidden/>
    <w:unhideWhenUsed/>
    <w:rsid w:val="00db1cbb"/>
    <w:rPr>
      <w:color w:val="954F72"/>
      <w:u w:val="single"/>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Msonormal" w:customStyle="1">
    <w:name w:val="msonormal"/>
    <w:basedOn w:val="Normal"/>
    <w:qFormat/>
    <w:rsid w:val="00db1cbb"/>
    <w:pPr>
      <w:spacing w:lineRule="auto" w:line="240" w:beforeAutospacing="1" w:afterAutospacing="1"/>
    </w:pPr>
    <w:rPr>
      <w:rFonts w:ascii="Times New Roman" w:hAnsi="Times New Roman" w:eastAsia="Times New Roman" w:cs="Times New Roman"/>
      <w:sz w:val="24"/>
      <w:szCs w:val="24"/>
    </w:rPr>
  </w:style>
  <w:style w:type="paragraph" w:styleId="Font5" w:customStyle="1">
    <w:name w:val="font5"/>
    <w:basedOn w:val="Normal"/>
    <w:qFormat/>
    <w:rsid w:val="00db1cbb"/>
    <w:pPr>
      <w:spacing w:lineRule="auto" w:line="240" w:beforeAutospacing="1" w:afterAutospacing="1"/>
    </w:pPr>
    <w:rPr>
      <w:rFonts w:ascii="Calibri" w:hAnsi="Calibri" w:eastAsia="Times New Roman" w:cs="Calibri"/>
      <w:color w:val="000000"/>
      <w:sz w:val="20"/>
      <w:szCs w:val="20"/>
    </w:rPr>
  </w:style>
  <w:style w:type="paragraph" w:styleId="Font6" w:customStyle="1">
    <w:name w:val="font6"/>
    <w:basedOn w:val="Normal"/>
    <w:qFormat/>
    <w:rsid w:val="00db1cbb"/>
    <w:pPr>
      <w:spacing w:lineRule="auto" w:line="240" w:beforeAutospacing="1" w:afterAutospacing="1"/>
    </w:pPr>
    <w:rPr>
      <w:rFonts w:ascii="Calibri" w:hAnsi="Calibri" w:eastAsia="Times New Roman" w:cs="Calibri"/>
      <w:i/>
      <w:iCs/>
      <w:color w:val="000000"/>
      <w:sz w:val="20"/>
      <w:szCs w:val="20"/>
    </w:rPr>
  </w:style>
  <w:style w:type="paragraph" w:styleId="Xl66" w:customStyle="1">
    <w:name w:val="xl66"/>
    <w:basedOn w:val="Normal"/>
    <w:qFormat/>
    <w:rsid w:val="00db1cbb"/>
    <w:pPr>
      <w:spacing w:lineRule="auto" w:line="240" w:beforeAutospacing="1" w:afterAutospacing="1"/>
    </w:pPr>
    <w:rPr>
      <w:rFonts w:ascii="Times New Roman" w:hAnsi="Times New Roman" w:eastAsia="Times New Roman" w:cs="Times New Roman"/>
      <w:sz w:val="20"/>
      <w:szCs w:val="20"/>
    </w:rPr>
  </w:style>
  <w:style w:type="paragraph" w:styleId="Xl67" w:customStyle="1">
    <w:name w:val="xl67"/>
    <w:basedOn w:val="Normal"/>
    <w:qFormat/>
    <w:rsid w:val="00db1cbb"/>
    <w:pPr>
      <w:spacing w:lineRule="auto" w:line="240" w:beforeAutospacing="1" w:afterAutospacing="1"/>
    </w:pPr>
    <w:rPr>
      <w:rFonts w:ascii="Times New Roman" w:hAnsi="Times New Roman" w:eastAsia="Times New Roman" w:cs="Times New Roman"/>
      <w:sz w:val="20"/>
      <w:szCs w:val="20"/>
    </w:rPr>
  </w:style>
  <w:style w:type="paragraph" w:styleId="Xl68" w:customStyle="1">
    <w:name w:val="xl68"/>
    <w:basedOn w:val="Normal"/>
    <w:qFormat/>
    <w:rsid w:val="00db1cbb"/>
    <w:pPr>
      <w:spacing w:lineRule="auto" w:line="240" w:beforeAutospacing="1" w:afterAutospacing="1"/>
    </w:pPr>
    <w:rPr>
      <w:rFonts w:ascii="Times New Roman" w:hAnsi="Times New Roman" w:eastAsia="Times New Roman" w:cs="Times New Roman"/>
      <w:i/>
      <w:iCs/>
      <w:sz w:val="20"/>
      <w:szCs w:val="20"/>
    </w:rPr>
  </w:style>
  <w:style w:type="paragraph" w:styleId="Xl69" w:customStyle="1">
    <w:name w:val="xl69"/>
    <w:basedOn w:val="Normal"/>
    <w:qFormat/>
    <w:rsid w:val="00db1cbb"/>
    <w:pPr>
      <w:spacing w:lineRule="auto" w:line="240" w:beforeAutospacing="1" w:afterAutospacing="1"/>
    </w:pPr>
    <w:rPr>
      <w:rFonts w:ascii="Times New Roman" w:hAnsi="Times New Roman" w:eastAsia="Times New Roman" w:cs="Times New Roman"/>
      <w:sz w:val="20"/>
      <w:szCs w:val="20"/>
    </w:rPr>
  </w:style>
  <w:style w:type="paragraph" w:styleId="Xl70" w:customStyle="1">
    <w:name w:val="xl70"/>
    <w:basedOn w:val="Normal"/>
    <w:qFormat/>
    <w:rsid w:val="00db1cbb"/>
    <w:pPr>
      <w:shd w:val="clear" w:color="000000" w:fill="A6A6A6"/>
      <w:spacing w:lineRule="auto" w:line="240" w:beforeAutospacing="1" w:afterAutospacing="1"/>
    </w:pPr>
    <w:rPr>
      <w:rFonts w:ascii="Times New Roman" w:hAnsi="Times New Roman" w:eastAsia="Times New Roman" w:cs="Times New Roman"/>
      <w:sz w:val="20"/>
      <w:szCs w:val="20"/>
    </w:rPr>
  </w:style>
  <w:style w:type="paragraph" w:styleId="Xl71" w:customStyle="1">
    <w:name w:val="xl71"/>
    <w:basedOn w:val="Normal"/>
    <w:qFormat/>
    <w:rsid w:val="00db1cbb"/>
    <w:pPr>
      <w:shd w:val="clear" w:color="000000" w:fill="A6A6A6"/>
      <w:spacing w:lineRule="auto" w:line="240" w:beforeAutospacing="1" w:afterAutospacing="1"/>
    </w:pPr>
    <w:rPr>
      <w:rFonts w:ascii="Times New Roman" w:hAnsi="Times New Roman" w:eastAsia="Times New Roman" w:cs="Times New Roman"/>
      <w:b/>
      <w:bCs/>
      <w:sz w:val="20"/>
      <w:szCs w:val="20"/>
    </w:rPr>
  </w:style>
  <w:style w:type="paragraph" w:styleId="Xl72" w:customStyle="1">
    <w:name w:val="xl72"/>
    <w:basedOn w:val="Normal"/>
    <w:qFormat/>
    <w:rsid w:val="00db1cbb"/>
    <w:pPr>
      <w:shd w:val="clear" w:color="000000" w:fill="A6A6A6"/>
      <w:spacing w:lineRule="auto" w:line="240" w:beforeAutospacing="1" w:afterAutospacing="1"/>
    </w:pPr>
    <w:rPr>
      <w:rFonts w:ascii="Times New Roman" w:hAnsi="Times New Roman" w:eastAsia="Times New Roman" w:cs="Times New Roman"/>
      <w:b/>
      <w:bCs/>
      <w:sz w:val="20"/>
      <w:szCs w:val="20"/>
    </w:rPr>
  </w:style>
  <w:style w:type="paragraph" w:styleId="Xl73" w:customStyle="1">
    <w:name w:val="xl73"/>
    <w:basedOn w:val="Normal"/>
    <w:qFormat/>
    <w:rsid w:val="00db1cbb"/>
    <w:pPr>
      <w:shd w:val="clear" w:color="000000" w:fill="A6A6A6"/>
      <w:spacing w:lineRule="auto" w:line="240" w:beforeAutospacing="1" w:afterAutospacing="1"/>
    </w:pPr>
    <w:rPr>
      <w:rFonts w:ascii="Times New Roman" w:hAnsi="Times New Roman" w:eastAsia="Times New Roman" w:cs="Times New Roman"/>
      <w:sz w:val="20"/>
      <w:szCs w:val="20"/>
    </w:rPr>
  </w:style>
  <w:style w:type="paragraph" w:styleId="Xl74" w:customStyle="1">
    <w:name w:val="xl74"/>
    <w:basedOn w:val="Normal"/>
    <w:qFormat/>
    <w:rsid w:val="00db1cbb"/>
    <w:pPr>
      <w:shd w:val="clear" w:color="000000" w:fill="D9D9D9"/>
      <w:spacing w:lineRule="auto" w:line="240" w:beforeAutospacing="1" w:afterAutospacing="1"/>
    </w:pPr>
    <w:rPr>
      <w:rFonts w:ascii="Times New Roman" w:hAnsi="Times New Roman" w:eastAsia="Times New Roman" w:cs="Times New Roman"/>
      <w:sz w:val="20"/>
      <w:szCs w:val="20"/>
    </w:rPr>
  </w:style>
  <w:style w:type="paragraph" w:styleId="Xl75" w:customStyle="1">
    <w:name w:val="xl75"/>
    <w:basedOn w:val="Normal"/>
    <w:qFormat/>
    <w:rsid w:val="00db1cbb"/>
    <w:pPr>
      <w:shd w:val="clear" w:color="000000" w:fill="D9D9D9"/>
      <w:spacing w:lineRule="auto" w:line="240" w:beforeAutospacing="1" w:afterAutospacing="1"/>
    </w:pPr>
    <w:rPr>
      <w:rFonts w:ascii="Times New Roman" w:hAnsi="Times New Roman" w:eastAsia="Times New Roman" w:cs="Times New Roman"/>
      <w:sz w:val="20"/>
      <w:szCs w:val="20"/>
    </w:rPr>
  </w:style>
  <w:style w:type="paragraph" w:styleId="Xl76" w:customStyle="1">
    <w:name w:val="xl76"/>
    <w:basedOn w:val="Normal"/>
    <w:qFormat/>
    <w:rsid w:val="00db1cbb"/>
    <w:pPr>
      <w:shd w:val="clear" w:color="000000" w:fill="D9D9D9"/>
      <w:spacing w:lineRule="auto" w:line="240" w:beforeAutospacing="1" w:afterAutospacing="1"/>
    </w:pPr>
    <w:rPr>
      <w:rFonts w:ascii="Times New Roman" w:hAnsi="Times New Roman" w:eastAsia="Times New Roman" w:cs="Times New Roman"/>
      <w:b/>
      <w:bCs/>
      <w:sz w:val="20"/>
      <w:szCs w:val="20"/>
    </w:rPr>
  </w:style>
  <w:style w:type="paragraph" w:styleId="Xl77" w:customStyle="1">
    <w:name w:val="xl77"/>
    <w:basedOn w:val="Normal"/>
    <w:qFormat/>
    <w:rsid w:val="00db1cbb"/>
    <w:pPr>
      <w:shd w:val="clear" w:color="000000" w:fill="D9D9D9"/>
      <w:spacing w:lineRule="auto" w:line="240" w:beforeAutospacing="1" w:afterAutospacing="1"/>
    </w:pPr>
    <w:rPr>
      <w:rFonts w:ascii="Times New Roman" w:hAnsi="Times New Roman" w:eastAsia="Times New Roman" w:cs="Times New Roman"/>
      <w:b/>
      <w:bCs/>
      <w:sz w:val="20"/>
      <w:szCs w:val="20"/>
    </w:rPr>
  </w:style>
  <w:style w:type="paragraph" w:styleId="Xl78" w:customStyle="1">
    <w:name w:val="xl78"/>
    <w:basedOn w:val="Normal"/>
    <w:qFormat/>
    <w:rsid w:val="00db1cbb"/>
    <w:pPr>
      <w:shd w:val="clear" w:color="000000" w:fill="5B9BD5"/>
      <w:spacing w:lineRule="auto" w:line="240" w:beforeAutospacing="1" w:afterAutospacing="1"/>
    </w:pPr>
    <w:rPr>
      <w:rFonts w:ascii="Times New Roman" w:hAnsi="Times New Roman" w:eastAsia="Times New Roman" w:cs="Times New Roman"/>
      <w:b/>
      <w:bCs/>
      <w:sz w:val="20"/>
      <w:szCs w:val="20"/>
    </w:rPr>
  </w:style>
  <w:style w:type="paragraph" w:styleId="Xl79" w:customStyle="1">
    <w:name w:val="xl79"/>
    <w:basedOn w:val="Normal"/>
    <w:qFormat/>
    <w:rsid w:val="00db1cbb"/>
    <w:pPr>
      <w:shd w:val="clear" w:color="000000" w:fill="5B9BD5"/>
      <w:spacing w:lineRule="auto" w:line="240" w:beforeAutospacing="1" w:afterAutospacing="1"/>
    </w:pPr>
    <w:rPr>
      <w:rFonts w:ascii="Times New Roman" w:hAnsi="Times New Roman" w:eastAsia="Times New Roman" w:cs="Times New Roman"/>
      <w:b/>
      <w:bCs/>
      <w:sz w:val="20"/>
      <w:szCs w:val="20"/>
    </w:rPr>
  </w:style>
  <w:style w:type="paragraph" w:styleId="HeaderandFooter">
    <w:name w:val="Header and Footer"/>
    <w:basedOn w:val="Normal"/>
    <w:qFormat/>
    <w:pPr>
      <w:suppressLineNumbers/>
      <w:tabs>
        <w:tab w:val="clear" w:pos="720"/>
        <w:tab w:val="center" w:pos="4680" w:leader="none"/>
        <w:tab w:val="right" w:pos="9360" w:leader="none"/>
      </w:tabs>
    </w:pPr>
    <w:rPr/>
  </w:style>
  <w:style w:type="paragraph" w:styleId="Footer">
    <w:name w:val="Footer"/>
    <w:basedOn w:val="HeaderandFooter"/>
    <w:pPr>
      <w:suppressLineNumber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oi.org/10.1073/pnas.14.12.922"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Application>LibreOffice/7.3.7.2$Windows_X86_64 LibreOffice_project/e114eadc50a9ff8d8c8a0567d6da8f454beeb84f</Application>
  <AppVersion>15.0000</AppVersion>
  <Pages>12</Pages>
  <Words>1945</Words>
  <Characters>9334</Characters>
  <CharactersWithSpaces>11483</CharactersWithSpaces>
  <Paragraphs>1130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2022-07-28T14:31:00Z</dcterms:created>
  <dc:creator>Friedrich Wolfgang Keppeler</dc:creator>
  <dc:description/>
  <dc:language>en-US</dc:language>
  <cp:lastModifiedBy/>
  <dcterms:modified xsi:type="dcterms:W3CDTF">2023-02-22T11:25:46Z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