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0D0F1" w14:textId="793EA0E5" w:rsidR="00D878B1" w:rsidRPr="00694420" w:rsidRDefault="00D878B1" w:rsidP="00D87A09">
      <w:pPr>
        <w:rPr>
          <w:b/>
          <w:sz w:val="28"/>
          <w:szCs w:val="28"/>
        </w:rPr>
      </w:pPr>
      <w:r w:rsidRPr="00694420">
        <w:rPr>
          <w:b/>
          <w:sz w:val="28"/>
          <w:szCs w:val="28"/>
        </w:rPr>
        <w:t>SUPPLEMENT</w:t>
      </w:r>
    </w:p>
    <w:p w14:paraId="1C96532F" w14:textId="77777777" w:rsidR="000E5855" w:rsidRPr="00694420" w:rsidRDefault="000E5855" w:rsidP="000E5855">
      <w:pPr>
        <w:snapToGrid w:val="0"/>
        <w:spacing w:line="480" w:lineRule="auto"/>
        <w:rPr>
          <w:b/>
          <w:sz w:val="28"/>
          <w:szCs w:val="28"/>
        </w:rPr>
      </w:pPr>
    </w:p>
    <w:p w14:paraId="32BC51DC" w14:textId="77777777" w:rsidR="00D40345" w:rsidRPr="00DB0878" w:rsidRDefault="00D40345" w:rsidP="00D40345">
      <w:pPr>
        <w:snapToGrid w:val="0"/>
        <w:spacing w:line="480" w:lineRule="auto"/>
        <w:ind w:right="7"/>
        <w:rPr>
          <w:rFonts w:eastAsia="Arial"/>
          <w:b/>
          <w:sz w:val="28"/>
          <w:szCs w:val="28"/>
          <w:lang w:eastAsia="de-DE"/>
        </w:rPr>
      </w:pPr>
      <w:r w:rsidRPr="00AF67EB">
        <w:rPr>
          <w:rFonts w:eastAsia="Arial"/>
          <w:b/>
          <w:sz w:val="28"/>
          <w:szCs w:val="28"/>
          <w:lang w:eastAsia="de-DE"/>
        </w:rPr>
        <w:t>Empagliflozin effects on iron metabolism as a possible mechanism for improved clinical outcomes in non-diabet</w:t>
      </w:r>
      <w:r w:rsidRPr="00341EB4">
        <w:rPr>
          <w:rFonts w:eastAsia="Arial"/>
          <w:b/>
          <w:sz w:val="28"/>
          <w:szCs w:val="28"/>
          <w:lang w:eastAsia="de-DE"/>
        </w:rPr>
        <w:t>i</w:t>
      </w:r>
      <w:r w:rsidRPr="00AF67EB">
        <w:rPr>
          <w:rFonts w:eastAsia="Arial"/>
          <w:b/>
          <w:sz w:val="28"/>
          <w:szCs w:val="28"/>
          <w:lang w:eastAsia="de-DE"/>
        </w:rPr>
        <w:t>c patients with systolic heart failure</w:t>
      </w:r>
    </w:p>
    <w:p w14:paraId="6E82F1C7" w14:textId="77777777" w:rsidR="00D87A09" w:rsidRPr="00D87A09" w:rsidRDefault="00D87A09" w:rsidP="00D87A09">
      <w:pPr>
        <w:snapToGrid w:val="0"/>
        <w:spacing w:line="480" w:lineRule="auto"/>
        <w:ind w:right="7"/>
        <w:rPr>
          <w:rFonts w:eastAsia="Arial"/>
          <w:lang w:eastAsia="de-DE"/>
        </w:rPr>
      </w:pPr>
    </w:p>
    <w:p w14:paraId="10382F45" w14:textId="621229F4" w:rsidR="00D87A09" w:rsidRPr="00D87A09" w:rsidRDefault="00D87A09" w:rsidP="00D87A09">
      <w:pPr>
        <w:snapToGrid w:val="0"/>
        <w:spacing w:line="480" w:lineRule="auto"/>
        <w:ind w:right="7"/>
        <w:rPr>
          <w:rFonts w:eastAsia="Arial"/>
          <w:lang w:eastAsia="de-DE"/>
        </w:rPr>
      </w:pPr>
      <w:r w:rsidRPr="00D87A09">
        <w:rPr>
          <w:rFonts w:eastAsia="Arial"/>
          <w:lang w:eastAsia="de-DE"/>
        </w:rPr>
        <w:t xml:space="preserve">Christiane E. </w:t>
      </w:r>
      <w:proofErr w:type="spellStart"/>
      <w:r w:rsidRPr="00D87A09">
        <w:rPr>
          <w:rFonts w:eastAsia="Arial"/>
          <w:lang w:eastAsia="de-DE"/>
        </w:rPr>
        <w:t>Angermann</w:t>
      </w:r>
      <w:proofErr w:type="spellEnd"/>
      <w:r w:rsidRPr="00D87A09">
        <w:rPr>
          <w:rFonts w:eastAsia="Arial"/>
          <w:lang w:eastAsia="de-DE"/>
        </w:rPr>
        <w:t xml:space="preserve"> MD</w:t>
      </w:r>
      <w:r w:rsidRPr="00D87A09">
        <w:rPr>
          <w:rFonts w:eastAsia="Arial"/>
          <w:vertAlign w:val="superscript"/>
          <w:lang w:eastAsia="de-DE"/>
        </w:rPr>
        <w:t>1</w:t>
      </w:r>
      <w:r w:rsidRPr="00D87A09">
        <w:rPr>
          <w:rFonts w:eastAsia="Arial"/>
          <w:lang w:eastAsia="de-DE"/>
        </w:rPr>
        <w:t>; Carlos G Santos-Gallego MD</w:t>
      </w:r>
      <w:r w:rsidRPr="00D87A09">
        <w:rPr>
          <w:rFonts w:eastAsia="Arial"/>
          <w:vertAlign w:val="superscript"/>
          <w:lang w:eastAsia="de-DE"/>
        </w:rPr>
        <w:t>2</w:t>
      </w:r>
      <w:r w:rsidRPr="00D87A09">
        <w:rPr>
          <w:rFonts w:eastAsia="Arial"/>
          <w:lang w:eastAsia="de-DE"/>
        </w:rPr>
        <w:t xml:space="preserve">; Juan Antonio </w:t>
      </w:r>
      <w:proofErr w:type="spellStart"/>
      <w:r w:rsidRPr="00D87A09">
        <w:rPr>
          <w:rFonts w:eastAsia="Arial"/>
          <w:lang w:eastAsia="de-DE"/>
        </w:rPr>
        <w:t>Requena</w:t>
      </w:r>
      <w:proofErr w:type="spellEnd"/>
      <w:r w:rsidRPr="00D87A09">
        <w:rPr>
          <w:rFonts w:eastAsia="Arial"/>
          <w:lang w:eastAsia="de-DE"/>
        </w:rPr>
        <w:t>-Ibanez MD</w:t>
      </w:r>
      <w:r w:rsidRPr="00D87A09">
        <w:rPr>
          <w:rFonts w:eastAsia="Arial"/>
          <w:vertAlign w:val="superscript"/>
          <w:lang w:eastAsia="de-DE"/>
        </w:rPr>
        <w:t xml:space="preserve"> 2</w:t>
      </w:r>
      <w:r w:rsidRPr="00D87A09">
        <w:rPr>
          <w:rFonts w:eastAsia="Arial"/>
          <w:lang w:eastAsia="de-DE"/>
        </w:rPr>
        <w:t>; Susanne Sehner</w:t>
      </w:r>
      <w:r w:rsidRPr="00D87A09">
        <w:rPr>
          <w:rFonts w:eastAsia="Arial"/>
          <w:vertAlign w:val="superscript"/>
          <w:lang w:eastAsia="de-DE"/>
        </w:rPr>
        <w:t>3</w:t>
      </w:r>
      <w:r w:rsidRPr="00D87A09">
        <w:rPr>
          <w:rFonts w:eastAsia="Arial"/>
          <w:lang w:eastAsia="de-DE"/>
        </w:rPr>
        <w:t>; Tanja Zeller PhD</w:t>
      </w:r>
      <w:r w:rsidRPr="00D87A09">
        <w:rPr>
          <w:rFonts w:eastAsia="Arial"/>
          <w:vertAlign w:val="superscript"/>
          <w:lang w:eastAsia="de-DE"/>
        </w:rPr>
        <w:t>4</w:t>
      </w:r>
      <w:r w:rsidRPr="00D87A09">
        <w:rPr>
          <w:rFonts w:eastAsia="Arial"/>
          <w:lang w:eastAsia="de-DE"/>
        </w:rPr>
        <w:t>; Louisa M. S. Gerhardt MD</w:t>
      </w:r>
      <w:r w:rsidRPr="00D87A09">
        <w:rPr>
          <w:rFonts w:eastAsia="Arial"/>
          <w:vertAlign w:val="superscript"/>
          <w:lang w:eastAsia="de-DE"/>
        </w:rPr>
        <w:t>5</w:t>
      </w:r>
      <w:r w:rsidR="00F85B58">
        <w:rPr>
          <w:rFonts w:eastAsia="Arial"/>
          <w:vertAlign w:val="superscript"/>
          <w:lang w:eastAsia="de-DE"/>
        </w:rPr>
        <w:t>,6</w:t>
      </w:r>
      <w:r w:rsidRPr="00D87A09">
        <w:rPr>
          <w:rFonts w:eastAsia="Arial"/>
          <w:lang w:eastAsia="de-DE"/>
        </w:rPr>
        <w:t xml:space="preserve">, Christoph </w:t>
      </w:r>
      <w:proofErr w:type="spellStart"/>
      <w:r w:rsidRPr="00D87A09">
        <w:rPr>
          <w:rFonts w:eastAsia="Arial"/>
          <w:lang w:eastAsia="de-DE"/>
        </w:rPr>
        <w:t>Maack</w:t>
      </w:r>
      <w:proofErr w:type="spellEnd"/>
      <w:r w:rsidRPr="00D87A09">
        <w:rPr>
          <w:rFonts w:eastAsia="Arial"/>
          <w:lang w:eastAsia="de-DE"/>
        </w:rPr>
        <w:t xml:space="preserve"> MD</w:t>
      </w:r>
      <w:r w:rsidRPr="00D87A09">
        <w:rPr>
          <w:rFonts w:eastAsia="Arial"/>
          <w:vertAlign w:val="superscript"/>
          <w:lang w:eastAsia="de-DE"/>
        </w:rPr>
        <w:t>1</w:t>
      </w:r>
      <w:r w:rsidRPr="00D87A09">
        <w:rPr>
          <w:rFonts w:eastAsia="Arial"/>
          <w:lang w:eastAsia="de-DE"/>
        </w:rPr>
        <w:t>; Javier Sanz MD</w:t>
      </w:r>
      <w:r w:rsidRPr="00D87A09">
        <w:rPr>
          <w:rFonts w:eastAsia="Arial"/>
          <w:vertAlign w:val="superscript"/>
          <w:lang w:eastAsia="de-DE"/>
        </w:rPr>
        <w:t xml:space="preserve"> 2</w:t>
      </w:r>
      <w:r w:rsidRPr="00D87A09">
        <w:rPr>
          <w:rFonts w:eastAsia="Arial"/>
          <w:lang w:eastAsia="de-DE"/>
        </w:rPr>
        <w:t xml:space="preserve">; </w:t>
      </w:r>
      <w:r w:rsidR="000403A8">
        <w:rPr>
          <w:rFonts w:eastAsia="Arial"/>
          <w:lang w:eastAsia="de-DE"/>
        </w:rPr>
        <w:t>Stefan Frantz MD</w:t>
      </w:r>
      <w:r w:rsidR="000403A8">
        <w:rPr>
          <w:rFonts w:eastAsia="Arial"/>
          <w:vertAlign w:val="superscript"/>
          <w:lang w:eastAsia="de-DE"/>
        </w:rPr>
        <w:t>1</w:t>
      </w:r>
      <w:r w:rsidR="000403A8">
        <w:rPr>
          <w:rFonts w:eastAsia="Arial"/>
          <w:lang w:eastAsia="de-DE"/>
        </w:rPr>
        <w:t xml:space="preserve">; </w:t>
      </w:r>
      <w:r w:rsidRPr="00D87A09">
        <w:rPr>
          <w:rFonts w:eastAsia="Arial"/>
          <w:lang w:eastAsia="de-DE"/>
        </w:rPr>
        <w:t xml:space="preserve">Valentin </w:t>
      </w:r>
      <w:proofErr w:type="spellStart"/>
      <w:r w:rsidRPr="00D87A09">
        <w:rPr>
          <w:rFonts w:eastAsia="Arial"/>
          <w:lang w:eastAsia="de-DE"/>
        </w:rPr>
        <w:t>Fuster</w:t>
      </w:r>
      <w:proofErr w:type="spellEnd"/>
      <w:r w:rsidRPr="00D87A09">
        <w:rPr>
          <w:rFonts w:eastAsia="Arial"/>
          <w:lang w:eastAsia="de-DE"/>
        </w:rPr>
        <w:t xml:space="preserve"> MD, PhD</w:t>
      </w:r>
      <w:r w:rsidRPr="00D87A09">
        <w:rPr>
          <w:rFonts w:eastAsia="Arial"/>
          <w:vertAlign w:val="superscript"/>
          <w:lang w:eastAsia="de-DE"/>
        </w:rPr>
        <w:t>2</w:t>
      </w:r>
      <w:r w:rsidRPr="00D87A09">
        <w:rPr>
          <w:rFonts w:eastAsia="Arial"/>
          <w:lang w:eastAsia="de-DE"/>
        </w:rPr>
        <w:t xml:space="preserve">; Georg </w:t>
      </w:r>
      <w:proofErr w:type="spellStart"/>
      <w:r w:rsidRPr="00D87A09">
        <w:rPr>
          <w:rFonts w:eastAsia="Arial"/>
          <w:lang w:eastAsia="de-DE"/>
        </w:rPr>
        <w:t>Ertl</w:t>
      </w:r>
      <w:proofErr w:type="spellEnd"/>
      <w:r w:rsidRPr="00D87A09">
        <w:rPr>
          <w:rFonts w:eastAsia="Arial"/>
          <w:lang w:eastAsia="de-DE"/>
        </w:rPr>
        <w:t xml:space="preserve"> MD</w:t>
      </w:r>
      <w:r w:rsidRPr="00D87A09">
        <w:rPr>
          <w:rFonts w:eastAsia="Arial"/>
          <w:vertAlign w:val="superscript"/>
          <w:lang w:eastAsia="de-DE"/>
        </w:rPr>
        <w:t>1</w:t>
      </w:r>
      <w:r w:rsidRPr="00D87A09">
        <w:rPr>
          <w:rFonts w:eastAsia="Arial"/>
          <w:lang w:eastAsia="de-DE"/>
        </w:rPr>
        <w:t xml:space="preserve">; Juan J </w:t>
      </w:r>
      <w:proofErr w:type="spellStart"/>
      <w:r w:rsidRPr="00D87A09">
        <w:rPr>
          <w:rFonts w:eastAsia="Arial"/>
          <w:lang w:eastAsia="de-DE"/>
        </w:rPr>
        <w:t>Badimon</w:t>
      </w:r>
      <w:proofErr w:type="spellEnd"/>
      <w:r w:rsidRPr="00D87A09">
        <w:rPr>
          <w:rFonts w:eastAsia="Arial"/>
          <w:lang w:eastAsia="de-DE"/>
        </w:rPr>
        <w:t xml:space="preserve"> PhD</w:t>
      </w:r>
      <w:r w:rsidRPr="00D87A09">
        <w:rPr>
          <w:rFonts w:eastAsia="Arial"/>
          <w:vertAlign w:val="superscript"/>
          <w:lang w:eastAsia="de-DE"/>
        </w:rPr>
        <w:t>2</w:t>
      </w:r>
    </w:p>
    <w:p w14:paraId="567A22DC" w14:textId="77777777" w:rsidR="00D87A09" w:rsidRPr="0069292A" w:rsidRDefault="00D87A09" w:rsidP="00D87A09">
      <w:pPr>
        <w:snapToGrid w:val="0"/>
        <w:spacing w:line="480" w:lineRule="auto"/>
        <w:ind w:right="7"/>
        <w:rPr>
          <w:rFonts w:eastAsia="Arial"/>
          <w:color w:val="000000"/>
          <w:lang w:eastAsia="de-DE"/>
        </w:rPr>
      </w:pPr>
    </w:p>
    <w:p w14:paraId="00DFD855" w14:textId="77777777" w:rsidR="0069292A" w:rsidRPr="0069292A" w:rsidRDefault="00D87A09" w:rsidP="0069292A">
      <w:pPr>
        <w:pStyle w:val="CommentText"/>
        <w:snapToGrid w:val="0"/>
        <w:spacing w:line="480" w:lineRule="auto"/>
        <w:rPr>
          <w:rFonts w:ascii="Times New Roman" w:eastAsia="Arial" w:hAnsi="Times New Roman" w:cs="Times New Roman"/>
          <w:color w:val="000000"/>
          <w:lang w:eastAsia="de-DE"/>
        </w:rPr>
      </w:pPr>
      <w:r w:rsidRPr="0069292A">
        <w:rPr>
          <w:rFonts w:ascii="Times New Roman" w:eastAsia="Arial" w:hAnsi="Times New Roman" w:cs="Times New Roman"/>
          <w:color w:val="000000"/>
          <w:vertAlign w:val="superscript"/>
          <w:lang w:eastAsia="de-DE"/>
        </w:rPr>
        <w:t>1</w:t>
      </w:r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Comprehensive Heart Failure </w:t>
      </w:r>
      <w:proofErr w:type="spellStart"/>
      <w:r w:rsidRPr="0069292A">
        <w:rPr>
          <w:rFonts w:ascii="Times New Roman" w:eastAsia="Arial" w:hAnsi="Times New Roman" w:cs="Times New Roman"/>
          <w:color w:val="000000"/>
          <w:lang w:eastAsia="de-DE"/>
        </w:rPr>
        <w:t>Center</w:t>
      </w:r>
      <w:proofErr w:type="spellEnd"/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 Würzburg, University and University Hospital Würzburg, and Department of Medicine 1, University Hospital Würzburg, Würzburg, Germany; </w:t>
      </w:r>
      <w:r w:rsidRPr="0069292A">
        <w:rPr>
          <w:rFonts w:ascii="Times New Roman" w:eastAsia="Arial" w:hAnsi="Times New Roman" w:cs="Times New Roman"/>
          <w:color w:val="000000"/>
          <w:vertAlign w:val="superscript"/>
          <w:lang w:eastAsia="de-DE"/>
        </w:rPr>
        <w:t>2</w:t>
      </w:r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Cardiovascular Institute, Icahn School of Medicine at Mount Sinai, New York, NY, USA; </w:t>
      </w:r>
      <w:r w:rsidRPr="0069292A">
        <w:rPr>
          <w:rFonts w:ascii="Times New Roman" w:eastAsia="Arial" w:hAnsi="Times New Roman" w:cs="Times New Roman"/>
          <w:color w:val="000000"/>
          <w:vertAlign w:val="superscript"/>
          <w:lang w:eastAsia="de-DE"/>
        </w:rPr>
        <w:t>3</w:t>
      </w:r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Institute of Medical Biometry and Epidemiology, University Hospital Hamburg-Eppendorf, Hamburg, Germany; </w:t>
      </w:r>
      <w:r w:rsidRPr="0069292A">
        <w:rPr>
          <w:rFonts w:ascii="Times New Roman" w:eastAsia="Arial" w:hAnsi="Times New Roman" w:cs="Times New Roman"/>
          <w:color w:val="000000"/>
          <w:vertAlign w:val="superscript"/>
          <w:lang w:eastAsia="de-DE"/>
        </w:rPr>
        <w:t>4</w:t>
      </w:r>
      <w:r w:rsidRPr="0069292A">
        <w:rPr>
          <w:rFonts w:ascii="Times New Roman" w:hAnsi="Times New Roman" w:cs="Times New Roman"/>
        </w:rPr>
        <w:t xml:space="preserve">University </w:t>
      </w:r>
      <w:proofErr w:type="spellStart"/>
      <w:r w:rsidRPr="0069292A">
        <w:rPr>
          <w:rFonts w:ascii="Times New Roman" w:hAnsi="Times New Roman" w:cs="Times New Roman"/>
        </w:rPr>
        <w:t>Center</w:t>
      </w:r>
      <w:proofErr w:type="spellEnd"/>
      <w:r w:rsidRPr="0069292A">
        <w:rPr>
          <w:rFonts w:ascii="Times New Roman" w:hAnsi="Times New Roman" w:cs="Times New Roman"/>
        </w:rPr>
        <w:t xml:space="preserve"> of Cardiovascular Science, University Heart and Vascular </w:t>
      </w:r>
      <w:proofErr w:type="spellStart"/>
      <w:r w:rsidRPr="0069292A">
        <w:rPr>
          <w:rFonts w:ascii="Times New Roman" w:hAnsi="Times New Roman" w:cs="Times New Roman"/>
        </w:rPr>
        <w:t>Center</w:t>
      </w:r>
      <w:proofErr w:type="spellEnd"/>
      <w:r w:rsidRPr="0069292A">
        <w:rPr>
          <w:rFonts w:ascii="Times New Roman" w:hAnsi="Times New Roman" w:cs="Times New Roman"/>
        </w:rPr>
        <w:t xml:space="preserve">, University Hospital Hamburg-Eppendorf, and German </w:t>
      </w:r>
      <w:proofErr w:type="spellStart"/>
      <w:r w:rsidRPr="0069292A">
        <w:rPr>
          <w:rFonts w:ascii="Times New Roman" w:hAnsi="Times New Roman" w:cs="Times New Roman"/>
        </w:rPr>
        <w:t>Center</w:t>
      </w:r>
      <w:proofErr w:type="spellEnd"/>
      <w:r w:rsidRPr="0069292A">
        <w:rPr>
          <w:rFonts w:ascii="Times New Roman" w:hAnsi="Times New Roman" w:cs="Times New Roman"/>
        </w:rPr>
        <w:t xml:space="preserve"> of Cardiovascular Research, Partner Site Hamburg, Kiel Lübeck, Hamburg, Germany; </w:t>
      </w:r>
      <w:r w:rsidRPr="0069292A">
        <w:rPr>
          <w:rFonts w:ascii="Times New Roman" w:eastAsia="Arial" w:hAnsi="Times New Roman" w:cs="Times New Roman"/>
          <w:color w:val="000000"/>
          <w:vertAlign w:val="superscript"/>
          <w:lang w:eastAsia="de-DE"/>
        </w:rPr>
        <w:t>5</w:t>
      </w:r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Department of Stem Cell Biology and Regenerative Medicine, Eli and Edythe Broad </w:t>
      </w:r>
      <w:proofErr w:type="spellStart"/>
      <w:r w:rsidRPr="0069292A">
        <w:rPr>
          <w:rFonts w:ascii="Times New Roman" w:eastAsia="Arial" w:hAnsi="Times New Roman" w:cs="Times New Roman"/>
          <w:color w:val="000000"/>
          <w:lang w:eastAsia="de-DE"/>
        </w:rPr>
        <w:t>Center</w:t>
      </w:r>
      <w:proofErr w:type="spellEnd"/>
      <w:r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 for Regenerative Medicine and Stem Cell Research, Keck School of Medicine of the University of Southern California, Los Angeles, CA, USA</w:t>
      </w:r>
      <w:r w:rsidR="0069292A" w:rsidRPr="0069292A">
        <w:rPr>
          <w:rFonts w:ascii="Times New Roman" w:eastAsia="Arial" w:hAnsi="Times New Roman" w:cs="Times New Roman"/>
          <w:color w:val="000000"/>
          <w:lang w:eastAsia="de-DE"/>
        </w:rPr>
        <w:t xml:space="preserve">; </w:t>
      </w:r>
      <w:r w:rsidR="0069292A" w:rsidRPr="0069292A">
        <w:rPr>
          <w:rFonts w:ascii="Times New Roman" w:hAnsi="Times New Roman" w:cs="Times New Roman"/>
          <w:bCs/>
          <w:vertAlign w:val="superscript"/>
        </w:rPr>
        <w:t>6</w:t>
      </w:r>
      <w:r w:rsidR="0069292A" w:rsidRPr="0069292A">
        <w:rPr>
          <w:rFonts w:ascii="Times New Roman" w:hAnsi="Times New Roman" w:cs="Times New Roman"/>
          <w:bCs/>
          <w:lang w:val="en-US"/>
        </w:rPr>
        <w:t xml:space="preserve">Department of Medicine V, University Medical Centre Mannheim, </w:t>
      </w:r>
      <w:r w:rsidR="0069292A" w:rsidRPr="0069292A">
        <w:rPr>
          <w:rFonts w:ascii="Times New Roman" w:hAnsi="Times New Roman" w:cs="Times New Roman"/>
          <w:bCs/>
        </w:rPr>
        <w:t>Mannheim, Germany</w:t>
      </w:r>
    </w:p>
    <w:p w14:paraId="269845FD" w14:textId="353B28E5" w:rsidR="00D87A09" w:rsidRPr="00D87A09" w:rsidRDefault="00D87A09" w:rsidP="00D87A09">
      <w:pPr>
        <w:snapToGrid w:val="0"/>
        <w:spacing w:line="480" w:lineRule="auto"/>
        <w:rPr>
          <w:rFonts w:eastAsia="Arial"/>
          <w:color w:val="000000"/>
          <w:lang w:eastAsia="de-DE"/>
        </w:rPr>
      </w:pPr>
    </w:p>
    <w:p w14:paraId="3AC1BC40" w14:textId="7BD62688" w:rsidR="00D87A09" w:rsidRPr="00694420" w:rsidRDefault="00D87A09">
      <w:pPr>
        <w:rPr>
          <w:bCs/>
        </w:rPr>
      </w:pPr>
      <w:r w:rsidRPr="00694420">
        <w:rPr>
          <w:bCs/>
        </w:rPr>
        <w:br w:type="page"/>
      </w:r>
    </w:p>
    <w:p w14:paraId="0AC1DD4E" w14:textId="6C553A98" w:rsidR="00E762C9" w:rsidRPr="00694420" w:rsidRDefault="00D878B1" w:rsidP="00281A79">
      <w:pPr>
        <w:spacing w:line="480" w:lineRule="auto"/>
        <w:rPr>
          <w:bCs/>
          <w:iCs/>
        </w:rPr>
      </w:pPr>
      <w:r w:rsidRPr="00694420">
        <w:rPr>
          <w:b/>
          <w:sz w:val="28"/>
          <w:szCs w:val="28"/>
        </w:rPr>
        <w:lastRenderedPageBreak/>
        <w:t>SUPPLEMENTAL METHODS</w:t>
      </w:r>
    </w:p>
    <w:p w14:paraId="7EB08A48" w14:textId="77777777" w:rsidR="00E762C9" w:rsidRPr="00694420" w:rsidRDefault="00E762C9" w:rsidP="00E762C9">
      <w:pPr>
        <w:widowControl w:val="0"/>
        <w:autoSpaceDE w:val="0"/>
        <w:autoSpaceDN w:val="0"/>
        <w:adjustRightInd w:val="0"/>
        <w:snapToGrid w:val="0"/>
        <w:spacing w:line="480" w:lineRule="auto"/>
        <w:rPr>
          <w:b/>
          <w:bCs/>
          <w:iCs/>
        </w:rPr>
      </w:pPr>
      <w:r w:rsidRPr="00694420">
        <w:rPr>
          <w:b/>
          <w:bCs/>
          <w:iCs/>
        </w:rPr>
        <w:t>Cardiopulmonary exercise testing</w:t>
      </w:r>
    </w:p>
    <w:p w14:paraId="3D480D9E" w14:textId="1CB5BAC7" w:rsidR="00E762C9" w:rsidRPr="00694420" w:rsidRDefault="00E762C9" w:rsidP="00E762C9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  <w:r w:rsidRPr="00694420">
        <w:rPr>
          <w:bCs/>
          <w:iCs/>
        </w:rPr>
        <w:t>Exercise began with unloaded cycling and increased by 25 W every 3 min</w:t>
      </w:r>
      <w:r w:rsidR="00C62F19" w:rsidRPr="00694420">
        <w:rPr>
          <w:bCs/>
          <w:iCs/>
        </w:rPr>
        <w:t>utes</w:t>
      </w:r>
      <w:r w:rsidRPr="00694420">
        <w:rPr>
          <w:bCs/>
          <w:iCs/>
        </w:rPr>
        <w:t>.</w:t>
      </w:r>
      <w:r w:rsidR="00C62F19" w:rsidRPr="00694420">
        <w:rPr>
          <w:bCs/>
          <w:iCs/>
        </w:rPr>
        <w:t xml:space="preserve"> </w:t>
      </w:r>
      <w:r w:rsidRPr="00694420">
        <w:rPr>
          <w:bCs/>
          <w:iCs/>
        </w:rPr>
        <w:t>Oxygen consumption (VO</w:t>
      </w:r>
      <w:r w:rsidRPr="00694420">
        <w:rPr>
          <w:bCs/>
          <w:iCs/>
          <w:vertAlign w:val="subscript"/>
        </w:rPr>
        <w:t>2</w:t>
      </w:r>
      <w:r w:rsidRPr="00694420">
        <w:rPr>
          <w:bCs/>
          <w:iCs/>
        </w:rPr>
        <w:t>), carbon dioxide release (VCO</w:t>
      </w:r>
      <w:r w:rsidRPr="00694420">
        <w:rPr>
          <w:bCs/>
          <w:iCs/>
          <w:vertAlign w:val="subscript"/>
        </w:rPr>
        <w:t>2</w:t>
      </w:r>
      <w:r w:rsidRPr="00694420">
        <w:rPr>
          <w:bCs/>
          <w:iCs/>
        </w:rPr>
        <w:t>), minute ventilation (VE), perceived level of exertion (Borg Scale 6 to 20), pulse oximetry, heart rate, and blood pressure measurements were recorded. Patients were encouraged to exercise until the respiratory exchange ratio was at</w:t>
      </w:r>
      <w:r w:rsidRPr="00694420">
        <w:t xml:space="preserve"> </w:t>
      </w:r>
      <w:r w:rsidRPr="00694420">
        <w:rPr>
          <w:bCs/>
          <w:iCs/>
        </w:rPr>
        <w:t>least 1.1 or the level of perceived exertion was at least 15. The reason for stopping exercise was recorded. Peak VO</w:t>
      </w:r>
      <w:r w:rsidRPr="00694420">
        <w:rPr>
          <w:bCs/>
          <w:iCs/>
          <w:vertAlign w:val="subscript"/>
        </w:rPr>
        <w:t>2</w:t>
      </w:r>
      <w:r w:rsidRPr="00694420">
        <w:rPr>
          <w:bCs/>
          <w:iCs/>
        </w:rPr>
        <w:t xml:space="preserve"> was defined as the highest 30-s</w:t>
      </w:r>
      <w:r w:rsidR="00C62F19" w:rsidRPr="00694420">
        <w:rPr>
          <w:bCs/>
          <w:iCs/>
        </w:rPr>
        <w:t>econd</w:t>
      </w:r>
      <w:r w:rsidRPr="00694420">
        <w:rPr>
          <w:bCs/>
          <w:iCs/>
        </w:rPr>
        <w:t xml:space="preserve"> average of oxygen consumption. The ventilatory threshold was identified as the point at which the ventilatory equivalent for O</w:t>
      </w:r>
      <w:r w:rsidRPr="00694420">
        <w:rPr>
          <w:bCs/>
          <w:iCs/>
          <w:vertAlign w:val="subscript"/>
        </w:rPr>
        <w:t>2</w:t>
      </w:r>
      <w:r w:rsidRPr="00694420">
        <w:rPr>
          <w:bCs/>
          <w:iCs/>
        </w:rPr>
        <w:t xml:space="preserve"> (VE/VO</w:t>
      </w:r>
      <w:r w:rsidRPr="00694420">
        <w:rPr>
          <w:bCs/>
          <w:iCs/>
          <w:vertAlign w:val="subscript"/>
        </w:rPr>
        <w:t>2</w:t>
      </w:r>
      <w:r w:rsidRPr="00694420">
        <w:rPr>
          <w:bCs/>
          <w:iCs/>
        </w:rPr>
        <w:t>) is minimal, followed by a progressive increase. Ventilation was assessed by correlation of VE and VCO</w:t>
      </w:r>
      <w:r w:rsidRPr="00694420">
        <w:rPr>
          <w:bCs/>
          <w:iCs/>
          <w:vertAlign w:val="subscript"/>
        </w:rPr>
        <w:t xml:space="preserve">2 </w:t>
      </w:r>
      <w:r w:rsidRPr="00694420">
        <w:rPr>
          <w:bCs/>
          <w:iCs/>
        </w:rPr>
        <w:t xml:space="preserve">throughout exercise. </w:t>
      </w:r>
    </w:p>
    <w:p w14:paraId="120DB74C" w14:textId="20368AEB" w:rsidR="00E762C9" w:rsidRPr="00694420" w:rsidRDefault="00E762C9" w:rsidP="00E762C9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</w:p>
    <w:p w14:paraId="12BCEF3E" w14:textId="77777777" w:rsidR="00DA33FD" w:rsidRPr="00694420" w:rsidRDefault="00DA33FD" w:rsidP="00E95798">
      <w:pPr>
        <w:widowControl w:val="0"/>
        <w:autoSpaceDE w:val="0"/>
        <w:autoSpaceDN w:val="0"/>
        <w:adjustRightInd w:val="0"/>
        <w:snapToGrid w:val="0"/>
        <w:spacing w:line="480" w:lineRule="auto"/>
        <w:rPr>
          <w:b/>
        </w:rPr>
      </w:pPr>
      <w:r w:rsidRPr="00694420">
        <w:rPr>
          <w:b/>
        </w:rPr>
        <w:t>Laboratory assessments</w:t>
      </w:r>
    </w:p>
    <w:p w14:paraId="0DB120E7" w14:textId="30E91A49" w:rsidR="00D878B1" w:rsidRPr="00694420" w:rsidRDefault="00887CEB" w:rsidP="00710F09">
      <w:pPr>
        <w:spacing w:line="480" w:lineRule="auto"/>
        <w:rPr>
          <w:bCs/>
          <w:i/>
        </w:rPr>
      </w:pPr>
      <w:r w:rsidRPr="00694420">
        <w:rPr>
          <w:bCs/>
          <w:i/>
        </w:rPr>
        <w:t>L</w:t>
      </w:r>
      <w:r w:rsidR="004F3F67" w:rsidRPr="00694420">
        <w:rPr>
          <w:bCs/>
          <w:i/>
        </w:rPr>
        <w:t>aboratory markers</w:t>
      </w:r>
      <w:r w:rsidR="00736FB7" w:rsidRPr="00694420">
        <w:rPr>
          <w:bCs/>
          <w:i/>
        </w:rPr>
        <w:t xml:space="preserve"> </w:t>
      </w:r>
      <w:r w:rsidRPr="00694420">
        <w:rPr>
          <w:bCs/>
          <w:i/>
        </w:rPr>
        <w:t>of iron status</w:t>
      </w:r>
      <w:r w:rsidR="003F3E80">
        <w:rPr>
          <w:bCs/>
          <w:i/>
        </w:rPr>
        <w:t>,</w:t>
      </w:r>
      <w:r w:rsidR="00E804E9">
        <w:rPr>
          <w:bCs/>
          <w:i/>
        </w:rPr>
        <w:t xml:space="preserve"> </w:t>
      </w:r>
      <w:r w:rsidR="004F3F67" w:rsidRPr="00694420">
        <w:rPr>
          <w:bCs/>
          <w:i/>
        </w:rPr>
        <w:t>erythropoietin</w:t>
      </w:r>
      <w:r w:rsidR="003F3E80" w:rsidRPr="003F3E80">
        <w:rPr>
          <w:bCs/>
          <w:i/>
        </w:rPr>
        <w:t xml:space="preserve"> </w:t>
      </w:r>
      <w:r w:rsidR="003F3E80" w:rsidRPr="00694420">
        <w:rPr>
          <w:bCs/>
          <w:i/>
        </w:rPr>
        <w:t>and</w:t>
      </w:r>
      <w:r w:rsidR="003F3E80">
        <w:rPr>
          <w:bCs/>
          <w:i/>
        </w:rPr>
        <w:t xml:space="preserve"> high sensitivity C-reactive protein</w:t>
      </w:r>
    </w:p>
    <w:p w14:paraId="2F16608F" w14:textId="36E4B9F3" w:rsidR="003E1B17" w:rsidRDefault="00887CEB" w:rsidP="003E1B17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  <w:r w:rsidRPr="00694420">
        <w:rPr>
          <w:bCs/>
          <w:iCs/>
        </w:rPr>
        <w:t xml:space="preserve">The following </w:t>
      </w:r>
      <w:r w:rsidR="00F13A8B" w:rsidRPr="00F13A8B">
        <w:rPr>
          <w:bCs/>
          <w:iCs/>
        </w:rPr>
        <w:t xml:space="preserve">duplicate </w:t>
      </w:r>
      <w:r w:rsidRPr="00694420">
        <w:rPr>
          <w:bCs/>
          <w:iCs/>
        </w:rPr>
        <w:t xml:space="preserve">measurements were performed on an ARCHITECT c8000 system: </w:t>
      </w:r>
      <w:r w:rsidR="00E11277" w:rsidRPr="00694420">
        <w:rPr>
          <w:bCs/>
          <w:iCs/>
        </w:rPr>
        <w:t>i</w:t>
      </w:r>
      <w:r w:rsidRPr="00694420">
        <w:rPr>
          <w:bCs/>
          <w:iCs/>
        </w:rPr>
        <w:t>ron (</w:t>
      </w:r>
      <w:proofErr w:type="spellStart"/>
      <w:r w:rsidRPr="00694420">
        <w:rPr>
          <w:bCs/>
          <w:iCs/>
        </w:rPr>
        <w:t>Colormetric</w:t>
      </w:r>
      <w:proofErr w:type="spellEnd"/>
      <w:r w:rsidRPr="00694420">
        <w:rPr>
          <w:bCs/>
          <w:iCs/>
        </w:rPr>
        <w:t xml:space="preserve"> </w:t>
      </w:r>
      <w:proofErr w:type="spellStart"/>
      <w:r w:rsidRPr="00694420">
        <w:rPr>
          <w:bCs/>
          <w:iCs/>
        </w:rPr>
        <w:t>Multigent</w:t>
      </w:r>
      <w:proofErr w:type="spellEnd"/>
      <w:r w:rsidRPr="00694420">
        <w:rPr>
          <w:bCs/>
          <w:iCs/>
        </w:rPr>
        <w:t xml:space="preserve"> Iron Assay</w:t>
      </w:r>
      <w:r w:rsidR="000D0333" w:rsidRPr="00694420">
        <w:rPr>
          <w:bCs/>
          <w:iCs/>
        </w:rPr>
        <w:t>,</w:t>
      </w:r>
      <w:r w:rsidR="00744389" w:rsidRPr="00694420">
        <w:rPr>
          <w:bCs/>
          <w:iCs/>
        </w:rPr>
        <w:t xml:space="preserve"> </w:t>
      </w:r>
      <w:r w:rsidRPr="00694420">
        <w:rPr>
          <w:bCs/>
          <w:iCs/>
        </w:rPr>
        <w:t xml:space="preserve">assay </w:t>
      </w:r>
      <w:r w:rsidR="000D0333" w:rsidRPr="00694420">
        <w:rPr>
          <w:bCs/>
          <w:iCs/>
        </w:rPr>
        <w:t>range 0.79</w:t>
      </w:r>
      <w:r w:rsidR="00E11277" w:rsidRPr="00694420">
        <w:rPr>
          <w:bCs/>
          <w:iCs/>
        </w:rPr>
        <w:t>–</w:t>
      </w:r>
      <w:r w:rsidR="000D0333" w:rsidRPr="00694420">
        <w:rPr>
          <w:bCs/>
          <w:iCs/>
        </w:rPr>
        <w:t>179 µmol/L); transferrin (</w:t>
      </w:r>
      <w:r w:rsidRPr="00694420">
        <w:rPr>
          <w:bCs/>
          <w:iCs/>
        </w:rPr>
        <w:t>immunoturbidimetric transferrin assay</w:t>
      </w:r>
      <w:r w:rsidR="000D0333" w:rsidRPr="00694420">
        <w:rPr>
          <w:bCs/>
          <w:iCs/>
        </w:rPr>
        <w:t xml:space="preserve">, </w:t>
      </w:r>
      <w:r w:rsidRPr="00694420">
        <w:rPr>
          <w:bCs/>
          <w:iCs/>
        </w:rPr>
        <w:t>ass</w:t>
      </w:r>
      <w:r w:rsidR="000D0333" w:rsidRPr="00694420">
        <w:rPr>
          <w:bCs/>
          <w:iCs/>
        </w:rPr>
        <w:t>ay range 0</w:t>
      </w:r>
      <w:r w:rsidR="00E11277" w:rsidRPr="00694420">
        <w:rPr>
          <w:bCs/>
          <w:iCs/>
        </w:rPr>
        <w:t>.</w:t>
      </w:r>
      <w:r w:rsidR="000D0333" w:rsidRPr="00694420">
        <w:rPr>
          <w:bCs/>
          <w:iCs/>
        </w:rPr>
        <w:t>19–4.77 g/L</w:t>
      </w:r>
      <w:r w:rsidRPr="00694420">
        <w:rPr>
          <w:bCs/>
          <w:iCs/>
        </w:rPr>
        <w:t>)</w:t>
      </w:r>
      <w:r w:rsidR="00E11277" w:rsidRPr="00694420">
        <w:rPr>
          <w:bCs/>
          <w:iCs/>
        </w:rPr>
        <w:t>;</w:t>
      </w:r>
      <w:r w:rsidRPr="00694420">
        <w:rPr>
          <w:bCs/>
          <w:iCs/>
        </w:rPr>
        <w:t xml:space="preserve"> </w:t>
      </w:r>
      <w:r w:rsidR="002E7809" w:rsidRPr="00694420">
        <w:rPr>
          <w:bCs/>
          <w:iCs/>
        </w:rPr>
        <w:t>ferritin (</w:t>
      </w:r>
      <w:proofErr w:type="spellStart"/>
      <w:r w:rsidR="002E7809" w:rsidRPr="00694420">
        <w:rPr>
          <w:bCs/>
          <w:iCs/>
        </w:rPr>
        <w:t>Quantia</w:t>
      </w:r>
      <w:proofErr w:type="spellEnd"/>
      <w:r w:rsidR="002E7809" w:rsidRPr="00694420">
        <w:rPr>
          <w:bCs/>
          <w:iCs/>
        </w:rPr>
        <w:t xml:space="preserve"> Ferritin assay</w:t>
      </w:r>
      <w:r w:rsidR="000D0333" w:rsidRPr="00694420">
        <w:rPr>
          <w:bCs/>
          <w:iCs/>
        </w:rPr>
        <w:t>,</w:t>
      </w:r>
      <w:r w:rsidR="002E7809" w:rsidRPr="00694420">
        <w:rPr>
          <w:bCs/>
          <w:iCs/>
        </w:rPr>
        <w:t xml:space="preserve"> assay range 10</w:t>
      </w:r>
      <w:r w:rsidR="00E11277" w:rsidRPr="00694420">
        <w:rPr>
          <w:bCs/>
          <w:iCs/>
        </w:rPr>
        <w:t>–</w:t>
      </w:r>
      <w:r w:rsidR="002E7809" w:rsidRPr="00694420">
        <w:rPr>
          <w:bCs/>
          <w:iCs/>
        </w:rPr>
        <w:t xml:space="preserve">500 µg/L); </w:t>
      </w:r>
      <w:r w:rsidRPr="00694420">
        <w:rPr>
          <w:bCs/>
          <w:iCs/>
        </w:rPr>
        <w:t xml:space="preserve">all Abbott Diagnostics, </w:t>
      </w:r>
      <w:proofErr w:type="spellStart"/>
      <w:r w:rsidRPr="00694420">
        <w:rPr>
          <w:bCs/>
          <w:iCs/>
        </w:rPr>
        <w:t>Delkenheim</w:t>
      </w:r>
      <w:proofErr w:type="spellEnd"/>
      <w:r w:rsidRPr="00694420">
        <w:rPr>
          <w:bCs/>
          <w:iCs/>
        </w:rPr>
        <w:t>, Germany. Soluble transferrin receptor (</w:t>
      </w:r>
      <w:proofErr w:type="spellStart"/>
      <w:r w:rsidRPr="00694420">
        <w:rPr>
          <w:bCs/>
          <w:iCs/>
        </w:rPr>
        <w:t>sT</w:t>
      </w:r>
      <w:r w:rsidR="00E11277" w:rsidRPr="00694420">
        <w:rPr>
          <w:bCs/>
          <w:iCs/>
        </w:rPr>
        <w:t>f</w:t>
      </w:r>
      <w:r w:rsidRPr="00694420">
        <w:rPr>
          <w:bCs/>
          <w:iCs/>
        </w:rPr>
        <w:t>R</w:t>
      </w:r>
      <w:proofErr w:type="spellEnd"/>
      <w:r w:rsidRPr="00694420">
        <w:rPr>
          <w:bCs/>
          <w:iCs/>
        </w:rPr>
        <w:t xml:space="preserve">), hepcidin and erythropoietin were measured </w:t>
      </w:r>
      <w:r w:rsidR="00744389" w:rsidRPr="00694420">
        <w:rPr>
          <w:bCs/>
          <w:iCs/>
        </w:rPr>
        <w:t>with</w:t>
      </w:r>
      <w:r w:rsidRPr="00694420">
        <w:rPr>
          <w:bCs/>
          <w:iCs/>
        </w:rPr>
        <w:t xml:space="preserve"> an enzyme</w:t>
      </w:r>
      <w:r w:rsidR="00E11277" w:rsidRPr="00694420">
        <w:rPr>
          <w:bCs/>
          <w:iCs/>
        </w:rPr>
        <w:t>-</w:t>
      </w:r>
      <w:r w:rsidRPr="00694420">
        <w:rPr>
          <w:bCs/>
          <w:iCs/>
        </w:rPr>
        <w:t>linked immunosorben</w:t>
      </w:r>
      <w:r w:rsidR="00E11277" w:rsidRPr="00694420">
        <w:rPr>
          <w:bCs/>
          <w:iCs/>
        </w:rPr>
        <w:t>t</w:t>
      </w:r>
      <w:r w:rsidRPr="00694420">
        <w:rPr>
          <w:bCs/>
          <w:iCs/>
        </w:rPr>
        <w:t xml:space="preserve"> assay (ELISA): </w:t>
      </w:r>
      <w:proofErr w:type="spellStart"/>
      <w:r w:rsidRPr="00694420">
        <w:rPr>
          <w:bCs/>
          <w:iCs/>
        </w:rPr>
        <w:t>sT</w:t>
      </w:r>
      <w:r w:rsidR="00E11277" w:rsidRPr="00694420">
        <w:rPr>
          <w:bCs/>
          <w:iCs/>
        </w:rPr>
        <w:t>f</w:t>
      </w:r>
      <w:r w:rsidRPr="00694420">
        <w:rPr>
          <w:bCs/>
          <w:iCs/>
        </w:rPr>
        <w:t>R</w:t>
      </w:r>
      <w:proofErr w:type="spellEnd"/>
      <w:r w:rsidRPr="00694420">
        <w:rPr>
          <w:bCs/>
          <w:iCs/>
        </w:rPr>
        <w:t xml:space="preserve"> using the </w:t>
      </w:r>
      <w:proofErr w:type="spellStart"/>
      <w:r w:rsidRPr="00694420">
        <w:rPr>
          <w:bCs/>
          <w:iCs/>
        </w:rPr>
        <w:t>sTfR</w:t>
      </w:r>
      <w:proofErr w:type="spellEnd"/>
      <w:r w:rsidRPr="00694420">
        <w:rPr>
          <w:bCs/>
          <w:iCs/>
        </w:rPr>
        <w:t xml:space="preserve"> HS ELISA (assay range 0</w:t>
      </w:r>
      <w:r w:rsidR="00E11277" w:rsidRPr="00694420">
        <w:rPr>
          <w:bCs/>
          <w:iCs/>
        </w:rPr>
        <w:t>.</w:t>
      </w:r>
      <w:r w:rsidRPr="00694420">
        <w:rPr>
          <w:bCs/>
          <w:iCs/>
        </w:rPr>
        <w:t xml:space="preserve">145–160 ng/mL); hepcidin using the Hepcidin 25 bioactive HS ELISA (assay range 0–81 ng/mL), both DRG, Marburg, Germany; erythropoietin using the </w:t>
      </w:r>
      <w:proofErr w:type="spellStart"/>
      <w:r w:rsidRPr="00694420">
        <w:rPr>
          <w:bCs/>
          <w:iCs/>
        </w:rPr>
        <w:t>Quantikine</w:t>
      </w:r>
      <w:proofErr w:type="spellEnd"/>
      <w:r w:rsidRPr="00694420">
        <w:rPr>
          <w:bCs/>
          <w:iCs/>
        </w:rPr>
        <w:t xml:space="preserve"> IVD </w:t>
      </w:r>
      <w:r w:rsidR="00E11277" w:rsidRPr="00694420">
        <w:rPr>
          <w:bCs/>
          <w:iCs/>
        </w:rPr>
        <w:t xml:space="preserve">ELISA </w:t>
      </w:r>
      <w:r w:rsidRPr="00694420">
        <w:rPr>
          <w:bCs/>
          <w:iCs/>
        </w:rPr>
        <w:t>Human Erythropoietin Immunoassay (a</w:t>
      </w:r>
      <w:r w:rsidR="000D0333" w:rsidRPr="00694420">
        <w:rPr>
          <w:bCs/>
          <w:iCs/>
        </w:rPr>
        <w:t>ssay range 2</w:t>
      </w:r>
      <w:r w:rsidR="00E11277" w:rsidRPr="00694420">
        <w:rPr>
          <w:bCs/>
          <w:iCs/>
        </w:rPr>
        <w:t>.</w:t>
      </w:r>
      <w:r w:rsidR="000D0333" w:rsidRPr="00694420">
        <w:rPr>
          <w:bCs/>
          <w:iCs/>
        </w:rPr>
        <w:t>5–</w:t>
      </w:r>
      <w:r w:rsidRPr="00694420">
        <w:rPr>
          <w:bCs/>
          <w:iCs/>
        </w:rPr>
        <w:t xml:space="preserve">200 </w:t>
      </w:r>
      <w:proofErr w:type="spellStart"/>
      <w:r w:rsidRPr="00694420">
        <w:rPr>
          <w:bCs/>
          <w:iCs/>
        </w:rPr>
        <w:t>mlU</w:t>
      </w:r>
      <w:proofErr w:type="spellEnd"/>
      <w:r w:rsidRPr="00694420">
        <w:rPr>
          <w:bCs/>
          <w:iCs/>
        </w:rPr>
        <w:t>/mL), R&amp;D Systems, Minneapolis, USA.</w:t>
      </w:r>
      <w:r w:rsidR="003F3E80">
        <w:rPr>
          <w:bCs/>
          <w:iCs/>
        </w:rPr>
        <w:t xml:space="preserve"> High sensitivity </w:t>
      </w:r>
      <w:r w:rsidR="003F3E80" w:rsidRPr="003F3E80">
        <w:rPr>
          <w:bCs/>
          <w:iCs/>
        </w:rPr>
        <w:t>C</w:t>
      </w:r>
      <w:r w:rsidR="003F3E80">
        <w:rPr>
          <w:bCs/>
          <w:iCs/>
        </w:rPr>
        <w:t xml:space="preserve">-reactive protein </w:t>
      </w:r>
      <w:r w:rsidR="003F3E80" w:rsidRPr="003F3E80">
        <w:rPr>
          <w:bCs/>
          <w:iCs/>
        </w:rPr>
        <w:t xml:space="preserve">using the immunoturbidometric </w:t>
      </w:r>
      <w:proofErr w:type="spellStart"/>
      <w:r w:rsidR="003F3E80" w:rsidRPr="003F3E80">
        <w:rPr>
          <w:bCs/>
          <w:iCs/>
        </w:rPr>
        <w:t>Multigent</w:t>
      </w:r>
      <w:proofErr w:type="spellEnd"/>
      <w:r w:rsidR="003F3E80" w:rsidRPr="003F3E80">
        <w:rPr>
          <w:bCs/>
          <w:iCs/>
        </w:rPr>
        <w:t xml:space="preserve"> CRP </w:t>
      </w:r>
      <w:proofErr w:type="spellStart"/>
      <w:r w:rsidR="003F3E80" w:rsidRPr="003F3E80">
        <w:rPr>
          <w:bCs/>
          <w:iCs/>
        </w:rPr>
        <w:t>vario</w:t>
      </w:r>
      <w:proofErr w:type="spellEnd"/>
      <w:r w:rsidR="003F3E80" w:rsidRPr="003F3E80">
        <w:rPr>
          <w:bCs/>
          <w:iCs/>
        </w:rPr>
        <w:t xml:space="preserve"> assay (Abbott Diagnostics, </w:t>
      </w:r>
      <w:proofErr w:type="spellStart"/>
      <w:r w:rsidR="003F3E80" w:rsidRPr="003F3E80">
        <w:rPr>
          <w:bCs/>
          <w:iCs/>
        </w:rPr>
        <w:t>Delkenheim</w:t>
      </w:r>
      <w:proofErr w:type="spellEnd"/>
      <w:r w:rsidR="003F3E80" w:rsidRPr="003F3E80">
        <w:rPr>
          <w:bCs/>
          <w:iCs/>
        </w:rPr>
        <w:t>, Germany) on an ARCHITECT c8000 system</w:t>
      </w:r>
      <w:r w:rsidR="003F3E80">
        <w:rPr>
          <w:bCs/>
          <w:iCs/>
        </w:rPr>
        <w:t xml:space="preserve"> </w:t>
      </w:r>
      <w:r w:rsidR="003F3E80">
        <w:rPr>
          <w:bCs/>
          <w:iCs/>
        </w:rPr>
        <w:lastRenderedPageBreak/>
        <w:t>(</w:t>
      </w:r>
      <w:r w:rsidR="003F3E80" w:rsidRPr="003F3E80">
        <w:rPr>
          <w:bCs/>
          <w:iCs/>
        </w:rPr>
        <w:t xml:space="preserve">assay range </w:t>
      </w:r>
      <w:r w:rsidR="003F3E80">
        <w:rPr>
          <w:bCs/>
          <w:iCs/>
        </w:rPr>
        <w:t>0,1</w:t>
      </w:r>
      <w:r w:rsidR="003F3E80" w:rsidRPr="003F3E80">
        <w:rPr>
          <w:bCs/>
          <w:iCs/>
        </w:rPr>
        <w:t>–</w:t>
      </w:r>
      <w:r w:rsidR="003F3E80">
        <w:rPr>
          <w:bCs/>
          <w:iCs/>
        </w:rPr>
        <w:t>160 mg/L)</w:t>
      </w:r>
      <w:r w:rsidR="003F3E80" w:rsidRPr="003F3E80">
        <w:rPr>
          <w:bCs/>
          <w:iCs/>
        </w:rPr>
        <w:t>.</w:t>
      </w:r>
    </w:p>
    <w:p w14:paraId="7FBE6A0D" w14:textId="77777777" w:rsidR="00060B7A" w:rsidRDefault="00060B7A" w:rsidP="003E1B17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</w:p>
    <w:p w14:paraId="4E2B8E88" w14:textId="06069991" w:rsidR="00736FB7" w:rsidRPr="00694420" w:rsidRDefault="00736FB7" w:rsidP="00736FB7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/>
          <w:iCs/>
        </w:rPr>
      </w:pPr>
      <w:r w:rsidRPr="00694420">
        <w:rPr>
          <w:bCs/>
          <w:i/>
          <w:iCs/>
        </w:rPr>
        <w:t>Coefficients of variation</w:t>
      </w:r>
    </w:p>
    <w:p w14:paraId="04560EE0" w14:textId="75C06A8A" w:rsidR="00DA33FD" w:rsidRDefault="000D0333" w:rsidP="00720372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  <w:r w:rsidRPr="00694420">
        <w:rPr>
          <w:bCs/>
          <w:iCs/>
        </w:rPr>
        <w:t>The following c</w:t>
      </w:r>
      <w:r w:rsidR="00DA33FD" w:rsidRPr="00694420">
        <w:rPr>
          <w:bCs/>
          <w:iCs/>
        </w:rPr>
        <w:t>oefficients of variations (CV)</w:t>
      </w:r>
      <w:r w:rsidR="00E83735" w:rsidRPr="00694420">
        <w:rPr>
          <w:bCs/>
          <w:iCs/>
        </w:rPr>
        <w:t xml:space="preserve"> </w:t>
      </w:r>
      <w:r w:rsidR="00DA33FD" w:rsidRPr="00694420">
        <w:rPr>
          <w:bCs/>
          <w:iCs/>
        </w:rPr>
        <w:t>were determined</w:t>
      </w:r>
      <w:r w:rsidR="00F13A8B">
        <w:rPr>
          <w:bCs/>
          <w:iCs/>
        </w:rPr>
        <w:t xml:space="preserve"> from the duplicate measurements</w:t>
      </w:r>
      <w:r w:rsidRPr="00694420">
        <w:rPr>
          <w:bCs/>
          <w:iCs/>
        </w:rPr>
        <w:t>:</w:t>
      </w:r>
      <w:r w:rsidR="00DA33FD" w:rsidRPr="00694420">
        <w:rPr>
          <w:bCs/>
          <w:iCs/>
        </w:rPr>
        <w:t xml:space="preserve"> iron, inter CV 1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96%, intra CV 1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37%; transferrin, inter CV 0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28%, intra CV 1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 xml:space="preserve">08%; </w:t>
      </w:r>
      <w:proofErr w:type="spellStart"/>
      <w:r w:rsidR="00DA33FD" w:rsidRPr="00694420">
        <w:rPr>
          <w:bCs/>
          <w:iCs/>
        </w:rPr>
        <w:t>sT</w:t>
      </w:r>
      <w:r w:rsidR="00E83735" w:rsidRPr="00694420">
        <w:rPr>
          <w:bCs/>
          <w:iCs/>
        </w:rPr>
        <w:t>f</w:t>
      </w:r>
      <w:r w:rsidR="00DA33FD" w:rsidRPr="00694420">
        <w:rPr>
          <w:bCs/>
          <w:iCs/>
        </w:rPr>
        <w:t>R</w:t>
      </w:r>
      <w:proofErr w:type="spellEnd"/>
      <w:r w:rsidR="00DA33FD" w:rsidRPr="00694420">
        <w:rPr>
          <w:bCs/>
          <w:iCs/>
        </w:rPr>
        <w:t>, inter CV 11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94%, intra CV 9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31</w:t>
      </w:r>
      <w:r w:rsidR="00E83735" w:rsidRPr="00694420">
        <w:rPr>
          <w:bCs/>
          <w:iCs/>
        </w:rPr>
        <w:t>%</w:t>
      </w:r>
      <w:r w:rsidR="00DA33FD" w:rsidRPr="00694420">
        <w:rPr>
          <w:bCs/>
          <w:iCs/>
        </w:rPr>
        <w:t>; ferritin, inter CV 0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14 %, intra CV 1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07%; hepcidin, inter CV 4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86%, intra CV 7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52</w:t>
      </w:r>
      <w:r w:rsidR="00E83735" w:rsidRPr="00694420">
        <w:rPr>
          <w:bCs/>
          <w:iCs/>
        </w:rPr>
        <w:t>%</w:t>
      </w:r>
      <w:r w:rsidR="00DA33FD" w:rsidRPr="00694420">
        <w:rPr>
          <w:bCs/>
          <w:iCs/>
        </w:rPr>
        <w:t>; erythropoietin, inter CV 5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>19%, intra CV 3</w:t>
      </w:r>
      <w:r w:rsidR="00E83735" w:rsidRPr="00694420">
        <w:rPr>
          <w:bCs/>
          <w:iCs/>
        </w:rPr>
        <w:t>.</w:t>
      </w:r>
      <w:r w:rsidR="00DA33FD" w:rsidRPr="00694420">
        <w:rPr>
          <w:bCs/>
          <w:iCs/>
        </w:rPr>
        <w:t xml:space="preserve">64%. </w:t>
      </w:r>
    </w:p>
    <w:p w14:paraId="71C42DA3" w14:textId="5F6C866E" w:rsidR="00E804E9" w:rsidRPr="00694420" w:rsidRDefault="003F3E80" w:rsidP="00720372">
      <w:pPr>
        <w:widowControl w:val="0"/>
        <w:autoSpaceDE w:val="0"/>
        <w:autoSpaceDN w:val="0"/>
        <w:adjustRightInd w:val="0"/>
        <w:snapToGrid w:val="0"/>
        <w:spacing w:line="480" w:lineRule="auto"/>
        <w:rPr>
          <w:b/>
          <w:bCs/>
          <w:iCs/>
        </w:rPr>
      </w:pPr>
      <w:proofErr w:type="spellStart"/>
      <w:r w:rsidRPr="003F3E80">
        <w:rPr>
          <w:bCs/>
          <w:iCs/>
        </w:rPr>
        <w:t>hsCRP</w:t>
      </w:r>
      <w:proofErr w:type="spellEnd"/>
      <w:r w:rsidRPr="003F3E80">
        <w:rPr>
          <w:bCs/>
          <w:iCs/>
        </w:rPr>
        <w:t>, inter CV 0,72 %, intra CV 0,89 %.</w:t>
      </w:r>
    </w:p>
    <w:p w14:paraId="35F82D1C" w14:textId="3C8919B6" w:rsidR="00E82103" w:rsidRDefault="00E82103" w:rsidP="00861BA5">
      <w:pPr>
        <w:widowControl w:val="0"/>
        <w:autoSpaceDE w:val="0"/>
        <w:autoSpaceDN w:val="0"/>
        <w:adjustRightInd w:val="0"/>
        <w:snapToGrid w:val="0"/>
        <w:spacing w:line="480" w:lineRule="auto"/>
        <w:rPr>
          <w:bCs/>
          <w:iCs/>
        </w:rPr>
      </w:pPr>
    </w:p>
    <w:p w14:paraId="72AC237F" w14:textId="58319928" w:rsidR="00060B7A" w:rsidRPr="00694420" w:rsidRDefault="00060B7A" w:rsidP="0098521A">
      <w:pPr>
        <w:spacing w:line="480" w:lineRule="auto"/>
        <w:rPr>
          <w:bCs/>
          <w:iCs/>
        </w:rPr>
      </w:pPr>
      <w:r w:rsidRPr="00694420">
        <w:rPr>
          <w:b/>
          <w:sz w:val="28"/>
          <w:szCs w:val="28"/>
        </w:rPr>
        <w:t xml:space="preserve">SUPPLEMENTAL </w:t>
      </w:r>
      <w:r>
        <w:rPr>
          <w:b/>
          <w:sz w:val="28"/>
          <w:szCs w:val="28"/>
        </w:rPr>
        <w:t>RESULT</w:t>
      </w:r>
      <w:r w:rsidRPr="00694420">
        <w:rPr>
          <w:b/>
          <w:sz w:val="28"/>
          <w:szCs w:val="28"/>
        </w:rPr>
        <w:t>S</w:t>
      </w:r>
    </w:p>
    <w:p w14:paraId="1DD1DEBA" w14:textId="52520044" w:rsidR="00B715BB" w:rsidRPr="00694420" w:rsidRDefault="001D0B71" w:rsidP="00B715BB">
      <w:pPr>
        <w:spacing w:line="480" w:lineRule="auto"/>
        <w:rPr>
          <w:bCs/>
          <w:color w:val="000000"/>
        </w:rPr>
      </w:pPr>
      <w:r w:rsidRPr="00694420">
        <w:rPr>
          <w:b/>
          <w:bCs/>
          <w:color w:val="000000"/>
        </w:rPr>
        <w:t xml:space="preserve">Figure S1. </w:t>
      </w:r>
      <w:r w:rsidRPr="00281A79">
        <w:rPr>
          <w:b/>
          <w:color w:val="000000"/>
        </w:rPr>
        <w:t>A</w:t>
      </w:r>
      <w:r w:rsidR="00B715BB" w:rsidRPr="00281A79">
        <w:rPr>
          <w:b/>
          <w:color w:val="000000"/>
        </w:rPr>
        <w:t>greement between two investigators for a</w:t>
      </w:r>
      <w:r w:rsidRPr="00281A79">
        <w:rPr>
          <w:b/>
          <w:color w:val="000000"/>
        </w:rPr>
        <w:t xml:space="preserve">ssessment of myocardial T2*. </w:t>
      </w:r>
    </w:p>
    <w:p w14:paraId="067B23B6" w14:textId="2EE11017" w:rsidR="001D0B71" w:rsidRPr="00694420" w:rsidRDefault="001D0B71" w:rsidP="00B715BB">
      <w:pPr>
        <w:spacing w:line="480" w:lineRule="auto"/>
        <w:rPr>
          <w:bCs/>
          <w:color w:val="000000"/>
        </w:rPr>
      </w:pPr>
      <w:r w:rsidRPr="00694420">
        <w:rPr>
          <w:bCs/>
          <w:color w:val="000000"/>
        </w:rPr>
        <w:t xml:space="preserve">Shown are correlations of the results at baseline (left) and 6-month follow-up (right). </w:t>
      </w:r>
      <w:r w:rsidRPr="00694420">
        <w:t>The line of identity (y=x) and the range of the 20% deviation of agreement are given, correlations outside this range are depicted in red</w:t>
      </w:r>
      <w:r w:rsidRPr="00694420">
        <w:rPr>
          <w:bCs/>
          <w:color w:val="000000"/>
        </w:rPr>
        <w:t>.</w:t>
      </w:r>
      <w:r w:rsidR="00B715BB" w:rsidRPr="00694420">
        <w:rPr>
          <w:bCs/>
          <w:color w:val="000000"/>
        </w:rPr>
        <w:t xml:space="preserve"> CI indicates confidence interval.</w:t>
      </w:r>
    </w:p>
    <w:p w14:paraId="0D63C303" w14:textId="35426F9A" w:rsidR="00BE495E" w:rsidRPr="00694420" w:rsidRDefault="00BE495E" w:rsidP="00BE495E">
      <w:pPr>
        <w:spacing w:line="480" w:lineRule="auto"/>
        <w:jc w:val="both"/>
        <w:rPr>
          <w:bCs/>
          <w:color w:val="000000"/>
        </w:rPr>
      </w:pPr>
      <w:r w:rsidRPr="00694420">
        <w:rPr>
          <w:bCs/>
          <w:noProof/>
          <w:color w:val="000000"/>
          <w:lang w:val="de-DE" w:eastAsia="de-DE"/>
        </w:rPr>
        <w:drawing>
          <wp:inline distT="0" distB="0" distL="0" distR="0" wp14:anchorId="086E4E6F" wp14:editId="29D04060">
            <wp:extent cx="5715000" cy="3048000"/>
            <wp:effectExtent l="0" t="0" r="0" b="0"/>
            <wp:docPr id="2" name="Grafik 2" descr="Agreement T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greement T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D0FB3" w14:textId="77777777" w:rsidR="00BE495E" w:rsidRPr="00694420" w:rsidRDefault="00BE495E" w:rsidP="00BE495E">
      <w:pPr>
        <w:rPr>
          <w:b/>
          <w:bCs/>
          <w:color w:val="000000"/>
        </w:rPr>
      </w:pPr>
      <w:r w:rsidRPr="00694420">
        <w:rPr>
          <w:b/>
          <w:bCs/>
          <w:color w:val="000000"/>
        </w:rPr>
        <w:br w:type="page"/>
      </w:r>
    </w:p>
    <w:p w14:paraId="2B8BBCAD" w14:textId="1D305620" w:rsidR="009301CA" w:rsidRPr="00694420" w:rsidRDefault="00BE495E" w:rsidP="009301CA">
      <w:pPr>
        <w:spacing w:line="480" w:lineRule="auto"/>
        <w:rPr>
          <w:bCs/>
          <w:color w:val="000000"/>
        </w:rPr>
      </w:pPr>
      <w:r w:rsidRPr="00694420">
        <w:rPr>
          <w:b/>
          <w:bCs/>
          <w:color w:val="000000"/>
        </w:rPr>
        <w:lastRenderedPageBreak/>
        <w:t>Figure S2</w:t>
      </w:r>
      <w:r w:rsidR="009301CA" w:rsidRPr="00694420">
        <w:rPr>
          <w:b/>
          <w:bCs/>
          <w:color w:val="000000"/>
        </w:rPr>
        <w:t>.</w:t>
      </w:r>
      <w:r w:rsidRPr="00694420">
        <w:rPr>
          <w:b/>
          <w:bCs/>
          <w:color w:val="000000"/>
        </w:rPr>
        <w:t xml:space="preserve"> </w:t>
      </w:r>
      <w:r w:rsidR="001B7D11" w:rsidRPr="00281A79">
        <w:rPr>
          <w:b/>
          <w:color w:val="000000"/>
        </w:rPr>
        <w:t>A</w:t>
      </w:r>
      <w:r w:rsidR="00B069B2" w:rsidRPr="00281A79">
        <w:rPr>
          <w:b/>
          <w:color w:val="000000"/>
        </w:rPr>
        <w:t xml:space="preserve">greement </w:t>
      </w:r>
      <w:r w:rsidR="009301CA" w:rsidRPr="00281A79">
        <w:rPr>
          <w:b/>
          <w:color w:val="000000"/>
        </w:rPr>
        <w:t xml:space="preserve">between </w:t>
      </w:r>
      <w:r w:rsidR="002E7809" w:rsidRPr="00281A79">
        <w:rPr>
          <w:b/>
          <w:color w:val="000000"/>
        </w:rPr>
        <w:t xml:space="preserve">duplicate measurements </w:t>
      </w:r>
      <w:r w:rsidR="006374DB" w:rsidRPr="00281A79">
        <w:rPr>
          <w:b/>
          <w:color w:val="000000"/>
        </w:rPr>
        <w:t xml:space="preserve">of iron </w:t>
      </w:r>
      <w:r w:rsidR="00DA33FD" w:rsidRPr="00281A79">
        <w:rPr>
          <w:b/>
          <w:color w:val="000000"/>
        </w:rPr>
        <w:t>variables</w:t>
      </w:r>
      <w:r w:rsidR="00F13A8B">
        <w:rPr>
          <w:b/>
          <w:color w:val="000000"/>
        </w:rPr>
        <w:t>, he</w:t>
      </w:r>
      <w:r w:rsidR="00EF2CF5">
        <w:rPr>
          <w:b/>
          <w:color w:val="000000"/>
        </w:rPr>
        <w:t>p</w:t>
      </w:r>
      <w:r w:rsidR="00F13A8B">
        <w:rPr>
          <w:b/>
          <w:color w:val="000000"/>
        </w:rPr>
        <w:t>cidin and erythropoietin</w:t>
      </w:r>
      <w:r w:rsidR="009301CA" w:rsidRPr="00281A79">
        <w:rPr>
          <w:b/>
          <w:color w:val="000000"/>
        </w:rPr>
        <w:t>.</w:t>
      </w:r>
    </w:p>
    <w:p w14:paraId="627F482F" w14:textId="58195F65" w:rsidR="00B65784" w:rsidRPr="00281A79" w:rsidRDefault="000D0333" w:rsidP="009301CA">
      <w:pPr>
        <w:spacing w:line="480" w:lineRule="auto"/>
        <w:rPr>
          <w:bCs/>
          <w:color w:val="000000"/>
        </w:rPr>
      </w:pPr>
      <w:r w:rsidRPr="00694420">
        <w:rPr>
          <w:bCs/>
          <w:color w:val="000000"/>
        </w:rPr>
        <w:t xml:space="preserve">Each time, </w:t>
      </w:r>
      <w:r w:rsidR="001B7D11" w:rsidRPr="00694420">
        <w:rPr>
          <w:bCs/>
          <w:color w:val="000000"/>
        </w:rPr>
        <w:t>correlations</w:t>
      </w:r>
      <w:r w:rsidR="002E19DB" w:rsidRPr="00694420">
        <w:rPr>
          <w:bCs/>
          <w:color w:val="000000"/>
        </w:rPr>
        <w:t xml:space="preserve"> at baseline (left) and 6-month follow-up (right)</w:t>
      </w:r>
      <w:r w:rsidRPr="00694420">
        <w:rPr>
          <w:bCs/>
          <w:color w:val="000000"/>
        </w:rPr>
        <w:t xml:space="preserve"> are</w:t>
      </w:r>
      <w:r w:rsidR="00B069B2" w:rsidRPr="00694420">
        <w:rPr>
          <w:bCs/>
          <w:color w:val="000000"/>
        </w:rPr>
        <w:t xml:space="preserve"> </w:t>
      </w:r>
      <w:r w:rsidRPr="00694420">
        <w:rPr>
          <w:bCs/>
          <w:color w:val="000000"/>
        </w:rPr>
        <w:t>s</w:t>
      </w:r>
      <w:r w:rsidR="001A37B4" w:rsidRPr="00694420">
        <w:rPr>
          <w:bCs/>
          <w:color w:val="000000"/>
        </w:rPr>
        <w:t>hown with t</w:t>
      </w:r>
      <w:r w:rsidR="00B069B2" w:rsidRPr="00694420">
        <w:t>he line of identity (y=x) and the range of the</w:t>
      </w:r>
      <w:r w:rsidR="001A37B4" w:rsidRPr="00694420">
        <w:t xml:space="preserve"> 20% deviation of agreement</w:t>
      </w:r>
      <w:r w:rsidR="002E19DB" w:rsidRPr="00694420">
        <w:t>.</w:t>
      </w:r>
      <w:r w:rsidR="00B069B2" w:rsidRPr="00694420">
        <w:t xml:space="preserve"> </w:t>
      </w:r>
      <w:r w:rsidR="001B7D11" w:rsidRPr="00694420">
        <w:t>Correlation</w:t>
      </w:r>
      <w:r w:rsidR="00B069B2" w:rsidRPr="00694420">
        <w:t xml:space="preserve">s outside this range are </w:t>
      </w:r>
      <w:r w:rsidR="002E19DB" w:rsidRPr="00694420">
        <w:t xml:space="preserve">given </w:t>
      </w:r>
      <w:r w:rsidR="00B069B2" w:rsidRPr="00694420">
        <w:t>in red.</w:t>
      </w:r>
      <w:r w:rsidR="008A47A4" w:rsidRPr="00694420">
        <w:t xml:space="preserve"> </w:t>
      </w:r>
      <w:r w:rsidR="002E19DB" w:rsidRPr="00694420">
        <w:t>The range of i</w:t>
      </w:r>
      <w:r w:rsidR="008A47A4" w:rsidRPr="00694420">
        <w:t>ntra</w:t>
      </w:r>
      <w:r w:rsidR="001A37B4" w:rsidRPr="00694420">
        <w:t>-</w:t>
      </w:r>
      <w:r w:rsidR="008A47A4" w:rsidRPr="00694420">
        <w:t xml:space="preserve">class correlations </w:t>
      </w:r>
      <w:r w:rsidR="002E19DB" w:rsidRPr="00694420">
        <w:t>is</w:t>
      </w:r>
      <w:r w:rsidR="008A47A4" w:rsidRPr="00694420">
        <w:t xml:space="preserve"> between 0.97 and 1.00</w:t>
      </w:r>
      <w:r w:rsidR="002E19DB" w:rsidRPr="00694420">
        <w:t>.</w:t>
      </w:r>
    </w:p>
    <w:p w14:paraId="7A6B79B3" w14:textId="6D47ADCE" w:rsidR="00B069B2" w:rsidRPr="00694420" w:rsidRDefault="006B7EB0" w:rsidP="00D878B1">
      <w:pPr>
        <w:spacing w:line="480" w:lineRule="auto"/>
        <w:jc w:val="both"/>
        <w:rPr>
          <w:b/>
          <w:bCs/>
          <w:color w:val="000000"/>
        </w:rPr>
      </w:pPr>
      <w:r>
        <w:rPr>
          <w:b/>
          <w:bCs/>
          <w:noProof/>
          <w:color w:val="000000"/>
        </w:rPr>
        <w:pict w14:anchorId="6AA2D5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468.65pt;height:422pt;mso-width-percent:0;mso-height-percent:0;mso-width-percent:0;mso-height-percent:0">
            <v:imagedata r:id="rId9" o:title="Agreement Proben Zeller"/>
          </v:shape>
        </w:pict>
      </w:r>
    </w:p>
    <w:p w14:paraId="65BEF879" w14:textId="4A31FE25" w:rsidR="009301CA" w:rsidRPr="00694420" w:rsidRDefault="009301CA">
      <w:pPr>
        <w:rPr>
          <w:b/>
          <w:bCs/>
          <w:color w:val="000000"/>
        </w:rPr>
      </w:pPr>
      <w:r w:rsidRPr="00694420">
        <w:rPr>
          <w:b/>
          <w:bCs/>
          <w:color w:val="000000"/>
        </w:rPr>
        <w:br w:type="page"/>
      </w:r>
    </w:p>
    <w:p w14:paraId="61032E88" w14:textId="22372128" w:rsidR="00E83FC4" w:rsidRPr="00694420" w:rsidRDefault="009A05EB" w:rsidP="00E83FC4">
      <w:pPr>
        <w:spacing w:line="480" w:lineRule="auto"/>
        <w:rPr>
          <w:bCs/>
          <w:color w:val="000000"/>
        </w:rPr>
      </w:pPr>
      <w:r w:rsidRPr="00694420">
        <w:rPr>
          <w:b/>
          <w:bCs/>
          <w:color w:val="000000"/>
        </w:rPr>
        <w:lastRenderedPageBreak/>
        <w:t>Figure S3</w:t>
      </w:r>
      <w:r w:rsidR="00E83FC4" w:rsidRPr="00694420">
        <w:rPr>
          <w:b/>
          <w:bCs/>
          <w:color w:val="000000"/>
        </w:rPr>
        <w:t>.</w:t>
      </w:r>
      <w:r w:rsidR="00057F5C" w:rsidRPr="00694420">
        <w:rPr>
          <w:bCs/>
          <w:color w:val="000000"/>
        </w:rPr>
        <w:t xml:space="preserve"> </w:t>
      </w:r>
      <w:r w:rsidR="000A6F50">
        <w:rPr>
          <w:b/>
          <w:color w:val="000000"/>
        </w:rPr>
        <w:t xml:space="preserve">Correlations </w:t>
      </w:r>
      <w:r w:rsidR="00DC7629" w:rsidRPr="00281A79">
        <w:rPr>
          <w:b/>
          <w:color w:val="000000"/>
        </w:rPr>
        <w:t>between concentrations</w:t>
      </w:r>
      <w:r w:rsidR="00DA2A27" w:rsidRPr="00281A79">
        <w:rPr>
          <w:b/>
          <w:color w:val="000000"/>
        </w:rPr>
        <w:t xml:space="preserve"> of erythropoietin and</w:t>
      </w:r>
      <w:r w:rsidR="00DC7629" w:rsidRPr="00281A79">
        <w:rPr>
          <w:b/>
          <w:color w:val="000000"/>
        </w:rPr>
        <w:t xml:space="preserve"> the soluble transferrin receptor, hemoglobin, hematocrit and red blood cell count</w:t>
      </w:r>
      <w:r w:rsidR="00EA3F69">
        <w:rPr>
          <w:b/>
          <w:color w:val="000000"/>
        </w:rPr>
        <w:t>:</w:t>
      </w:r>
      <w:r w:rsidR="00DC7629" w:rsidRPr="00281A79">
        <w:rPr>
          <w:b/>
          <w:color w:val="000000"/>
        </w:rPr>
        <w:t xml:space="preserve"> baseline</w:t>
      </w:r>
      <w:r w:rsidR="00EA3F69">
        <w:rPr>
          <w:b/>
          <w:color w:val="000000"/>
        </w:rPr>
        <w:t xml:space="preserve"> </w:t>
      </w:r>
      <w:r w:rsidR="00F2765D">
        <w:rPr>
          <w:b/>
          <w:color w:val="000000"/>
        </w:rPr>
        <w:t xml:space="preserve">values </w:t>
      </w:r>
      <w:r w:rsidR="00EA3F69">
        <w:rPr>
          <w:b/>
          <w:color w:val="000000"/>
        </w:rPr>
        <w:t xml:space="preserve">(A) and </w:t>
      </w:r>
      <w:r w:rsidR="000A6F50">
        <w:rPr>
          <w:b/>
          <w:color w:val="000000"/>
        </w:rPr>
        <w:t xml:space="preserve">correlations of </w:t>
      </w:r>
      <w:r w:rsidR="00EA3F69">
        <w:rPr>
          <w:b/>
          <w:color w:val="000000"/>
        </w:rPr>
        <w:t xml:space="preserve">changes </w:t>
      </w:r>
      <w:r w:rsidR="000A6F50">
        <w:rPr>
          <w:b/>
          <w:color w:val="000000"/>
        </w:rPr>
        <w:t xml:space="preserve">in these variables </w:t>
      </w:r>
      <w:r w:rsidR="00EA3F69">
        <w:rPr>
          <w:b/>
          <w:color w:val="000000"/>
        </w:rPr>
        <w:t>after 6 months</w:t>
      </w:r>
      <w:r w:rsidR="000A6F50">
        <w:rPr>
          <w:b/>
          <w:color w:val="000000"/>
        </w:rPr>
        <w:t>’</w:t>
      </w:r>
      <w:r w:rsidR="00EA3F69">
        <w:rPr>
          <w:b/>
          <w:color w:val="000000"/>
        </w:rPr>
        <w:t xml:space="preserve"> treatment</w:t>
      </w:r>
      <w:r w:rsidR="009D699C">
        <w:rPr>
          <w:b/>
          <w:color w:val="000000"/>
        </w:rPr>
        <w:t xml:space="preserve"> by </w:t>
      </w:r>
      <w:r w:rsidR="009D43EA">
        <w:rPr>
          <w:b/>
          <w:color w:val="000000"/>
        </w:rPr>
        <w:t xml:space="preserve">study </w:t>
      </w:r>
      <w:r w:rsidR="009D699C">
        <w:rPr>
          <w:b/>
          <w:color w:val="000000"/>
        </w:rPr>
        <w:t>group</w:t>
      </w:r>
      <w:r w:rsidR="00EA3F69">
        <w:rPr>
          <w:b/>
          <w:color w:val="000000"/>
        </w:rPr>
        <w:t xml:space="preserve"> (B)</w:t>
      </w:r>
      <w:r w:rsidR="00DC7629" w:rsidRPr="00281A79">
        <w:rPr>
          <w:b/>
          <w:color w:val="000000"/>
        </w:rPr>
        <w:t xml:space="preserve">. </w:t>
      </w:r>
    </w:p>
    <w:p w14:paraId="2BA64D46" w14:textId="2736E074" w:rsidR="00B65784" w:rsidRDefault="00467578" w:rsidP="00B65784">
      <w:pPr>
        <w:spacing w:line="480" w:lineRule="auto"/>
        <w:rPr>
          <w:bCs/>
          <w:color w:val="000000"/>
        </w:rPr>
      </w:pPr>
      <w:r>
        <w:rPr>
          <w:bCs/>
          <w:color w:val="000000"/>
        </w:rPr>
        <w:t xml:space="preserve">Baseline </w:t>
      </w:r>
      <w:r w:rsidR="00DC7629" w:rsidRPr="00D40345">
        <w:rPr>
          <w:bCs/>
          <w:color w:val="000000"/>
        </w:rPr>
        <w:t>e</w:t>
      </w:r>
      <w:r w:rsidR="00DC7629" w:rsidRPr="00694420">
        <w:rPr>
          <w:bCs/>
          <w:color w:val="000000"/>
        </w:rPr>
        <w:t xml:space="preserve">rythropoietin </w:t>
      </w:r>
      <w:r w:rsidR="000A6F50">
        <w:rPr>
          <w:bCs/>
          <w:color w:val="000000"/>
        </w:rPr>
        <w:t xml:space="preserve">concentrations </w:t>
      </w:r>
      <w:r w:rsidR="00DC7629" w:rsidRPr="00694420">
        <w:rPr>
          <w:bCs/>
          <w:color w:val="000000"/>
        </w:rPr>
        <w:t>correlate</w:t>
      </w:r>
      <w:r w:rsidR="00260EC1">
        <w:rPr>
          <w:bCs/>
          <w:color w:val="000000"/>
        </w:rPr>
        <w:t>d</w:t>
      </w:r>
      <w:r w:rsidR="00DC7629" w:rsidRPr="00694420">
        <w:rPr>
          <w:bCs/>
          <w:color w:val="000000"/>
        </w:rPr>
        <w:t xml:space="preserve"> </w:t>
      </w:r>
      <w:r w:rsidR="00DA2A27" w:rsidRPr="00694420">
        <w:rPr>
          <w:bCs/>
          <w:color w:val="000000"/>
        </w:rPr>
        <w:t>directly</w:t>
      </w:r>
      <w:r w:rsidR="000A6F50">
        <w:rPr>
          <w:bCs/>
          <w:color w:val="000000"/>
        </w:rPr>
        <w:t xml:space="preserve"> </w:t>
      </w:r>
      <w:r w:rsidR="00DC7629" w:rsidRPr="00694420">
        <w:rPr>
          <w:bCs/>
          <w:color w:val="000000"/>
        </w:rPr>
        <w:t xml:space="preserve">with soluble transferrin receptor </w:t>
      </w:r>
      <w:r w:rsidR="00434632">
        <w:rPr>
          <w:bCs/>
          <w:color w:val="000000"/>
        </w:rPr>
        <w:t>(</w:t>
      </w:r>
      <w:proofErr w:type="spellStart"/>
      <w:r w:rsidR="00434632">
        <w:rPr>
          <w:bCs/>
          <w:color w:val="000000"/>
        </w:rPr>
        <w:t>sTfR</w:t>
      </w:r>
      <w:proofErr w:type="spellEnd"/>
      <w:r w:rsidR="00434632">
        <w:rPr>
          <w:bCs/>
          <w:color w:val="000000"/>
        </w:rPr>
        <w:t xml:space="preserve">) </w:t>
      </w:r>
      <w:r w:rsidR="00DC7629" w:rsidRPr="00694420">
        <w:rPr>
          <w:bCs/>
          <w:color w:val="000000"/>
        </w:rPr>
        <w:t>concentrations</w:t>
      </w:r>
      <w:r w:rsidR="000A6F50">
        <w:rPr>
          <w:bCs/>
          <w:color w:val="000000"/>
        </w:rPr>
        <w:t xml:space="preserve">, and inversely with </w:t>
      </w:r>
      <w:r w:rsidR="00E83FC4" w:rsidRPr="00694420">
        <w:rPr>
          <w:bCs/>
          <w:color w:val="000000"/>
        </w:rPr>
        <w:t>erythropoietin leve</w:t>
      </w:r>
      <w:r w:rsidR="00A52661" w:rsidRPr="00694420">
        <w:rPr>
          <w:bCs/>
          <w:color w:val="000000"/>
        </w:rPr>
        <w:t>l</w:t>
      </w:r>
      <w:r w:rsidR="00E83FC4" w:rsidRPr="00694420">
        <w:rPr>
          <w:bCs/>
          <w:color w:val="000000"/>
        </w:rPr>
        <w:t xml:space="preserve">s and </w:t>
      </w:r>
      <w:r w:rsidR="00DC7629" w:rsidRPr="00694420">
        <w:rPr>
          <w:bCs/>
          <w:color w:val="000000"/>
        </w:rPr>
        <w:t>hemoglobin, red blood cell count</w:t>
      </w:r>
      <w:r w:rsidR="00BC4623" w:rsidRPr="00BC4623">
        <w:rPr>
          <w:bCs/>
          <w:color w:val="000000"/>
        </w:rPr>
        <w:t xml:space="preserve"> </w:t>
      </w:r>
      <w:r w:rsidR="00BC4623" w:rsidRPr="00694420">
        <w:rPr>
          <w:bCs/>
          <w:color w:val="000000"/>
        </w:rPr>
        <w:t>and hematocrit</w:t>
      </w:r>
      <w:r w:rsidR="00DC7629" w:rsidRPr="00694420">
        <w:rPr>
          <w:bCs/>
          <w:color w:val="000000"/>
        </w:rPr>
        <w:t>.</w:t>
      </w:r>
      <w:r w:rsidR="000A6F50">
        <w:rPr>
          <w:bCs/>
          <w:color w:val="000000"/>
        </w:rPr>
        <w:t xml:space="preserve"> Corresponding</w:t>
      </w:r>
      <w:r w:rsidR="00422836">
        <w:rPr>
          <w:bCs/>
          <w:color w:val="000000"/>
        </w:rPr>
        <w:t>,</w:t>
      </w:r>
      <w:r w:rsidR="009D699C">
        <w:rPr>
          <w:bCs/>
          <w:color w:val="000000"/>
        </w:rPr>
        <w:t xml:space="preserve"> but weaker</w:t>
      </w:r>
      <w:r w:rsidR="000A6F50">
        <w:rPr>
          <w:bCs/>
          <w:color w:val="000000"/>
        </w:rPr>
        <w:t xml:space="preserve"> associations </w:t>
      </w:r>
      <w:r w:rsidR="0069292A">
        <w:rPr>
          <w:bCs/>
          <w:color w:val="000000"/>
        </w:rPr>
        <w:t xml:space="preserve">were </w:t>
      </w:r>
      <w:r w:rsidR="000A6F50">
        <w:rPr>
          <w:bCs/>
          <w:color w:val="000000"/>
        </w:rPr>
        <w:t xml:space="preserve">observed between changes in these variables </w:t>
      </w:r>
      <w:r w:rsidR="000A6F50" w:rsidRPr="000A6F50">
        <w:rPr>
          <w:bCs/>
          <w:color w:val="000000"/>
        </w:rPr>
        <w:t>after 6 months’ treatment</w:t>
      </w:r>
      <w:r w:rsidR="000A6F50">
        <w:rPr>
          <w:bCs/>
          <w:color w:val="000000"/>
        </w:rPr>
        <w:t>.</w:t>
      </w:r>
      <w:r w:rsidR="00D40345">
        <w:rPr>
          <w:bCs/>
          <w:color w:val="000000"/>
        </w:rPr>
        <w:t xml:space="preserve"> BL, baseline.</w:t>
      </w:r>
    </w:p>
    <w:p w14:paraId="4DAD4928" w14:textId="1A9FD3E8" w:rsidR="00AC5704" w:rsidRDefault="006B7EB0" w:rsidP="00EC744C">
      <w:pPr>
        <w:spacing w:line="480" w:lineRule="auto"/>
        <w:jc w:val="both"/>
        <w:rPr>
          <w:b/>
          <w:bCs/>
          <w:noProof/>
          <w:color w:val="000000"/>
        </w:rPr>
      </w:pPr>
      <w:r>
        <w:rPr>
          <w:noProof/>
          <w:lang w:val="de-DE" w:eastAsia="de-DE"/>
        </w:rPr>
        <w:pict w14:anchorId="313800CA">
          <v:shape id="_x0000_i1026" type="#_x0000_t75" alt="" style="width:361.35pt;height:397.35pt;mso-width-percent:0;mso-height-percent:0;mso-width-percent:0;mso-height-percent:0">
            <v:imagedata r:id="rId10" o:title="Fig_S3A - Korr_Epo"/>
          </v:shape>
        </w:pict>
      </w:r>
    </w:p>
    <w:p w14:paraId="1CEC967A" w14:textId="7A41922F" w:rsidR="0077533B" w:rsidRDefault="006B7EB0" w:rsidP="00EC744C">
      <w:pPr>
        <w:spacing w:line="480" w:lineRule="auto"/>
        <w:jc w:val="both"/>
        <w:rPr>
          <w:b/>
          <w:bCs/>
          <w:noProof/>
          <w:color w:val="000000"/>
        </w:rPr>
      </w:pPr>
      <w:r>
        <w:rPr>
          <w:noProof/>
          <w:lang w:val="de-DE" w:eastAsia="de-DE"/>
        </w:rPr>
        <w:lastRenderedPageBreak/>
        <w:pict w14:anchorId="022A722A">
          <v:shape id="_x0000_i1025" type="#_x0000_t75" alt="" style="width:361.35pt;height:397.35pt;mso-width-percent:0;mso-height-percent:0;mso-width-percent:0;mso-height-percent:0">
            <v:imagedata r:id="rId11" o:title="Fig_S3B - Korr_Epo"/>
          </v:shape>
        </w:pict>
      </w:r>
    </w:p>
    <w:p w14:paraId="58A8E8BE" w14:textId="77777777" w:rsidR="0077533B" w:rsidRDefault="0077533B">
      <w:pPr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3404C683" w14:textId="31711D05" w:rsidR="00A2571D" w:rsidRDefault="00FF5801" w:rsidP="00434632">
      <w:pPr>
        <w:spacing w:line="480" w:lineRule="auto"/>
        <w:rPr>
          <w:bCs/>
          <w:color w:val="000000"/>
        </w:rPr>
      </w:pPr>
      <w:r>
        <w:rPr>
          <w:b/>
          <w:bCs/>
          <w:color w:val="000000"/>
        </w:rPr>
        <w:lastRenderedPageBreak/>
        <w:t>Table S1</w:t>
      </w:r>
      <w:r w:rsidR="0098521A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</w:t>
      </w:r>
      <w:r w:rsidRPr="0098521A">
        <w:rPr>
          <w:bCs/>
          <w:color w:val="000000"/>
        </w:rPr>
        <w:t>Correlations between T2*values and laboratory iron markers,</w:t>
      </w:r>
      <w:r>
        <w:rPr>
          <w:bCs/>
          <w:color w:val="000000"/>
        </w:rPr>
        <w:t xml:space="preserve"> </w:t>
      </w:r>
      <w:r w:rsidRPr="0098521A">
        <w:rPr>
          <w:bCs/>
          <w:color w:val="000000"/>
        </w:rPr>
        <w:t xml:space="preserve">hepcidin and </w:t>
      </w:r>
      <w:proofErr w:type="gramStart"/>
      <w:r w:rsidRPr="0098521A">
        <w:rPr>
          <w:bCs/>
          <w:color w:val="000000"/>
        </w:rPr>
        <w:t>high</w:t>
      </w:r>
      <w:proofErr w:type="gramEnd"/>
      <w:r w:rsidRPr="0098521A">
        <w:rPr>
          <w:bCs/>
          <w:color w:val="000000"/>
        </w:rPr>
        <w:t xml:space="preserve"> sensitive</w:t>
      </w:r>
      <w:r>
        <w:rPr>
          <w:bCs/>
          <w:color w:val="000000"/>
        </w:rPr>
        <w:t xml:space="preserve"> C</w:t>
      </w:r>
      <w:r w:rsidRPr="0098521A">
        <w:rPr>
          <w:bCs/>
          <w:color w:val="000000"/>
        </w:rPr>
        <w:t xml:space="preserve">-reactive protein at baseline and </w:t>
      </w:r>
      <w:r w:rsidR="0098521A">
        <w:rPr>
          <w:bCs/>
          <w:color w:val="000000"/>
        </w:rPr>
        <w:t>between</w:t>
      </w:r>
      <w:r w:rsidRPr="0098521A">
        <w:rPr>
          <w:bCs/>
          <w:color w:val="000000"/>
        </w:rPr>
        <w:t xml:space="preserve"> changes </w:t>
      </w:r>
      <w:r w:rsidR="0098521A">
        <w:rPr>
          <w:bCs/>
          <w:color w:val="000000"/>
        </w:rPr>
        <w:t>in</w:t>
      </w:r>
      <w:r>
        <w:rPr>
          <w:bCs/>
          <w:color w:val="000000"/>
        </w:rPr>
        <w:t xml:space="preserve"> these variables </w:t>
      </w:r>
      <w:r w:rsidRPr="0098521A">
        <w:rPr>
          <w:bCs/>
          <w:color w:val="000000"/>
        </w:rPr>
        <w:t xml:space="preserve">after 6 months’ treatment. </w:t>
      </w:r>
      <w:r w:rsidR="0098521A">
        <w:rPr>
          <w:bCs/>
          <w:color w:val="000000"/>
        </w:rPr>
        <w:t xml:space="preserve">In the absence of </w:t>
      </w:r>
      <w:r w:rsidRPr="0098521A">
        <w:rPr>
          <w:bCs/>
          <w:color w:val="000000"/>
        </w:rPr>
        <w:t>significant treatment</w:t>
      </w:r>
      <w:r w:rsidR="00156B87">
        <w:rPr>
          <w:bCs/>
          <w:color w:val="000000"/>
        </w:rPr>
        <w:t xml:space="preserve"> </w:t>
      </w:r>
      <w:r w:rsidRPr="0098521A">
        <w:rPr>
          <w:bCs/>
          <w:color w:val="000000"/>
        </w:rPr>
        <w:t xml:space="preserve">group-specific correlations, all correlations (p-values) are reported across </w:t>
      </w:r>
      <w:r w:rsidR="0023259C">
        <w:rPr>
          <w:bCs/>
          <w:color w:val="000000"/>
        </w:rPr>
        <w:t xml:space="preserve">both </w:t>
      </w:r>
      <w:r w:rsidRPr="0098521A">
        <w:rPr>
          <w:bCs/>
          <w:color w:val="000000"/>
        </w:rPr>
        <w:t xml:space="preserve">treatment </w:t>
      </w:r>
      <w:r w:rsidR="0023259C">
        <w:rPr>
          <w:bCs/>
          <w:color w:val="000000"/>
        </w:rPr>
        <w:t>arms</w:t>
      </w:r>
      <w:r w:rsidRPr="0098521A">
        <w:rPr>
          <w:bCs/>
          <w:color w:val="000000"/>
        </w:rPr>
        <w:t>.</w:t>
      </w:r>
    </w:p>
    <w:tbl>
      <w:tblPr>
        <w:tblStyle w:val="TableGrid"/>
        <w:tblW w:w="919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438"/>
        <w:gridCol w:w="2252"/>
        <w:gridCol w:w="2253"/>
        <w:gridCol w:w="2253"/>
      </w:tblGrid>
      <w:tr w:rsidR="00476A6E" w14:paraId="431F8DE7" w14:textId="77777777" w:rsidTr="008067BE">
        <w:tc>
          <w:tcPr>
            <w:tcW w:w="2438" w:type="dxa"/>
            <w:vMerge w:val="restart"/>
            <w:shd w:val="clear" w:color="auto" w:fill="D9D9D9" w:themeFill="background1" w:themeFillShade="D9"/>
            <w:vAlign w:val="center"/>
          </w:tcPr>
          <w:p w14:paraId="303EFDA4" w14:textId="18D22326" w:rsidR="00476A6E" w:rsidDel="00476A6E" w:rsidRDefault="00476A6E" w:rsidP="00DC69E2">
            <w:pPr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Variable</w:t>
            </w:r>
          </w:p>
        </w:tc>
        <w:tc>
          <w:tcPr>
            <w:tcW w:w="6758" w:type="dxa"/>
            <w:gridSpan w:val="3"/>
            <w:shd w:val="clear" w:color="auto" w:fill="D9D9D9" w:themeFill="background1" w:themeFillShade="D9"/>
            <w:vAlign w:val="center"/>
          </w:tcPr>
          <w:p w14:paraId="771A32E6" w14:textId="5B7309EE" w:rsidR="00476A6E" w:rsidRDefault="00476A6E" w:rsidP="00DC69E2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Correlations, </w:t>
            </w:r>
            <w:r w:rsidR="00C92481">
              <w:rPr>
                <w:b/>
                <w:bCs/>
                <w:color w:val="000000"/>
              </w:rPr>
              <w:t>r</w:t>
            </w:r>
            <w:r>
              <w:rPr>
                <w:b/>
                <w:bCs/>
                <w:color w:val="000000"/>
              </w:rPr>
              <w:t xml:space="preserve"> (p-value)</w:t>
            </w:r>
          </w:p>
        </w:tc>
      </w:tr>
      <w:tr w:rsidR="00476A6E" w14:paraId="06C6B201" w14:textId="77777777" w:rsidTr="008C7FCD">
        <w:tc>
          <w:tcPr>
            <w:tcW w:w="2438" w:type="dxa"/>
            <w:vMerge/>
            <w:shd w:val="clear" w:color="auto" w:fill="D9D9D9" w:themeFill="background1" w:themeFillShade="D9"/>
            <w:vAlign w:val="center"/>
          </w:tcPr>
          <w:p w14:paraId="36406A1B" w14:textId="1448D71D" w:rsidR="00476A6E" w:rsidRDefault="00476A6E" w:rsidP="00DC69E2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2252" w:type="dxa"/>
            <w:shd w:val="clear" w:color="auto" w:fill="D9D9D9" w:themeFill="background1" w:themeFillShade="D9"/>
            <w:vAlign w:val="center"/>
          </w:tcPr>
          <w:p w14:paraId="2BC94342" w14:textId="5BDEF4A3" w:rsidR="00476A6E" w:rsidRDefault="00476A6E" w:rsidP="009C042B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Baseline values vs</w:t>
            </w:r>
            <w:r w:rsidR="00FB0BFD">
              <w:rPr>
                <w:b/>
                <w:bCs/>
                <w:color w:val="000000"/>
              </w:rPr>
              <w:t>.</w:t>
            </w:r>
            <w:r>
              <w:rPr>
                <w:b/>
                <w:bCs/>
                <w:color w:val="000000"/>
              </w:rPr>
              <w:t xml:space="preserve"> baseline T2*</w:t>
            </w:r>
          </w:p>
        </w:tc>
        <w:tc>
          <w:tcPr>
            <w:tcW w:w="2253" w:type="dxa"/>
            <w:shd w:val="clear" w:color="auto" w:fill="D9D9D9" w:themeFill="background1" w:themeFillShade="D9"/>
            <w:vAlign w:val="center"/>
          </w:tcPr>
          <w:p w14:paraId="63260C92" w14:textId="6A5A524D" w:rsidR="00476A6E" w:rsidRDefault="00476A6E" w:rsidP="009C042B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Change from baseline vs</w:t>
            </w:r>
            <w:r w:rsidR="00FB0BFD">
              <w:rPr>
                <w:b/>
                <w:bCs/>
                <w:color w:val="000000"/>
              </w:rPr>
              <w:t>.</w:t>
            </w:r>
            <w:r>
              <w:rPr>
                <w:b/>
                <w:bCs/>
                <w:color w:val="000000"/>
              </w:rPr>
              <w:t xml:space="preserve"> change in T2* at 6 months</w:t>
            </w:r>
          </w:p>
        </w:tc>
        <w:tc>
          <w:tcPr>
            <w:tcW w:w="2253" w:type="dxa"/>
            <w:shd w:val="clear" w:color="auto" w:fill="D9D9D9" w:themeFill="background1" w:themeFillShade="D9"/>
            <w:vAlign w:val="center"/>
          </w:tcPr>
          <w:p w14:paraId="45BD35D3" w14:textId="05817AA4" w:rsidR="00476A6E" w:rsidRDefault="00476A6E" w:rsidP="009C042B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Baseline values vs</w:t>
            </w:r>
            <w:r w:rsidR="00FB0BFD">
              <w:rPr>
                <w:b/>
                <w:bCs/>
                <w:color w:val="000000"/>
              </w:rPr>
              <w:t>.</w:t>
            </w:r>
            <w:r>
              <w:rPr>
                <w:b/>
                <w:bCs/>
                <w:color w:val="000000"/>
              </w:rPr>
              <w:t xml:space="preserve"> change in T2* at 6 months</w:t>
            </w:r>
          </w:p>
        </w:tc>
      </w:tr>
      <w:tr w:rsidR="00A2571D" w14:paraId="180BF8E3" w14:textId="77777777" w:rsidTr="009C042B">
        <w:tc>
          <w:tcPr>
            <w:tcW w:w="2438" w:type="dxa"/>
            <w:vAlign w:val="center"/>
          </w:tcPr>
          <w:p w14:paraId="0FA77562" w14:textId="77777777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r w:rsidRPr="00845C2B">
              <w:t>Iron, µmol/L</w:t>
            </w:r>
          </w:p>
        </w:tc>
        <w:tc>
          <w:tcPr>
            <w:tcW w:w="2252" w:type="dxa"/>
            <w:vAlign w:val="center"/>
          </w:tcPr>
          <w:p w14:paraId="3A03F6C9" w14:textId="6995818B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 w:rsidRPr="00845C2B">
              <w:rPr>
                <w:bCs/>
                <w:color w:val="000000"/>
              </w:rPr>
              <w:t>0.02</w:t>
            </w:r>
            <w:r w:rsidR="0098521A">
              <w:rPr>
                <w:bCs/>
                <w:color w:val="000000"/>
              </w:rPr>
              <w:t xml:space="preserve"> </w:t>
            </w:r>
            <w:r w:rsidR="00A2571D" w:rsidRPr="00845C2B">
              <w:rPr>
                <w:bCs/>
                <w:color w:val="000000"/>
              </w:rPr>
              <w:t>(</w:t>
            </w:r>
            <w:r w:rsidR="00A2571D">
              <w:rPr>
                <w:bCs/>
                <w:color w:val="000000"/>
              </w:rPr>
              <w:t>0.857</w:t>
            </w:r>
            <w:r w:rsidR="00A2571D" w:rsidRPr="00845C2B">
              <w:rPr>
                <w:bCs/>
                <w:color w:val="000000"/>
              </w:rPr>
              <w:t>)</w:t>
            </w:r>
          </w:p>
        </w:tc>
        <w:tc>
          <w:tcPr>
            <w:tcW w:w="2253" w:type="dxa"/>
            <w:vAlign w:val="center"/>
          </w:tcPr>
          <w:p w14:paraId="5D401402" w14:textId="5DCC075D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0.14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(0.248)</w:t>
            </w:r>
          </w:p>
        </w:tc>
        <w:tc>
          <w:tcPr>
            <w:tcW w:w="2253" w:type="dxa"/>
            <w:vAlign w:val="center"/>
          </w:tcPr>
          <w:p w14:paraId="565BBA6E" w14:textId="17870718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0.04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(0.735)</w:t>
            </w:r>
          </w:p>
        </w:tc>
      </w:tr>
      <w:tr w:rsidR="00A2571D" w14:paraId="35210E20" w14:textId="77777777" w:rsidTr="009C042B">
        <w:tc>
          <w:tcPr>
            <w:tcW w:w="2438" w:type="dxa"/>
            <w:vAlign w:val="center"/>
          </w:tcPr>
          <w:p w14:paraId="1E57D7A9" w14:textId="534A8AE4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r w:rsidRPr="00DB0878">
              <w:t>Ferritin</w:t>
            </w:r>
            <w:r w:rsidR="00E06777" w:rsidRPr="00476A6E">
              <w:rPr>
                <w:vertAlign w:val="superscript"/>
              </w:rPr>
              <w:t>+</w:t>
            </w:r>
            <w:r w:rsidRPr="00DB0878">
              <w:t>, µg/L</w:t>
            </w:r>
          </w:p>
        </w:tc>
        <w:tc>
          <w:tcPr>
            <w:tcW w:w="2252" w:type="dxa"/>
            <w:vAlign w:val="center"/>
          </w:tcPr>
          <w:p w14:paraId="356F58D6" w14:textId="209CCFCC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0.09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(0.470)</w:t>
            </w:r>
          </w:p>
        </w:tc>
        <w:tc>
          <w:tcPr>
            <w:tcW w:w="2253" w:type="dxa"/>
            <w:vAlign w:val="center"/>
          </w:tcPr>
          <w:p w14:paraId="7405B075" w14:textId="106813CE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0.09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(0.473)</w:t>
            </w:r>
          </w:p>
        </w:tc>
        <w:tc>
          <w:tcPr>
            <w:tcW w:w="2253" w:type="dxa"/>
            <w:vAlign w:val="center"/>
          </w:tcPr>
          <w:p w14:paraId="14E876C5" w14:textId="44BAC958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0.11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(0.341)</w:t>
            </w:r>
          </w:p>
        </w:tc>
      </w:tr>
      <w:tr w:rsidR="00A2571D" w14:paraId="47EFB867" w14:textId="77777777" w:rsidTr="009C042B">
        <w:tc>
          <w:tcPr>
            <w:tcW w:w="2438" w:type="dxa"/>
            <w:vAlign w:val="center"/>
          </w:tcPr>
          <w:p w14:paraId="5027C20F" w14:textId="77777777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r w:rsidRPr="00DB0878">
              <w:t>Transferrin, mg/dL</w:t>
            </w:r>
          </w:p>
        </w:tc>
        <w:tc>
          <w:tcPr>
            <w:tcW w:w="2252" w:type="dxa"/>
            <w:vAlign w:val="center"/>
          </w:tcPr>
          <w:p w14:paraId="336AFEB0" w14:textId="57CD3287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0.00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(0.972)</w:t>
            </w:r>
          </w:p>
        </w:tc>
        <w:tc>
          <w:tcPr>
            <w:tcW w:w="2253" w:type="dxa"/>
            <w:vAlign w:val="center"/>
          </w:tcPr>
          <w:p w14:paraId="26DB4453" w14:textId="676259CF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0.07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(0.535)</w:t>
            </w:r>
          </w:p>
        </w:tc>
        <w:tc>
          <w:tcPr>
            <w:tcW w:w="2253" w:type="dxa"/>
            <w:vAlign w:val="center"/>
          </w:tcPr>
          <w:p w14:paraId="4FFA1475" w14:textId="05EF3236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0.11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(0.337)</w:t>
            </w:r>
          </w:p>
        </w:tc>
      </w:tr>
      <w:tr w:rsidR="00A2571D" w14:paraId="4C28F70B" w14:textId="77777777" w:rsidTr="009C042B">
        <w:tc>
          <w:tcPr>
            <w:tcW w:w="2438" w:type="dxa"/>
            <w:vAlign w:val="center"/>
          </w:tcPr>
          <w:p w14:paraId="52821079" w14:textId="77777777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r w:rsidRPr="00DB0878">
              <w:t>Transferrin saturation, %</w:t>
            </w:r>
          </w:p>
        </w:tc>
        <w:tc>
          <w:tcPr>
            <w:tcW w:w="2252" w:type="dxa"/>
            <w:vAlign w:val="center"/>
          </w:tcPr>
          <w:p w14:paraId="4D2FBC2F" w14:textId="79F81947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0.03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(0.796)</w:t>
            </w:r>
          </w:p>
        </w:tc>
        <w:tc>
          <w:tcPr>
            <w:tcW w:w="2253" w:type="dxa"/>
            <w:vAlign w:val="center"/>
          </w:tcPr>
          <w:p w14:paraId="047690EE" w14:textId="6D71349B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0.13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(0.263)</w:t>
            </w:r>
          </w:p>
        </w:tc>
        <w:tc>
          <w:tcPr>
            <w:tcW w:w="2253" w:type="dxa"/>
            <w:vAlign w:val="center"/>
          </w:tcPr>
          <w:p w14:paraId="22AFC518" w14:textId="4FE9EDD2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0.09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(0.467)</w:t>
            </w:r>
          </w:p>
        </w:tc>
      </w:tr>
      <w:tr w:rsidR="00A2571D" w14:paraId="1E97785D" w14:textId="77777777" w:rsidTr="009C042B">
        <w:tc>
          <w:tcPr>
            <w:tcW w:w="2438" w:type="dxa"/>
            <w:vAlign w:val="center"/>
          </w:tcPr>
          <w:p w14:paraId="5A9A4C38" w14:textId="6DBF3833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proofErr w:type="spellStart"/>
            <w:r w:rsidRPr="00DB0878">
              <w:t>sTfR</w:t>
            </w:r>
            <w:proofErr w:type="spellEnd"/>
            <w:r w:rsidR="00E06777" w:rsidRPr="0098521A">
              <w:rPr>
                <w:vertAlign w:val="superscript"/>
              </w:rPr>
              <w:t>+</w:t>
            </w:r>
            <w:r w:rsidRPr="00DB0878">
              <w:t>, ng/mL</w:t>
            </w:r>
          </w:p>
        </w:tc>
        <w:tc>
          <w:tcPr>
            <w:tcW w:w="2252" w:type="dxa"/>
            <w:vAlign w:val="center"/>
          </w:tcPr>
          <w:p w14:paraId="59D6B388" w14:textId="3750A479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0.09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(0.455)</w:t>
            </w:r>
          </w:p>
        </w:tc>
        <w:tc>
          <w:tcPr>
            <w:tcW w:w="2253" w:type="dxa"/>
            <w:vAlign w:val="center"/>
          </w:tcPr>
          <w:p w14:paraId="7D707EE2" w14:textId="1A33E975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0.15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(0.205)</w:t>
            </w:r>
          </w:p>
        </w:tc>
        <w:tc>
          <w:tcPr>
            <w:tcW w:w="2253" w:type="dxa"/>
            <w:vAlign w:val="center"/>
          </w:tcPr>
          <w:p w14:paraId="7BF91B41" w14:textId="49ECCBC0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0.04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(0.752)</w:t>
            </w:r>
          </w:p>
        </w:tc>
      </w:tr>
      <w:tr w:rsidR="00A2571D" w14:paraId="68E1F6E7" w14:textId="77777777" w:rsidTr="009C042B">
        <w:tc>
          <w:tcPr>
            <w:tcW w:w="2438" w:type="dxa"/>
            <w:vAlign w:val="center"/>
          </w:tcPr>
          <w:p w14:paraId="33F1430E" w14:textId="5BDBE188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r w:rsidRPr="00DB0878">
              <w:t>Hepcidin</w:t>
            </w:r>
            <w:r w:rsidR="00E06777" w:rsidRPr="00476A6E">
              <w:rPr>
                <w:vertAlign w:val="superscript"/>
              </w:rPr>
              <w:t>+</w:t>
            </w:r>
            <w:r w:rsidRPr="00DB0878">
              <w:t>, µg/L</w:t>
            </w:r>
          </w:p>
        </w:tc>
        <w:tc>
          <w:tcPr>
            <w:tcW w:w="2252" w:type="dxa"/>
            <w:vAlign w:val="center"/>
          </w:tcPr>
          <w:p w14:paraId="0994901D" w14:textId="79363048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0.01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(0.961)</w:t>
            </w:r>
          </w:p>
        </w:tc>
        <w:tc>
          <w:tcPr>
            <w:tcW w:w="2253" w:type="dxa"/>
            <w:vAlign w:val="center"/>
          </w:tcPr>
          <w:p w14:paraId="1A5523C6" w14:textId="7653DA32" w:rsidR="00A2571D" w:rsidRPr="00845C2B" w:rsidRDefault="00C7790E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–</w:t>
            </w:r>
            <w:r w:rsidR="00A2571D">
              <w:rPr>
                <w:bCs/>
                <w:color w:val="000000"/>
              </w:rPr>
              <w:t>0.10</w:t>
            </w:r>
            <w:r w:rsidR="0098521A">
              <w:rPr>
                <w:bCs/>
                <w:color w:val="000000"/>
              </w:rPr>
              <w:t xml:space="preserve"> </w:t>
            </w:r>
            <w:r w:rsidR="00A2571D">
              <w:rPr>
                <w:bCs/>
                <w:color w:val="000000"/>
              </w:rPr>
              <w:t>(0.383)</w:t>
            </w:r>
          </w:p>
        </w:tc>
        <w:tc>
          <w:tcPr>
            <w:tcW w:w="2253" w:type="dxa"/>
            <w:vAlign w:val="center"/>
          </w:tcPr>
          <w:p w14:paraId="6CC551DA" w14:textId="47FF762B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0.07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(0.563)</w:t>
            </w:r>
          </w:p>
        </w:tc>
      </w:tr>
      <w:tr w:rsidR="00A2571D" w14:paraId="625956D5" w14:textId="77777777" w:rsidTr="009C042B">
        <w:tc>
          <w:tcPr>
            <w:tcW w:w="2438" w:type="dxa"/>
            <w:vAlign w:val="center"/>
          </w:tcPr>
          <w:p w14:paraId="3FC9EC89" w14:textId="1D67F28E" w:rsidR="00A2571D" w:rsidRPr="00845C2B" w:rsidRDefault="00A2571D" w:rsidP="009C042B">
            <w:pPr>
              <w:spacing w:line="360" w:lineRule="auto"/>
              <w:rPr>
                <w:bCs/>
                <w:color w:val="000000"/>
              </w:rPr>
            </w:pPr>
            <w:proofErr w:type="spellStart"/>
            <w:r w:rsidRPr="00DB0878">
              <w:t>hsCRP</w:t>
            </w:r>
            <w:proofErr w:type="spellEnd"/>
            <w:r w:rsidR="00E06777" w:rsidRPr="00DC69E2">
              <w:rPr>
                <w:vertAlign w:val="superscript"/>
              </w:rPr>
              <w:t>+</w:t>
            </w:r>
            <w:r w:rsidRPr="00DB0878">
              <w:t>, mg/dL</w:t>
            </w:r>
          </w:p>
        </w:tc>
        <w:tc>
          <w:tcPr>
            <w:tcW w:w="2252" w:type="dxa"/>
            <w:vAlign w:val="center"/>
          </w:tcPr>
          <w:p w14:paraId="27795AF5" w14:textId="1D1DB0C8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0.04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(0.746)</w:t>
            </w:r>
          </w:p>
        </w:tc>
        <w:tc>
          <w:tcPr>
            <w:tcW w:w="2253" w:type="dxa"/>
            <w:vAlign w:val="center"/>
          </w:tcPr>
          <w:p w14:paraId="115CA042" w14:textId="58C4AC1C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0.02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(0.887)</w:t>
            </w:r>
          </w:p>
        </w:tc>
        <w:tc>
          <w:tcPr>
            <w:tcW w:w="2253" w:type="dxa"/>
            <w:vAlign w:val="center"/>
          </w:tcPr>
          <w:p w14:paraId="32A79705" w14:textId="6DDFB66F" w:rsidR="00A2571D" w:rsidRPr="00845C2B" w:rsidRDefault="00A2571D" w:rsidP="009C042B">
            <w:pPr>
              <w:spacing w:line="36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0.17</w:t>
            </w:r>
            <w:r w:rsidR="0098521A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(0.181)</w:t>
            </w:r>
          </w:p>
        </w:tc>
      </w:tr>
    </w:tbl>
    <w:p w14:paraId="5C0C6D44" w14:textId="386B7D6C" w:rsidR="0098521A" w:rsidRDefault="00E06777" w:rsidP="009C042B">
      <w:pPr>
        <w:spacing w:line="360" w:lineRule="auto"/>
        <w:rPr>
          <w:bCs/>
          <w:color w:val="000000"/>
          <w:sz w:val="22"/>
          <w:szCs w:val="22"/>
        </w:rPr>
      </w:pPr>
      <w:r w:rsidRPr="00476A6E">
        <w:rPr>
          <w:bCs/>
          <w:color w:val="000000"/>
          <w:sz w:val="22"/>
          <w:szCs w:val="22"/>
          <w:vertAlign w:val="superscript"/>
        </w:rPr>
        <w:t>+</w:t>
      </w:r>
      <w:r w:rsidR="00A2571D">
        <w:rPr>
          <w:bCs/>
          <w:color w:val="000000"/>
          <w:sz w:val="22"/>
          <w:szCs w:val="22"/>
        </w:rPr>
        <w:t xml:space="preserve">These variables were log-transformed </w:t>
      </w:r>
      <w:r>
        <w:rPr>
          <w:bCs/>
          <w:color w:val="000000"/>
          <w:sz w:val="22"/>
          <w:szCs w:val="22"/>
        </w:rPr>
        <w:t xml:space="preserve">for </w:t>
      </w:r>
      <w:r w:rsidR="00A2571D" w:rsidRPr="00476A6E">
        <w:rPr>
          <w:bCs/>
          <w:color w:val="000000"/>
          <w:sz w:val="22"/>
          <w:szCs w:val="22"/>
        </w:rPr>
        <w:t>estima</w:t>
      </w:r>
      <w:r w:rsidR="00A2571D">
        <w:rPr>
          <w:bCs/>
          <w:color w:val="000000"/>
          <w:sz w:val="22"/>
          <w:szCs w:val="22"/>
        </w:rPr>
        <w:t xml:space="preserve">tion of </w:t>
      </w:r>
      <w:r w:rsidR="00A2571D" w:rsidRPr="00476A6E">
        <w:rPr>
          <w:bCs/>
          <w:color w:val="000000"/>
          <w:sz w:val="22"/>
          <w:szCs w:val="22"/>
        </w:rPr>
        <w:t>the correlation coefficient</w:t>
      </w:r>
      <w:r w:rsidR="0023259C">
        <w:rPr>
          <w:bCs/>
          <w:color w:val="000000"/>
          <w:sz w:val="22"/>
          <w:szCs w:val="22"/>
        </w:rPr>
        <w:t xml:space="preserve">. </w:t>
      </w:r>
    </w:p>
    <w:p w14:paraId="098D51A5" w14:textId="2C612E71" w:rsidR="00DA1BA2" w:rsidRPr="009C042B" w:rsidRDefault="00DA1BA2" w:rsidP="009C042B">
      <w:pPr>
        <w:spacing w:line="360" w:lineRule="auto"/>
        <w:rPr>
          <w:bCs/>
          <w:color w:val="000000"/>
          <w:sz w:val="22"/>
          <w:szCs w:val="22"/>
        </w:rPr>
      </w:pPr>
      <w:proofErr w:type="spellStart"/>
      <w:r>
        <w:rPr>
          <w:bCs/>
          <w:color w:val="000000"/>
          <w:sz w:val="22"/>
          <w:szCs w:val="22"/>
        </w:rPr>
        <w:t>hsCRP</w:t>
      </w:r>
      <w:proofErr w:type="spellEnd"/>
      <w:r>
        <w:rPr>
          <w:bCs/>
          <w:color w:val="000000"/>
          <w:sz w:val="22"/>
          <w:szCs w:val="22"/>
        </w:rPr>
        <w:t xml:space="preserve">, </w:t>
      </w:r>
      <w:proofErr w:type="gramStart"/>
      <w:r>
        <w:rPr>
          <w:bCs/>
          <w:color w:val="000000"/>
          <w:sz w:val="22"/>
          <w:szCs w:val="22"/>
        </w:rPr>
        <w:t>high</w:t>
      </w:r>
      <w:proofErr w:type="gramEnd"/>
      <w:r>
        <w:rPr>
          <w:bCs/>
          <w:color w:val="000000"/>
          <w:sz w:val="22"/>
          <w:szCs w:val="22"/>
        </w:rPr>
        <w:t xml:space="preserve"> sensitive C-reactive protein; </w:t>
      </w:r>
      <w:proofErr w:type="spellStart"/>
      <w:r>
        <w:rPr>
          <w:bCs/>
          <w:color w:val="000000"/>
          <w:sz w:val="22"/>
          <w:szCs w:val="22"/>
        </w:rPr>
        <w:t>sTfR</w:t>
      </w:r>
      <w:proofErr w:type="spellEnd"/>
      <w:r>
        <w:rPr>
          <w:bCs/>
          <w:color w:val="000000"/>
          <w:sz w:val="22"/>
          <w:szCs w:val="22"/>
        </w:rPr>
        <w:t xml:space="preserve">, soluble transferrin receptor. </w:t>
      </w:r>
    </w:p>
    <w:p w14:paraId="44C0CD1E" w14:textId="79108C4B" w:rsidR="004B6461" w:rsidRDefault="004B6461" w:rsidP="009C042B">
      <w:pPr>
        <w:spacing w:line="360" w:lineRule="auto"/>
        <w:rPr>
          <w:b/>
          <w:bCs/>
          <w:color w:val="000000"/>
        </w:rPr>
      </w:pPr>
    </w:p>
    <w:sectPr w:rsidR="004B6461" w:rsidSect="00113C69">
      <w:footerReference w:type="even" r:id="rId12"/>
      <w:footerReference w:type="defaul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6E282" w14:textId="77777777" w:rsidR="006B7EB0" w:rsidRDefault="006B7EB0" w:rsidP="00A54AEB">
      <w:r>
        <w:separator/>
      </w:r>
    </w:p>
  </w:endnote>
  <w:endnote w:type="continuationSeparator" w:id="0">
    <w:p w14:paraId="596858AE" w14:textId="77777777" w:rsidR="006B7EB0" w:rsidRDefault="006B7EB0" w:rsidP="00A54AEB">
      <w:r>
        <w:continuationSeparator/>
      </w:r>
    </w:p>
  </w:endnote>
  <w:endnote w:type="continuationNotice" w:id="1">
    <w:p w14:paraId="23B3307B" w14:textId="77777777" w:rsidR="006B7EB0" w:rsidRDefault="006B7E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86616686"/>
      <w:docPartObj>
        <w:docPartGallery w:val="Page Numbers (Bottom of Page)"/>
        <w:docPartUnique/>
      </w:docPartObj>
    </w:sdtPr>
    <w:sdtContent>
      <w:p w14:paraId="68292564" w14:textId="77777777" w:rsidR="00673F0A" w:rsidRDefault="00673F0A" w:rsidP="00FC7C4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8C63CB" w14:textId="77777777" w:rsidR="00673F0A" w:rsidRDefault="00673F0A" w:rsidP="00A54A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71311524"/>
      <w:docPartObj>
        <w:docPartGallery w:val="Page Numbers (Bottom of Page)"/>
        <w:docPartUnique/>
      </w:docPartObj>
    </w:sdtPr>
    <w:sdtContent>
      <w:p w14:paraId="06AA2EDF" w14:textId="035E0AD6" w:rsidR="00673F0A" w:rsidRDefault="00673F0A" w:rsidP="00FC7C4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22836"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49D4E4E5" w14:textId="77777777" w:rsidR="00673F0A" w:rsidRDefault="00673F0A" w:rsidP="00A54A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4EAA4" w14:textId="77777777" w:rsidR="006B7EB0" w:rsidRDefault="006B7EB0" w:rsidP="00A54AEB">
      <w:r>
        <w:separator/>
      </w:r>
    </w:p>
  </w:footnote>
  <w:footnote w:type="continuationSeparator" w:id="0">
    <w:p w14:paraId="47D0FBF5" w14:textId="77777777" w:rsidR="006B7EB0" w:rsidRDefault="006B7EB0" w:rsidP="00A54AEB">
      <w:r>
        <w:continuationSeparator/>
      </w:r>
    </w:p>
  </w:footnote>
  <w:footnote w:type="continuationNotice" w:id="1">
    <w:p w14:paraId="487CB871" w14:textId="77777777" w:rsidR="006B7EB0" w:rsidRDefault="006B7E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A7B54"/>
    <w:multiLevelType w:val="multilevel"/>
    <w:tmpl w:val="1628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FD3E5A"/>
    <w:multiLevelType w:val="hybridMultilevel"/>
    <w:tmpl w:val="D0E2032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066ADA"/>
    <w:multiLevelType w:val="multilevel"/>
    <w:tmpl w:val="0C965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C62597"/>
    <w:multiLevelType w:val="multilevel"/>
    <w:tmpl w:val="98048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77376A"/>
    <w:multiLevelType w:val="hybridMultilevel"/>
    <w:tmpl w:val="523E7442"/>
    <w:lvl w:ilvl="0" w:tplc="3F02A5F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EF1B66"/>
    <w:multiLevelType w:val="hybridMultilevel"/>
    <w:tmpl w:val="628862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299729">
    <w:abstractNumId w:val="5"/>
  </w:num>
  <w:num w:numId="2" w16cid:durableId="886835106">
    <w:abstractNumId w:val="0"/>
  </w:num>
  <w:num w:numId="3" w16cid:durableId="2032032071">
    <w:abstractNumId w:val="3"/>
  </w:num>
  <w:num w:numId="4" w16cid:durableId="1947884988">
    <w:abstractNumId w:val="2"/>
  </w:num>
  <w:num w:numId="5" w16cid:durableId="808935157">
    <w:abstractNumId w:val="1"/>
  </w:num>
  <w:num w:numId="6" w16cid:durableId="1398867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activeWritingStyle w:appName="MSWord" w:lang="de-DE" w:vendorID="64" w:dllVersion="6" w:nlCheck="1" w:checkStyle="1"/>
  <w:activeWritingStyle w:appName="MSWord" w:lang="en-NZ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pringerBasicNumb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108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rwr29v12ewr8es52evd2fh0pezzvse090z&quot;&gt;CKD &amp;amp; anemia in HF&lt;record-ids&gt;&lt;item&gt;16&lt;/item&gt;&lt;item&gt;50&lt;/item&gt;&lt;item&gt;59&lt;/item&gt;&lt;item&gt;61&lt;/item&gt;&lt;item&gt;62&lt;/item&gt;&lt;/record-ids&gt;&lt;/item&gt;&lt;/Libraries&gt;"/>
  </w:docVars>
  <w:rsids>
    <w:rsidRoot w:val="00D878B1"/>
    <w:rsid w:val="00004398"/>
    <w:rsid w:val="000054BE"/>
    <w:rsid w:val="00032768"/>
    <w:rsid w:val="00035EE5"/>
    <w:rsid w:val="000403A8"/>
    <w:rsid w:val="000409D6"/>
    <w:rsid w:val="00057F5C"/>
    <w:rsid w:val="00060B7A"/>
    <w:rsid w:val="000736C3"/>
    <w:rsid w:val="00073D30"/>
    <w:rsid w:val="00076A87"/>
    <w:rsid w:val="00091900"/>
    <w:rsid w:val="00092C61"/>
    <w:rsid w:val="00093561"/>
    <w:rsid w:val="000A2080"/>
    <w:rsid w:val="000A6F50"/>
    <w:rsid w:val="000B4AAD"/>
    <w:rsid w:val="000B4B88"/>
    <w:rsid w:val="000C0FB6"/>
    <w:rsid w:val="000D0333"/>
    <w:rsid w:val="000D3518"/>
    <w:rsid w:val="000D6949"/>
    <w:rsid w:val="000E061E"/>
    <w:rsid w:val="000E5855"/>
    <w:rsid w:val="000E6CD5"/>
    <w:rsid w:val="000F0951"/>
    <w:rsid w:val="000F5F24"/>
    <w:rsid w:val="001026AA"/>
    <w:rsid w:val="001050A4"/>
    <w:rsid w:val="00106169"/>
    <w:rsid w:val="00113C69"/>
    <w:rsid w:val="001158AD"/>
    <w:rsid w:val="00116463"/>
    <w:rsid w:val="00121CF0"/>
    <w:rsid w:val="00126A18"/>
    <w:rsid w:val="00130932"/>
    <w:rsid w:val="00131AFD"/>
    <w:rsid w:val="001367DF"/>
    <w:rsid w:val="0014156E"/>
    <w:rsid w:val="00142F23"/>
    <w:rsid w:val="00146CEB"/>
    <w:rsid w:val="00151F80"/>
    <w:rsid w:val="00156B87"/>
    <w:rsid w:val="001709D7"/>
    <w:rsid w:val="0017719C"/>
    <w:rsid w:val="001912E7"/>
    <w:rsid w:val="00192B2F"/>
    <w:rsid w:val="00193201"/>
    <w:rsid w:val="001A37B4"/>
    <w:rsid w:val="001A5EA4"/>
    <w:rsid w:val="001B71B9"/>
    <w:rsid w:val="001B7D11"/>
    <w:rsid w:val="001C32B7"/>
    <w:rsid w:val="001C57A3"/>
    <w:rsid w:val="001C71B9"/>
    <w:rsid w:val="001D0B71"/>
    <w:rsid w:val="001D2E5A"/>
    <w:rsid w:val="001D4E59"/>
    <w:rsid w:val="001E4E92"/>
    <w:rsid w:val="001F3729"/>
    <w:rsid w:val="001F588C"/>
    <w:rsid w:val="001F78FE"/>
    <w:rsid w:val="0020359D"/>
    <w:rsid w:val="00211051"/>
    <w:rsid w:val="0021330F"/>
    <w:rsid w:val="00217FB8"/>
    <w:rsid w:val="002230BF"/>
    <w:rsid w:val="0023259C"/>
    <w:rsid w:val="002339DA"/>
    <w:rsid w:val="00237B5F"/>
    <w:rsid w:val="00244B1E"/>
    <w:rsid w:val="0024693E"/>
    <w:rsid w:val="00257FB3"/>
    <w:rsid w:val="00260EC1"/>
    <w:rsid w:val="00267A5D"/>
    <w:rsid w:val="00275FBB"/>
    <w:rsid w:val="00281A79"/>
    <w:rsid w:val="002904A5"/>
    <w:rsid w:val="00293C5C"/>
    <w:rsid w:val="002A23C8"/>
    <w:rsid w:val="002A345C"/>
    <w:rsid w:val="002B0C52"/>
    <w:rsid w:val="002B4FA1"/>
    <w:rsid w:val="002C64CA"/>
    <w:rsid w:val="002C6532"/>
    <w:rsid w:val="002D113B"/>
    <w:rsid w:val="002D6A94"/>
    <w:rsid w:val="002E19DB"/>
    <w:rsid w:val="002E7809"/>
    <w:rsid w:val="002E7C30"/>
    <w:rsid w:val="002F0F36"/>
    <w:rsid w:val="003104F6"/>
    <w:rsid w:val="00314248"/>
    <w:rsid w:val="00323E06"/>
    <w:rsid w:val="00326DC6"/>
    <w:rsid w:val="00330F13"/>
    <w:rsid w:val="00331C50"/>
    <w:rsid w:val="0033409F"/>
    <w:rsid w:val="003378AE"/>
    <w:rsid w:val="00341EB4"/>
    <w:rsid w:val="00356C79"/>
    <w:rsid w:val="00357805"/>
    <w:rsid w:val="00367664"/>
    <w:rsid w:val="003827C9"/>
    <w:rsid w:val="00385DF5"/>
    <w:rsid w:val="00385E42"/>
    <w:rsid w:val="003B0BDB"/>
    <w:rsid w:val="003C01E9"/>
    <w:rsid w:val="003C2DE0"/>
    <w:rsid w:val="003D0648"/>
    <w:rsid w:val="003D6543"/>
    <w:rsid w:val="003D6F8B"/>
    <w:rsid w:val="003D73AC"/>
    <w:rsid w:val="003E1218"/>
    <w:rsid w:val="003E1B17"/>
    <w:rsid w:val="003E4863"/>
    <w:rsid w:val="003E6E00"/>
    <w:rsid w:val="003F071A"/>
    <w:rsid w:val="003F2365"/>
    <w:rsid w:val="003F3E80"/>
    <w:rsid w:val="00402EED"/>
    <w:rsid w:val="004038DD"/>
    <w:rsid w:val="00405BAE"/>
    <w:rsid w:val="004142A9"/>
    <w:rsid w:val="00416D93"/>
    <w:rsid w:val="0041755C"/>
    <w:rsid w:val="00422836"/>
    <w:rsid w:val="00424402"/>
    <w:rsid w:val="004261F6"/>
    <w:rsid w:val="00434632"/>
    <w:rsid w:val="0044115A"/>
    <w:rsid w:val="00441874"/>
    <w:rsid w:val="004552D6"/>
    <w:rsid w:val="00463363"/>
    <w:rsid w:val="00467578"/>
    <w:rsid w:val="00476765"/>
    <w:rsid w:val="00476A6E"/>
    <w:rsid w:val="00482177"/>
    <w:rsid w:val="004956D9"/>
    <w:rsid w:val="00497515"/>
    <w:rsid w:val="004A02FC"/>
    <w:rsid w:val="004A2DB9"/>
    <w:rsid w:val="004A732D"/>
    <w:rsid w:val="004B5A2A"/>
    <w:rsid w:val="004B6461"/>
    <w:rsid w:val="004C3F60"/>
    <w:rsid w:val="004C4FDF"/>
    <w:rsid w:val="004D020C"/>
    <w:rsid w:val="004D272D"/>
    <w:rsid w:val="004E0BA7"/>
    <w:rsid w:val="004E6B04"/>
    <w:rsid w:val="004F3F67"/>
    <w:rsid w:val="004F517B"/>
    <w:rsid w:val="00502A15"/>
    <w:rsid w:val="00502E40"/>
    <w:rsid w:val="00511231"/>
    <w:rsid w:val="00517C25"/>
    <w:rsid w:val="005300CF"/>
    <w:rsid w:val="005349C7"/>
    <w:rsid w:val="00537365"/>
    <w:rsid w:val="00551E8F"/>
    <w:rsid w:val="0055299D"/>
    <w:rsid w:val="00557135"/>
    <w:rsid w:val="00561C13"/>
    <w:rsid w:val="00567651"/>
    <w:rsid w:val="005714B4"/>
    <w:rsid w:val="0057247D"/>
    <w:rsid w:val="00574419"/>
    <w:rsid w:val="00577EA8"/>
    <w:rsid w:val="005808AD"/>
    <w:rsid w:val="00580DE5"/>
    <w:rsid w:val="00596983"/>
    <w:rsid w:val="005A1C2F"/>
    <w:rsid w:val="005A426A"/>
    <w:rsid w:val="005C4396"/>
    <w:rsid w:val="005D24BC"/>
    <w:rsid w:val="005D5C9B"/>
    <w:rsid w:val="005E1557"/>
    <w:rsid w:val="005E4253"/>
    <w:rsid w:val="005E4CA4"/>
    <w:rsid w:val="005E5E56"/>
    <w:rsid w:val="005F625F"/>
    <w:rsid w:val="00616757"/>
    <w:rsid w:val="00620387"/>
    <w:rsid w:val="00620448"/>
    <w:rsid w:val="00624456"/>
    <w:rsid w:val="00630477"/>
    <w:rsid w:val="00632A6F"/>
    <w:rsid w:val="006374DB"/>
    <w:rsid w:val="006404CC"/>
    <w:rsid w:val="00641177"/>
    <w:rsid w:val="0064723E"/>
    <w:rsid w:val="00647743"/>
    <w:rsid w:val="006500BF"/>
    <w:rsid w:val="0065501F"/>
    <w:rsid w:val="00655149"/>
    <w:rsid w:val="006567EE"/>
    <w:rsid w:val="0065760F"/>
    <w:rsid w:val="00660476"/>
    <w:rsid w:val="00663C2A"/>
    <w:rsid w:val="00673CC0"/>
    <w:rsid w:val="00673F0A"/>
    <w:rsid w:val="006832C0"/>
    <w:rsid w:val="0069292A"/>
    <w:rsid w:val="00693C5F"/>
    <w:rsid w:val="00694420"/>
    <w:rsid w:val="006953B3"/>
    <w:rsid w:val="006A0F7A"/>
    <w:rsid w:val="006A5543"/>
    <w:rsid w:val="006B1F0E"/>
    <w:rsid w:val="006B7EB0"/>
    <w:rsid w:val="006E4BC3"/>
    <w:rsid w:val="006E4BCD"/>
    <w:rsid w:val="006F3391"/>
    <w:rsid w:val="0070455D"/>
    <w:rsid w:val="00707074"/>
    <w:rsid w:val="00710F09"/>
    <w:rsid w:val="00713A01"/>
    <w:rsid w:val="00716DE7"/>
    <w:rsid w:val="00720372"/>
    <w:rsid w:val="0072607E"/>
    <w:rsid w:val="00731CD7"/>
    <w:rsid w:val="00736FB7"/>
    <w:rsid w:val="00742D73"/>
    <w:rsid w:val="00744389"/>
    <w:rsid w:val="00751223"/>
    <w:rsid w:val="0075511B"/>
    <w:rsid w:val="00756406"/>
    <w:rsid w:val="00760567"/>
    <w:rsid w:val="0077104E"/>
    <w:rsid w:val="0077533B"/>
    <w:rsid w:val="00780DE1"/>
    <w:rsid w:val="007A005E"/>
    <w:rsid w:val="007A065B"/>
    <w:rsid w:val="007A0B5B"/>
    <w:rsid w:val="007A61AB"/>
    <w:rsid w:val="007A691E"/>
    <w:rsid w:val="007B2C91"/>
    <w:rsid w:val="007B5BD8"/>
    <w:rsid w:val="007C383D"/>
    <w:rsid w:val="007C6E93"/>
    <w:rsid w:val="007D53AF"/>
    <w:rsid w:val="007E6A66"/>
    <w:rsid w:val="007F0C45"/>
    <w:rsid w:val="007F2ED1"/>
    <w:rsid w:val="007F4F50"/>
    <w:rsid w:val="007F6F25"/>
    <w:rsid w:val="008023B4"/>
    <w:rsid w:val="008024CF"/>
    <w:rsid w:val="00802D24"/>
    <w:rsid w:val="00806407"/>
    <w:rsid w:val="00806447"/>
    <w:rsid w:val="00813C4A"/>
    <w:rsid w:val="00815C4B"/>
    <w:rsid w:val="00817D3A"/>
    <w:rsid w:val="00821299"/>
    <w:rsid w:val="00826C03"/>
    <w:rsid w:val="008371EC"/>
    <w:rsid w:val="00837B69"/>
    <w:rsid w:val="00845C2B"/>
    <w:rsid w:val="0085444F"/>
    <w:rsid w:val="00861BA5"/>
    <w:rsid w:val="00881329"/>
    <w:rsid w:val="0088659E"/>
    <w:rsid w:val="00887CEB"/>
    <w:rsid w:val="00887E22"/>
    <w:rsid w:val="00891793"/>
    <w:rsid w:val="008A47A4"/>
    <w:rsid w:val="008A6B3D"/>
    <w:rsid w:val="008C0A8B"/>
    <w:rsid w:val="008C3D53"/>
    <w:rsid w:val="008C470F"/>
    <w:rsid w:val="008C4A24"/>
    <w:rsid w:val="008C57C5"/>
    <w:rsid w:val="008D0582"/>
    <w:rsid w:val="008D2BC7"/>
    <w:rsid w:val="008D6906"/>
    <w:rsid w:val="008D69B6"/>
    <w:rsid w:val="008E75FD"/>
    <w:rsid w:val="00900A7F"/>
    <w:rsid w:val="00901E2E"/>
    <w:rsid w:val="00904991"/>
    <w:rsid w:val="00905E53"/>
    <w:rsid w:val="009062DB"/>
    <w:rsid w:val="009127FD"/>
    <w:rsid w:val="00921B89"/>
    <w:rsid w:val="00927CB3"/>
    <w:rsid w:val="00927FF0"/>
    <w:rsid w:val="009301CA"/>
    <w:rsid w:val="0093354B"/>
    <w:rsid w:val="00936BC0"/>
    <w:rsid w:val="00940278"/>
    <w:rsid w:val="00942EE2"/>
    <w:rsid w:val="00943572"/>
    <w:rsid w:val="00943D4B"/>
    <w:rsid w:val="00954BE8"/>
    <w:rsid w:val="0096619A"/>
    <w:rsid w:val="009704A1"/>
    <w:rsid w:val="009708A4"/>
    <w:rsid w:val="00981619"/>
    <w:rsid w:val="0098521A"/>
    <w:rsid w:val="009909D9"/>
    <w:rsid w:val="00992788"/>
    <w:rsid w:val="009A05EB"/>
    <w:rsid w:val="009A254B"/>
    <w:rsid w:val="009A4370"/>
    <w:rsid w:val="009C042B"/>
    <w:rsid w:val="009C27E5"/>
    <w:rsid w:val="009C4613"/>
    <w:rsid w:val="009D43EA"/>
    <w:rsid w:val="009D688D"/>
    <w:rsid w:val="009D699C"/>
    <w:rsid w:val="009D7855"/>
    <w:rsid w:val="009E5270"/>
    <w:rsid w:val="009E54DE"/>
    <w:rsid w:val="009F0C4C"/>
    <w:rsid w:val="00A01E28"/>
    <w:rsid w:val="00A05608"/>
    <w:rsid w:val="00A07911"/>
    <w:rsid w:val="00A133B2"/>
    <w:rsid w:val="00A17CE9"/>
    <w:rsid w:val="00A22EFD"/>
    <w:rsid w:val="00A25135"/>
    <w:rsid w:val="00A2571D"/>
    <w:rsid w:val="00A25DB5"/>
    <w:rsid w:val="00A2776F"/>
    <w:rsid w:val="00A30E6A"/>
    <w:rsid w:val="00A43A15"/>
    <w:rsid w:val="00A43F0A"/>
    <w:rsid w:val="00A45736"/>
    <w:rsid w:val="00A50F8C"/>
    <w:rsid w:val="00A50FA4"/>
    <w:rsid w:val="00A52661"/>
    <w:rsid w:val="00A54345"/>
    <w:rsid w:val="00A54AEB"/>
    <w:rsid w:val="00A70189"/>
    <w:rsid w:val="00A7363F"/>
    <w:rsid w:val="00A8278E"/>
    <w:rsid w:val="00A8476E"/>
    <w:rsid w:val="00A86A62"/>
    <w:rsid w:val="00A879C7"/>
    <w:rsid w:val="00A95092"/>
    <w:rsid w:val="00AB29FF"/>
    <w:rsid w:val="00AB5164"/>
    <w:rsid w:val="00AC1724"/>
    <w:rsid w:val="00AC3779"/>
    <w:rsid w:val="00AC46B3"/>
    <w:rsid w:val="00AC5704"/>
    <w:rsid w:val="00AC6215"/>
    <w:rsid w:val="00AC68A2"/>
    <w:rsid w:val="00AD3037"/>
    <w:rsid w:val="00AE2695"/>
    <w:rsid w:val="00AE3D5B"/>
    <w:rsid w:val="00AE61B1"/>
    <w:rsid w:val="00AE7E7E"/>
    <w:rsid w:val="00AF4E52"/>
    <w:rsid w:val="00AF5575"/>
    <w:rsid w:val="00B0120A"/>
    <w:rsid w:val="00B069B2"/>
    <w:rsid w:val="00B06D33"/>
    <w:rsid w:val="00B21A5F"/>
    <w:rsid w:val="00B2290F"/>
    <w:rsid w:val="00B2658D"/>
    <w:rsid w:val="00B27A03"/>
    <w:rsid w:val="00B3322A"/>
    <w:rsid w:val="00B41284"/>
    <w:rsid w:val="00B4401F"/>
    <w:rsid w:val="00B50EB2"/>
    <w:rsid w:val="00B56FCA"/>
    <w:rsid w:val="00B57B44"/>
    <w:rsid w:val="00B606BF"/>
    <w:rsid w:val="00B64C46"/>
    <w:rsid w:val="00B64C69"/>
    <w:rsid w:val="00B65784"/>
    <w:rsid w:val="00B715BB"/>
    <w:rsid w:val="00B80AE1"/>
    <w:rsid w:val="00B92E9E"/>
    <w:rsid w:val="00BA10F7"/>
    <w:rsid w:val="00BA65A8"/>
    <w:rsid w:val="00BB291D"/>
    <w:rsid w:val="00BB37E8"/>
    <w:rsid w:val="00BB4274"/>
    <w:rsid w:val="00BB7877"/>
    <w:rsid w:val="00BC0054"/>
    <w:rsid w:val="00BC4623"/>
    <w:rsid w:val="00BC6CCB"/>
    <w:rsid w:val="00BC7D6D"/>
    <w:rsid w:val="00BD6D39"/>
    <w:rsid w:val="00BE3127"/>
    <w:rsid w:val="00BE495E"/>
    <w:rsid w:val="00BF0A4F"/>
    <w:rsid w:val="00BF0F41"/>
    <w:rsid w:val="00BF18F8"/>
    <w:rsid w:val="00BF36B5"/>
    <w:rsid w:val="00BF5DC4"/>
    <w:rsid w:val="00BF70AC"/>
    <w:rsid w:val="00C04933"/>
    <w:rsid w:val="00C0564B"/>
    <w:rsid w:val="00C06453"/>
    <w:rsid w:val="00C10023"/>
    <w:rsid w:val="00C11A83"/>
    <w:rsid w:val="00C1243E"/>
    <w:rsid w:val="00C26FC2"/>
    <w:rsid w:val="00C3246E"/>
    <w:rsid w:val="00C40468"/>
    <w:rsid w:val="00C4331B"/>
    <w:rsid w:val="00C47EEB"/>
    <w:rsid w:val="00C50E35"/>
    <w:rsid w:val="00C62F19"/>
    <w:rsid w:val="00C63756"/>
    <w:rsid w:val="00C6477F"/>
    <w:rsid w:val="00C70188"/>
    <w:rsid w:val="00C70BF8"/>
    <w:rsid w:val="00C758E3"/>
    <w:rsid w:val="00C75A24"/>
    <w:rsid w:val="00C7790E"/>
    <w:rsid w:val="00C8300A"/>
    <w:rsid w:val="00C86522"/>
    <w:rsid w:val="00C92481"/>
    <w:rsid w:val="00C941EF"/>
    <w:rsid w:val="00CA4B36"/>
    <w:rsid w:val="00CA65B4"/>
    <w:rsid w:val="00CB2E64"/>
    <w:rsid w:val="00CB41E7"/>
    <w:rsid w:val="00CC4BE7"/>
    <w:rsid w:val="00CC7A84"/>
    <w:rsid w:val="00CC7ABA"/>
    <w:rsid w:val="00CD001A"/>
    <w:rsid w:val="00CF45BC"/>
    <w:rsid w:val="00CF6A09"/>
    <w:rsid w:val="00D0194F"/>
    <w:rsid w:val="00D126AF"/>
    <w:rsid w:val="00D145D7"/>
    <w:rsid w:val="00D21594"/>
    <w:rsid w:val="00D31827"/>
    <w:rsid w:val="00D40345"/>
    <w:rsid w:val="00D46C59"/>
    <w:rsid w:val="00D528D7"/>
    <w:rsid w:val="00D569DB"/>
    <w:rsid w:val="00D60690"/>
    <w:rsid w:val="00D607AA"/>
    <w:rsid w:val="00D6400A"/>
    <w:rsid w:val="00D7411C"/>
    <w:rsid w:val="00D878B1"/>
    <w:rsid w:val="00D87A09"/>
    <w:rsid w:val="00D906EE"/>
    <w:rsid w:val="00DA1BA2"/>
    <w:rsid w:val="00DA2A27"/>
    <w:rsid w:val="00DA33FD"/>
    <w:rsid w:val="00DA6DD5"/>
    <w:rsid w:val="00DC69E2"/>
    <w:rsid w:val="00DC7629"/>
    <w:rsid w:val="00DD0516"/>
    <w:rsid w:val="00DD13A6"/>
    <w:rsid w:val="00DD1645"/>
    <w:rsid w:val="00DD1844"/>
    <w:rsid w:val="00DF64C4"/>
    <w:rsid w:val="00DF7045"/>
    <w:rsid w:val="00E06777"/>
    <w:rsid w:val="00E11277"/>
    <w:rsid w:val="00E11BFD"/>
    <w:rsid w:val="00E14398"/>
    <w:rsid w:val="00E14592"/>
    <w:rsid w:val="00E2184E"/>
    <w:rsid w:val="00E30C09"/>
    <w:rsid w:val="00E40312"/>
    <w:rsid w:val="00E46538"/>
    <w:rsid w:val="00E51BD7"/>
    <w:rsid w:val="00E73AF7"/>
    <w:rsid w:val="00E74084"/>
    <w:rsid w:val="00E762C9"/>
    <w:rsid w:val="00E804E9"/>
    <w:rsid w:val="00E80972"/>
    <w:rsid w:val="00E82103"/>
    <w:rsid w:val="00E83735"/>
    <w:rsid w:val="00E8374E"/>
    <w:rsid w:val="00E83FC4"/>
    <w:rsid w:val="00E84569"/>
    <w:rsid w:val="00E86271"/>
    <w:rsid w:val="00E94060"/>
    <w:rsid w:val="00E95080"/>
    <w:rsid w:val="00E95082"/>
    <w:rsid w:val="00E95798"/>
    <w:rsid w:val="00E96302"/>
    <w:rsid w:val="00EA3F69"/>
    <w:rsid w:val="00EA708E"/>
    <w:rsid w:val="00EB5254"/>
    <w:rsid w:val="00EC5266"/>
    <w:rsid w:val="00EC744C"/>
    <w:rsid w:val="00EE2920"/>
    <w:rsid w:val="00EE2CE2"/>
    <w:rsid w:val="00EE3042"/>
    <w:rsid w:val="00EF2CF5"/>
    <w:rsid w:val="00F04168"/>
    <w:rsid w:val="00F04919"/>
    <w:rsid w:val="00F05CCC"/>
    <w:rsid w:val="00F06163"/>
    <w:rsid w:val="00F12369"/>
    <w:rsid w:val="00F13A8B"/>
    <w:rsid w:val="00F15991"/>
    <w:rsid w:val="00F20D19"/>
    <w:rsid w:val="00F2765D"/>
    <w:rsid w:val="00F338AE"/>
    <w:rsid w:val="00F37793"/>
    <w:rsid w:val="00F43F78"/>
    <w:rsid w:val="00F45522"/>
    <w:rsid w:val="00F52C3C"/>
    <w:rsid w:val="00F64334"/>
    <w:rsid w:val="00F66404"/>
    <w:rsid w:val="00F67832"/>
    <w:rsid w:val="00F67EF6"/>
    <w:rsid w:val="00F71485"/>
    <w:rsid w:val="00F763B8"/>
    <w:rsid w:val="00F76632"/>
    <w:rsid w:val="00F77DD0"/>
    <w:rsid w:val="00F82022"/>
    <w:rsid w:val="00F84290"/>
    <w:rsid w:val="00F84CB6"/>
    <w:rsid w:val="00F85B58"/>
    <w:rsid w:val="00F90434"/>
    <w:rsid w:val="00FA4A67"/>
    <w:rsid w:val="00FB05C8"/>
    <w:rsid w:val="00FB0BFD"/>
    <w:rsid w:val="00FC652C"/>
    <w:rsid w:val="00FC6CA0"/>
    <w:rsid w:val="00FC7C43"/>
    <w:rsid w:val="00FD4A56"/>
    <w:rsid w:val="00FD66D0"/>
    <w:rsid w:val="00FF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C518F"/>
  <w15:chartTrackingRefBased/>
  <w15:docId w15:val="{CD312333-5B68-2449-859B-AB5A0121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NZ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4E9"/>
    <w:rPr>
      <w:rFonts w:ascii="Times New Roman" w:eastAsia="Times New Roman" w:hAnsi="Times New Roman"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rsid w:val="00D878B1"/>
  </w:style>
  <w:style w:type="paragraph" w:styleId="CommentText">
    <w:name w:val="annotation text"/>
    <w:basedOn w:val="Normal"/>
    <w:link w:val="CommentTextChar"/>
    <w:uiPriority w:val="99"/>
    <w:rsid w:val="00D878B1"/>
    <w:rPr>
      <w:rFonts w:asciiTheme="minorHAnsi" w:eastAsiaTheme="minorEastAsia" w:hAnsiTheme="minorHAnsi" w:cstheme="minorBidi"/>
      <w:lang w:val="en-NZ" w:eastAsia="zh-CN"/>
    </w:rPr>
  </w:style>
  <w:style w:type="character" w:customStyle="1" w:styleId="CommentTextChar1">
    <w:name w:val="Comment Text Char1"/>
    <w:basedOn w:val="DefaultParagraphFont"/>
    <w:uiPriority w:val="99"/>
    <w:semiHidden/>
    <w:rsid w:val="00D878B1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styleId="CommentReference">
    <w:name w:val="annotation reference"/>
    <w:uiPriority w:val="99"/>
    <w:rsid w:val="00D878B1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D878B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D878B1"/>
    <w:rPr>
      <w:rFonts w:ascii="Arial" w:eastAsiaTheme="minorHAnsi" w:hAnsi="Arial"/>
      <w:szCs w:val="22"/>
      <w:lang w:val="de-DE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878B1"/>
    <w:rPr>
      <w:rFonts w:ascii="Arial" w:eastAsiaTheme="minorHAnsi" w:hAnsi="Arial"/>
      <w:szCs w:val="22"/>
      <w:lang w:val="de-DE" w:eastAsia="en-US"/>
    </w:rPr>
  </w:style>
  <w:style w:type="character" w:customStyle="1" w:styleId="tagtrans">
    <w:name w:val="tag_trans"/>
    <w:basedOn w:val="DefaultParagraphFont"/>
    <w:rsid w:val="00D878B1"/>
  </w:style>
  <w:style w:type="table" w:styleId="TableGrid">
    <w:name w:val="Table Grid"/>
    <w:basedOn w:val="TableNormal"/>
    <w:uiPriority w:val="39"/>
    <w:rsid w:val="00D878B1"/>
    <w:rPr>
      <w:rFonts w:eastAsiaTheme="minorHAns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3037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3037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AD303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AD3037"/>
    <w:rPr>
      <w:rFonts w:ascii="Times New Roman" w:eastAsia="Times New Roman" w:hAnsi="Times New Roman" w:cs="Times New Roman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AD3037"/>
    <w:pPr>
      <w:spacing w:line="48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AD3037"/>
    <w:rPr>
      <w:rFonts w:ascii="Times New Roman" w:eastAsia="Times New Roman" w:hAnsi="Times New Roman" w:cs="Times New Roman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54A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4AEB"/>
    <w:rPr>
      <w:rFonts w:ascii="Times New Roman" w:eastAsia="Times New Roman" w:hAnsi="Times New Roman" w:cs="Times New Roman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54AEB"/>
  </w:style>
  <w:style w:type="paragraph" w:styleId="BalloonText">
    <w:name w:val="Balloon Text"/>
    <w:basedOn w:val="Normal"/>
    <w:link w:val="BalloonTextChar"/>
    <w:uiPriority w:val="99"/>
    <w:semiHidden/>
    <w:unhideWhenUsed/>
    <w:rsid w:val="006551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149"/>
    <w:rPr>
      <w:rFonts w:ascii="Segoe UI" w:eastAsia="Times New Roman" w:hAnsi="Segoe UI" w:cs="Segoe UI"/>
      <w:sz w:val="18"/>
      <w:szCs w:val="18"/>
      <w:lang w:val="en-US" w:eastAsia="en-US"/>
    </w:rPr>
  </w:style>
  <w:style w:type="paragraph" w:styleId="NormalWeb">
    <w:name w:val="Normal (Web)"/>
    <w:basedOn w:val="Normal"/>
    <w:uiPriority w:val="99"/>
    <w:unhideWhenUsed/>
    <w:rsid w:val="00A05608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D126AF"/>
    <w:rPr>
      <w:rFonts w:ascii="Times New Roman" w:eastAsia="Times New Roman" w:hAnsi="Times New Roman" w:cs="Times New Roman"/>
      <w:lang w:val="en-US" w:eastAsia="en-US"/>
    </w:rPr>
  </w:style>
  <w:style w:type="character" w:styleId="Hyperlink">
    <w:name w:val="Hyperlink"/>
    <w:uiPriority w:val="99"/>
    <w:rsid w:val="0057247D"/>
    <w:rPr>
      <w:color w:val="0000FF"/>
      <w:u w:val="single"/>
    </w:rPr>
  </w:style>
  <w:style w:type="character" w:customStyle="1" w:styleId="identifier">
    <w:name w:val="identifier"/>
    <w:basedOn w:val="DefaultParagraphFont"/>
    <w:rsid w:val="0057247D"/>
  </w:style>
  <w:style w:type="character" w:customStyle="1" w:styleId="id-label">
    <w:name w:val="id-label"/>
    <w:basedOn w:val="DefaultParagraphFont"/>
    <w:rsid w:val="0057247D"/>
  </w:style>
  <w:style w:type="character" w:styleId="FollowedHyperlink">
    <w:name w:val="FollowedHyperlink"/>
    <w:basedOn w:val="DefaultParagraphFont"/>
    <w:uiPriority w:val="99"/>
    <w:semiHidden/>
    <w:unhideWhenUsed/>
    <w:rsid w:val="00551E8F"/>
    <w:rPr>
      <w:color w:val="954F72" w:themeColor="followedHyperlink"/>
      <w:u w:val="single"/>
    </w:rPr>
  </w:style>
  <w:style w:type="table" w:customStyle="1" w:styleId="Gitternetztabelle6farbig1">
    <w:name w:val="Gitternetztabelle 6 farbig1"/>
    <w:basedOn w:val="TableNormal"/>
    <w:uiPriority w:val="51"/>
    <w:rsid w:val="001F588C"/>
    <w:rPr>
      <w:rFonts w:eastAsiaTheme="minorHAnsi"/>
      <w:color w:val="000000" w:themeColor="text1"/>
      <w:sz w:val="22"/>
      <w:szCs w:val="22"/>
      <w:lang w:val="de-DE"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D6D39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D6D3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7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1793"/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0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54E94-CA43-415A-B098-27E558C99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910</Words>
  <Characters>5190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Medical Writer</dc:creator>
  <cp:keywords/>
  <dc:description/>
  <cp:lastModifiedBy>Medical Writer</cp:lastModifiedBy>
  <cp:revision>3</cp:revision>
  <dcterms:created xsi:type="dcterms:W3CDTF">2023-02-21T20:00:00Z</dcterms:created>
  <dcterms:modified xsi:type="dcterms:W3CDTF">2023-02-21T20:01:00Z</dcterms:modified>
</cp:coreProperties>
</file>