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3992" w14:textId="19D07E43" w:rsidR="004B1AC3" w:rsidRPr="007920AE" w:rsidRDefault="004B1AC3" w:rsidP="004B1AC3">
      <w:pPr>
        <w:pStyle w:val="Paragraph"/>
        <w:spacing w:before="0" w:after="240"/>
        <w:ind w:firstLine="0"/>
        <w:rPr>
          <w:rFonts w:ascii="Calibri" w:hAnsi="Calibri" w:cs="Calibri"/>
          <w:b/>
          <w:bCs/>
        </w:rPr>
      </w:pPr>
      <w:r w:rsidRPr="007920AE">
        <w:rPr>
          <w:rFonts w:ascii="Calibri" w:hAnsi="Calibri" w:cs="Calibri"/>
          <w:b/>
          <w:bCs/>
        </w:rPr>
        <w:t>Supplementa</w:t>
      </w:r>
      <w:r w:rsidR="007920AE" w:rsidRPr="007920AE">
        <w:rPr>
          <w:rFonts w:ascii="Calibri" w:hAnsi="Calibri" w:cs="Calibri"/>
          <w:b/>
          <w:bCs/>
        </w:rPr>
        <w:t>l</w:t>
      </w:r>
      <w:r w:rsidRPr="007920AE">
        <w:rPr>
          <w:rFonts w:ascii="Calibri" w:hAnsi="Calibri" w:cs="Calibri"/>
          <w:b/>
          <w:bCs/>
        </w:rPr>
        <w:t xml:space="preserve"> Methods</w:t>
      </w:r>
    </w:p>
    <w:p w14:paraId="2878A53E" w14:textId="56205801" w:rsidR="004B1AC3" w:rsidRPr="007920AE" w:rsidRDefault="004B1AC3" w:rsidP="004B1AC3">
      <w:pPr>
        <w:pStyle w:val="Paragraph"/>
        <w:spacing w:before="0" w:after="240"/>
        <w:ind w:firstLine="0"/>
        <w:rPr>
          <w:rFonts w:ascii="Calibri" w:hAnsi="Calibri" w:cs="Calibri"/>
          <w:i/>
          <w:iCs/>
        </w:rPr>
      </w:pPr>
      <w:r w:rsidRPr="007920AE">
        <w:rPr>
          <w:rFonts w:ascii="Calibri" w:hAnsi="Calibri" w:cs="Calibri"/>
          <w:i/>
          <w:iCs/>
        </w:rPr>
        <w:t>Experimental design</w:t>
      </w:r>
    </w:p>
    <w:p w14:paraId="3767F25F" w14:textId="77777777" w:rsidR="004B1AC3" w:rsidRPr="007920AE" w:rsidRDefault="004B1AC3" w:rsidP="004B1AC3">
      <w:pPr>
        <w:pStyle w:val="Paragraph"/>
        <w:spacing w:before="0"/>
        <w:ind w:firstLine="0"/>
        <w:jc w:val="both"/>
        <w:rPr>
          <w:rFonts w:ascii="Calibri" w:hAnsi="Calibri" w:cs="Calibri"/>
        </w:rPr>
      </w:pPr>
      <w:r w:rsidRPr="007920AE">
        <w:rPr>
          <w:rFonts w:ascii="Calibri" w:hAnsi="Calibri" w:cs="Calibri"/>
        </w:rPr>
        <w:t xml:space="preserve">In this work, single-cell CRISPR screening was performed on </w:t>
      </w:r>
      <w:r w:rsidRPr="007920AE">
        <w:rPr>
          <w:rFonts w:ascii="Calibri" w:hAnsi="Calibri" w:cs="Calibri"/>
          <w:i/>
          <w:iCs/>
        </w:rPr>
        <w:t>ex vivo</w:t>
      </w:r>
      <w:r w:rsidRPr="007920AE">
        <w:rPr>
          <w:rFonts w:ascii="Calibri" w:hAnsi="Calibri" w:cs="Calibri"/>
        </w:rPr>
        <w:t xml:space="preserve"> cultured pro-T lymphocytes to study recurrent mutations in T-ALL. Custom gRNA libraries were designed and retrovirally transduced in pro-T cells, with subsequent FACS sorting and cell harvesting at multiple timepoints. Samples were loaded onto the 10X Genomics Chromium platform for single-cell encapsulation and mRNA and gRNA extraction. Transcriptome data were analyzed to obtain gene expression signatures per perturbation and gRNA counts were used to infer proliferative effects.</w:t>
      </w:r>
    </w:p>
    <w:p w14:paraId="29C9FEDB" w14:textId="77777777" w:rsidR="004B1AC3" w:rsidRPr="007920AE" w:rsidRDefault="004B1AC3" w:rsidP="004B1AC3">
      <w:pPr>
        <w:pStyle w:val="Paragraph"/>
        <w:spacing w:before="0"/>
        <w:ind w:firstLine="0"/>
        <w:rPr>
          <w:rFonts w:ascii="Calibri" w:hAnsi="Calibri" w:cs="Calibri"/>
        </w:rPr>
      </w:pPr>
    </w:p>
    <w:p w14:paraId="4542D0F4"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Cell culture and transduction</w:t>
      </w:r>
    </w:p>
    <w:p w14:paraId="2F56FFBA" w14:textId="4DBA50B1" w:rsidR="004B1AC3" w:rsidRPr="007920AE" w:rsidRDefault="004B1AC3" w:rsidP="004B1AC3">
      <w:pPr>
        <w:pStyle w:val="Paragraph"/>
        <w:ind w:firstLine="0"/>
        <w:jc w:val="both"/>
        <w:rPr>
          <w:rFonts w:ascii="Calibri" w:hAnsi="Calibri" w:cs="Calibri"/>
        </w:rPr>
      </w:pPr>
      <w:r w:rsidRPr="007920AE">
        <w:rPr>
          <w:rFonts w:ascii="Calibri" w:hAnsi="Calibri" w:cs="Calibri"/>
        </w:rPr>
        <w:t>Ba/F3 pro-B cells (DSMZ) were cultured in RPMI-1640 supplemented with 10% fetal bovine serum (FBS) and IL3 (10ng/mL, PeproTech). Pro-T cell cultures were established as described previously</w:t>
      </w:r>
      <w:r w:rsidR="007920AE" w:rsidRPr="007920AE">
        <w:rPr>
          <w:rFonts w:ascii="Calibri" w:hAnsi="Calibri" w:cs="Calibri"/>
        </w:rPr>
        <w:t xml:space="preserve"> </w:t>
      </w:r>
      <w:sdt>
        <w:sdtPr>
          <w:rPr>
            <w:rFonts w:ascii="Calibri" w:hAnsi="Calibri" w:cs="Calibri"/>
            <w:color w:val="000000"/>
          </w:rPr>
          <w:tag w:val="MENDELEY_CITATION_v3_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"/>
          <w:id w:val="-1324728299"/>
          <w:placeholder>
            <w:docPart w:val="3464271FB79B2744AACDF740A5CCCC6A"/>
          </w:placeholder>
        </w:sdtPr>
        <w:sdtContent>
          <w:r w:rsidR="007920AE" w:rsidRPr="007920AE">
            <w:rPr>
              <w:rFonts w:ascii="Calibri" w:hAnsi="Calibri" w:cs="Calibri"/>
              <w:color w:val="000000"/>
            </w:rPr>
            <w:t>(1)</w:t>
          </w:r>
        </w:sdtContent>
      </w:sdt>
      <w:r w:rsidRPr="007920AE">
        <w:rPr>
          <w:rFonts w:ascii="Calibri" w:hAnsi="Calibri" w:cs="Calibri"/>
        </w:rPr>
        <w:t xml:space="preserve"> from C57BL/6J (Charles River Laboratories, Saint-Germain-Nuelles, France) Cas9 knock-in transgenic mice (024858, Jackson Laboratories, Bar Harbor, ME, USA). Cells were maintained in non-tissue culture treated plates pre-coated with anti-human IgG1-Fc mAb (Abcam ab1927). Pre-coated wells were washed twice with 1mL RPMI-1640 and subsequently coated with 2ug/mL mDLL4-Fc in RPMI-1640 overnight. Pro-T cells were seeded at 200000 – 500000 cells/mL in medium supplemented with 20%FBS with mIL7 (20ng/mL, PeproTech), mSCF (20ng/mL, PeproTech) and primocin (100ug/mL, Invivogen). </w:t>
      </w:r>
    </w:p>
    <w:p w14:paraId="379D494E" w14:textId="77777777" w:rsidR="004B1AC3" w:rsidRPr="007920AE" w:rsidRDefault="004B1AC3" w:rsidP="004B1AC3">
      <w:pPr>
        <w:pStyle w:val="Paragraph"/>
        <w:ind w:firstLine="0"/>
        <w:jc w:val="both"/>
        <w:rPr>
          <w:rFonts w:ascii="Calibri" w:hAnsi="Calibri" w:cs="Calibri"/>
        </w:rPr>
      </w:pPr>
    </w:p>
    <w:p w14:paraId="2811FACC" w14:textId="77777777" w:rsidR="004B1AC3" w:rsidRPr="007920AE" w:rsidRDefault="004B1AC3" w:rsidP="004B1AC3">
      <w:pPr>
        <w:pStyle w:val="Paragraph"/>
        <w:ind w:firstLine="0"/>
        <w:jc w:val="both"/>
        <w:rPr>
          <w:rFonts w:ascii="Calibri" w:hAnsi="Calibri" w:cs="Calibri"/>
        </w:rPr>
      </w:pPr>
      <w:r w:rsidRPr="007920AE">
        <w:rPr>
          <w:rFonts w:ascii="Calibri" w:hAnsi="Calibri" w:cs="Calibri"/>
        </w:rPr>
        <w:t>Pro-T cells were transduced by retroviral spinfection at 2500 rpm for 90 minutes at 30°C, with 0.5uL/mL polybrene (10mg/mL, Sigma Aldrich TR-1003-G) per million cells. Next, cells were incubated at 37°C for 2 hours, washed with PBS and seeded into freshly coated wells at a density of 500000 cells/mL. For growth curves, transduced pro-T cells were cultured at 300000 cells/mL and cell number, viability and fluorescent signal were measured over time using a MACSQuant VYB (Miltenyi) flow cytometer.</w:t>
      </w:r>
    </w:p>
    <w:p w14:paraId="54CF2632" w14:textId="77777777" w:rsidR="004B1AC3" w:rsidRPr="007920AE" w:rsidRDefault="004B1AC3" w:rsidP="004B1AC3">
      <w:pPr>
        <w:pStyle w:val="Paragraph"/>
        <w:ind w:firstLine="0"/>
        <w:jc w:val="both"/>
        <w:rPr>
          <w:rFonts w:ascii="Calibri" w:hAnsi="Calibri" w:cs="Calibri"/>
        </w:rPr>
      </w:pPr>
    </w:p>
    <w:p w14:paraId="29F92DF2"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gRNA library design</w:t>
      </w:r>
    </w:p>
    <w:p w14:paraId="57647853" w14:textId="59297128" w:rsidR="004B1AC3" w:rsidRPr="007920AE" w:rsidRDefault="004B1AC3" w:rsidP="004B1AC3">
      <w:pPr>
        <w:pStyle w:val="Paragraph"/>
        <w:ind w:firstLine="0"/>
        <w:jc w:val="both"/>
        <w:rPr>
          <w:rFonts w:ascii="Calibri" w:hAnsi="Calibri" w:cs="Calibri"/>
        </w:rPr>
      </w:pPr>
      <w:r w:rsidRPr="007920AE">
        <w:rPr>
          <w:rFonts w:ascii="Calibri" w:hAnsi="Calibri" w:cs="Calibri"/>
        </w:rPr>
        <w:t>gRNAs were designed using the CRISPick tool</w:t>
      </w:r>
      <w:r w:rsidR="007920AE" w:rsidRPr="007920AE">
        <w:rPr>
          <w:rFonts w:ascii="Calibri" w:hAnsi="Calibri" w:cs="Calibri"/>
        </w:rPr>
        <w:t xml:space="preserve"> </w:t>
      </w:r>
      <w:sdt>
        <w:sdtPr>
          <w:rPr>
            <w:rFonts w:ascii="Calibri" w:hAnsi="Calibri" w:cs="Calibri"/>
            <w:color w:val="000000"/>
          </w:rPr>
          <w:tag w:val="MENDELEY_CITATION_v3_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"/>
          <w:id w:val="1402326545"/>
          <w:placeholder>
            <w:docPart w:val="3464271FB79B2744AACDF740A5CCCC6A"/>
          </w:placeholder>
        </w:sdtPr>
        <w:sdtContent>
          <w:r w:rsidR="007920AE" w:rsidRPr="007920AE">
            <w:rPr>
              <w:rFonts w:ascii="Calibri" w:hAnsi="Calibri" w:cs="Calibri"/>
              <w:color w:val="000000"/>
            </w:rPr>
            <w:t>(2)</w:t>
          </w:r>
        </w:sdtContent>
      </w:sdt>
      <w:r w:rsidRPr="007920AE">
        <w:rPr>
          <w:rFonts w:ascii="Calibri" w:hAnsi="Calibri" w:cs="Calibri"/>
        </w:rPr>
        <w:t xml:space="preserve">, with compatible BpiI/BbsI overhangs at the 5’ end for cloning in a retroviral vector containing a 10x Genomics-compatible capture sequence (CS) for gRNA capture (CS1: GCTTTAAGGCCGGTCCTAGCAA, CS2: GCTCACCTATTAGCGGCTAAGG) </w:t>
      </w:r>
      <w:sdt>
        <w:sdtPr>
          <w:rPr>
            <w:rFonts w:ascii="Calibri" w:hAnsi="Calibri" w:cs="Calibri"/>
            <w:color w:val="000000"/>
          </w:rPr>
          <w:tag w:val="MENDELEY_CITATION_v3_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"/>
          <w:id w:val="1654720677"/>
          <w:placeholder>
            <w:docPart w:val="3464271FB79B2744AACDF740A5CCCC6A"/>
          </w:placeholder>
        </w:sdtPr>
        <w:sdtContent>
          <w:r w:rsidR="007920AE" w:rsidRPr="007920AE">
            <w:rPr>
              <w:rFonts w:ascii="Calibri" w:hAnsi="Calibri" w:cs="Calibri"/>
              <w:color w:val="000000"/>
            </w:rPr>
            <w:t>(3)</w:t>
          </w:r>
        </w:sdtContent>
      </w:sdt>
      <w:r w:rsidRPr="007920AE">
        <w:rPr>
          <w:rFonts w:ascii="Calibri" w:hAnsi="Calibri" w:cs="Calibri"/>
        </w:rPr>
        <w:t>. 100uM of forward and reverse gRNA oligos were annealed under following conditions; 95°C for 3 minutes, 25°C for 1 minute and holding at 4°C. Annealed gRNAs were pooled, diluted to 0.04uM and ligated into the BpiI-digested vector backbone. This construct was electroporated in Endura electrocompetent cells (Lucigen) according to the manufacturer’s protocols. A minimum of 1000 bacterial colonies per gRNA in the library were harvested and DNA was isolated using the Compactprep Plasmid Midi kit (Qiagen) according to manufacturer’s directions.</w:t>
      </w:r>
    </w:p>
    <w:p w14:paraId="36B5F217" w14:textId="5C184004" w:rsidR="007920AE" w:rsidRPr="007920AE" w:rsidRDefault="007920AE" w:rsidP="004B1AC3">
      <w:pPr>
        <w:pStyle w:val="Paragraph"/>
        <w:ind w:firstLine="0"/>
        <w:jc w:val="both"/>
        <w:rPr>
          <w:rFonts w:ascii="Calibri" w:hAnsi="Calibri" w:cs="Calibri"/>
        </w:rPr>
      </w:pPr>
    </w:p>
    <w:p w14:paraId="295CBA90" w14:textId="77777777" w:rsidR="007920AE" w:rsidRPr="007920AE" w:rsidRDefault="007920AE" w:rsidP="004B1AC3">
      <w:pPr>
        <w:pStyle w:val="Paragraph"/>
        <w:ind w:firstLine="0"/>
        <w:jc w:val="both"/>
        <w:rPr>
          <w:rFonts w:ascii="Calibri" w:hAnsi="Calibri" w:cs="Calibri"/>
        </w:rPr>
      </w:pPr>
    </w:p>
    <w:p w14:paraId="0A27F71E"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lastRenderedPageBreak/>
        <w:t>Retroviral work</w:t>
      </w:r>
    </w:p>
    <w:p w14:paraId="35251EB7" w14:textId="1AE00D85" w:rsidR="004B1AC3" w:rsidRPr="007920AE" w:rsidRDefault="004B1AC3" w:rsidP="004B1AC3">
      <w:pPr>
        <w:pStyle w:val="Paragraph"/>
        <w:ind w:firstLine="0"/>
        <w:jc w:val="both"/>
        <w:rPr>
          <w:rFonts w:ascii="Calibri" w:hAnsi="Calibri" w:cs="Calibri"/>
        </w:rPr>
      </w:pPr>
      <w:r w:rsidRPr="007920AE">
        <w:rPr>
          <w:rFonts w:ascii="Calibri" w:hAnsi="Calibri" w:cs="Calibri"/>
        </w:rPr>
        <w:t>Retrovirus production was performed by transfection of 150 mm dishes HEK293T cells with 10ug of the retroviral vector of interest and 10ug packaging plasmid pIK6.1MCV.ecopac.UTD, using 36uL Genejuice transfection reagent (Merck Millipore #70767) in 600uL serum-free RPMI-1640 medium. After 24h, medium was replaced with fresh RPMI-1640 supplemented with 10% FBS and retroviral supernatant was subsequently harvested at 48h and 72h post-transfection. Viral supernatant was filtered through a 0.45um filter and aliquots were frozen at -80°C.</w:t>
      </w:r>
      <w:r w:rsidR="000F34EF">
        <w:rPr>
          <w:rFonts w:ascii="Calibri" w:hAnsi="Calibri" w:cs="Calibri"/>
        </w:rPr>
        <w:t xml:space="preserve"> </w:t>
      </w:r>
      <w:r w:rsidRPr="007920AE">
        <w:rPr>
          <w:rFonts w:ascii="Calibri" w:hAnsi="Calibri" w:cs="Calibri"/>
        </w:rPr>
        <w:t>Viral titer was calculated to determine the optimal transduction conditions to reach around 10% efficiency to avoid introduction of multiple gRNAs in a single cell. Serial dilutions of the virus stock were used to transduce 1 million cells by spinfection and transduction efficiencies were measured by flow cytometry (MACSQuant VYB, Miltenyi). The number of transducing units per mL was determined and used to calculate the optimal volume of virus stock that should be used to reach the optimal MOI.</w:t>
      </w:r>
    </w:p>
    <w:p w14:paraId="6C183456" w14:textId="77777777" w:rsidR="004B1AC3" w:rsidRPr="007920AE" w:rsidRDefault="004B1AC3" w:rsidP="004B1AC3">
      <w:pPr>
        <w:pStyle w:val="Paragraph"/>
        <w:ind w:firstLine="0"/>
        <w:jc w:val="both"/>
        <w:rPr>
          <w:rFonts w:ascii="Calibri" w:hAnsi="Calibri" w:cs="Calibri"/>
        </w:rPr>
      </w:pPr>
    </w:p>
    <w:p w14:paraId="779CA99F"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Intracellular staining</w:t>
      </w:r>
    </w:p>
    <w:p w14:paraId="502425A2" w14:textId="77777777" w:rsidR="004B1AC3" w:rsidRPr="007920AE" w:rsidRDefault="004B1AC3" w:rsidP="004B1AC3">
      <w:pPr>
        <w:pStyle w:val="Paragraph"/>
        <w:ind w:firstLine="0"/>
        <w:jc w:val="both"/>
        <w:rPr>
          <w:rFonts w:ascii="Calibri" w:hAnsi="Calibri" w:cs="Calibri"/>
        </w:rPr>
      </w:pPr>
      <w:r w:rsidRPr="007920AE">
        <w:rPr>
          <w:rFonts w:ascii="Calibri" w:hAnsi="Calibri" w:cs="Calibri"/>
        </w:rPr>
        <w:t>Intracellular stainings were performed using the FOXP3 Transcription Factor Staining buffer set (Invitrogen 00-5523-00). Briefly, 100 000 cells were seeded in a well of a 96-well plate, stained with fixable viability dye, washed and resuspended in fixation/permeabilization buffer for fixation for 45 minutes. Cells were subsequently stained with primary and secondary antibody in triplicate, and data were acquired on a MACSQuant VYB (Miltenyi). Primary antibodies used were anti-Bcl11b (Abcam ab18465, 1/200 dilution) and anti-PU.1 (Abcam ab227835, 1/100 dilution), with secondary antibodies Goat anti-Rat IgG Secondary Antibody in Alexa Fluor 555 (Thermofisher A21434, 1/1000 dilution) and Donkey anti-Rabbit IgG Secondary Antibody in Alexa Fluor 568 (Thermofisher A10042, 1/1000 dilution). Fixable viability dyes eFluor520 (eBioscience 65-0867-14, 1/1000 dilution) and eFluor780 (eBioscience 65-0865-14, 1/1000 dilution) were used to discriminate living cells.</w:t>
      </w:r>
    </w:p>
    <w:p w14:paraId="15C48ED9" w14:textId="77777777" w:rsidR="004B1AC3" w:rsidRPr="007920AE" w:rsidRDefault="004B1AC3" w:rsidP="004B1AC3">
      <w:pPr>
        <w:pStyle w:val="Paragraph"/>
        <w:ind w:firstLine="0"/>
        <w:jc w:val="both"/>
        <w:rPr>
          <w:rFonts w:ascii="Calibri" w:hAnsi="Calibri" w:cs="Calibri"/>
          <w:lang w:val="en-GB"/>
        </w:rPr>
      </w:pPr>
    </w:p>
    <w:p w14:paraId="30A8C9E3"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Western blot</w:t>
      </w:r>
    </w:p>
    <w:p w14:paraId="5655E600"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lang w:val="en-GB"/>
        </w:rPr>
        <w:t>Cell lysates were prepared in cold Cell Lysis Buffer (Cell signaling) containing protease inhibitor (Complete – EDTA-free, Roche) and 5 mM Na3VO4. Protein concentration was determined with Protein Assay Dye Reagent Concentrate (Bio-Rad) using the Victor X4 plate reader (Perkin Elmer) according to the manufacturer’s directions. Proteins were separated on NuPAGE NOVEX Bis-Tris 4 - 12 % gels (Life Technologies) and transferred to PVDF membranes. Western blot analysis was performed using primary antibodies targeting P65 (Cell signaling 8242S, 1/1000 dilution) and phospho-P65 (Cell signaling 3033S, 1/1000 dilution). Western blot detection was performed with secondary antibodies conjugated with horseradish peroxidase (GE Healthcare). Bands were visualized and images were acquired using the VILBER FUSION FX6 imager (Analis).</w:t>
      </w:r>
    </w:p>
    <w:p w14:paraId="5C3FFC24" w14:textId="77777777" w:rsidR="007920AE" w:rsidRPr="007920AE" w:rsidRDefault="007920AE" w:rsidP="004B1AC3">
      <w:pPr>
        <w:pStyle w:val="Paragraph"/>
        <w:ind w:firstLine="0"/>
        <w:jc w:val="both"/>
        <w:rPr>
          <w:rFonts w:ascii="Calibri" w:hAnsi="Calibri" w:cs="Calibri"/>
        </w:rPr>
      </w:pPr>
    </w:p>
    <w:p w14:paraId="272D7F2F"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Bulk RNA-sequencing</w:t>
      </w:r>
    </w:p>
    <w:p w14:paraId="1774E36D" w14:textId="77777777" w:rsidR="004B1AC3" w:rsidRPr="007920AE" w:rsidRDefault="004B1AC3" w:rsidP="004B1AC3">
      <w:pPr>
        <w:pStyle w:val="Paragraph"/>
        <w:ind w:firstLine="0"/>
        <w:jc w:val="both"/>
        <w:rPr>
          <w:rFonts w:ascii="Calibri" w:hAnsi="Calibri" w:cs="Calibri"/>
        </w:rPr>
      </w:pPr>
      <w:r w:rsidRPr="007920AE">
        <w:rPr>
          <w:rFonts w:ascii="Calibri" w:hAnsi="Calibri" w:cs="Calibri"/>
        </w:rPr>
        <w:t>The Maxwell Simply RNA purification kit (Promega) was used to extract RNA from sorted pro-T cells, from which 500ng of purified RNA was used to construct NGS libraires using the Lexogen Quantseq RNA sample prep kit (Illumina). Libraries were subjected to 51bp single-</w:t>
      </w:r>
      <w:r w:rsidRPr="007920AE">
        <w:rPr>
          <w:rFonts w:ascii="Calibri" w:hAnsi="Calibri" w:cs="Calibri"/>
        </w:rPr>
        <w:lastRenderedPageBreak/>
        <w:t xml:space="preserve">end sequencing on a HiSeq4000 (Illumina). The reads were cleaned with the fastq-mcf software package (version 1.04.807) and FastQC (version 0.11.9) was used for quality control. The reads were subsequently aligned to the mouse reference genome (mm10/GRCm38) using HISAT2 (version 2.1.0) and further processed with the SAMtools software (version 1.11). The number of reads per gene was counted with the HTSeq package. The R (version 4.1.1) package DESeq2 (version 1.34.0) was used for differential gene expression analysis and the SCENIC software package (version 1.3.1) was used to determine regulons, </w:t>
      </w:r>
      <w:r w:rsidRPr="007920AE">
        <w:rPr>
          <w:rFonts w:ascii="Calibri" w:hAnsi="Calibri" w:cs="Calibri"/>
          <w:i/>
          <w:iCs/>
        </w:rPr>
        <w:t>i.e.</w:t>
      </w:r>
      <w:r w:rsidRPr="007920AE">
        <w:rPr>
          <w:rFonts w:ascii="Calibri" w:hAnsi="Calibri" w:cs="Calibri"/>
        </w:rPr>
        <w:t xml:space="preserve">, small gene regulatory networks based on co-expression patterns and transcription factor motifs. </w:t>
      </w:r>
    </w:p>
    <w:p w14:paraId="7A458CA8" w14:textId="77777777" w:rsidR="004B1AC3" w:rsidRPr="007920AE" w:rsidRDefault="004B1AC3" w:rsidP="004B1AC3">
      <w:pPr>
        <w:pStyle w:val="Paragraph"/>
        <w:ind w:firstLine="0"/>
        <w:jc w:val="both"/>
        <w:rPr>
          <w:rFonts w:ascii="Calibri" w:hAnsi="Calibri" w:cs="Calibri"/>
        </w:rPr>
      </w:pPr>
    </w:p>
    <w:p w14:paraId="593214D9"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 xml:space="preserve">CRISPR screen and single-cell RNA sequencing </w:t>
      </w:r>
    </w:p>
    <w:p w14:paraId="7156A092" w14:textId="77777777" w:rsidR="004B1AC3" w:rsidRPr="007920AE" w:rsidRDefault="004B1AC3" w:rsidP="004B1AC3">
      <w:pPr>
        <w:pStyle w:val="Paragraph"/>
        <w:ind w:firstLine="0"/>
        <w:jc w:val="both"/>
        <w:rPr>
          <w:rFonts w:ascii="Calibri" w:hAnsi="Calibri" w:cs="Calibri"/>
        </w:rPr>
      </w:pPr>
      <w:r w:rsidRPr="007920AE">
        <w:rPr>
          <w:rFonts w:ascii="Calibri" w:hAnsi="Calibri" w:cs="Calibri"/>
        </w:rPr>
        <w:t>Pro-T cells with constitutive Cas9 expression were spinfected with the CRISPR library with a transduction efficiency around 10%. Transduced cells were sorted 48 hours post-transduction using an Influx cell sorter (BD Biosciences) or FACSAria Fusion (BD Biosciences). Sorted cells were cultured for a total of 14 days, with harvesting of the cells for sequencing at day 3, 7 and 14. At each timepoint, cell suspensions with a density of 1000 cells/uL in PBS + 0.04% bovine serum albumin were loaded onto the Chromium platform (10X Genomics) for single-cell encapsulation. Sequencing libraries were prepared according to manufacturer’s directions using the Chromium Next GEM single-cell 3’ reagents with feature barcoding technology for CRISPR screening. Both the mRNA and gRNA libraries were analyzed with a High Sensitivity DNA kit on a Bioanalyzer (Agilent Technologies) and sequenced on a NovaSeq 6000 instrument (Illumina).</w:t>
      </w:r>
    </w:p>
    <w:p w14:paraId="235AF5C8" w14:textId="77777777" w:rsidR="004B1AC3" w:rsidRPr="007920AE" w:rsidRDefault="004B1AC3" w:rsidP="004B1AC3">
      <w:pPr>
        <w:pStyle w:val="Paragraph"/>
        <w:ind w:firstLine="0"/>
        <w:jc w:val="both"/>
        <w:rPr>
          <w:rFonts w:ascii="Calibri" w:hAnsi="Calibri" w:cs="Calibri"/>
        </w:rPr>
      </w:pPr>
    </w:p>
    <w:p w14:paraId="7393AD21" w14:textId="77777777" w:rsidR="004B1AC3" w:rsidRPr="007920AE" w:rsidRDefault="004B1AC3" w:rsidP="004B1AC3">
      <w:pPr>
        <w:pStyle w:val="Paragraph"/>
        <w:ind w:firstLine="0"/>
        <w:jc w:val="both"/>
        <w:rPr>
          <w:rFonts w:ascii="Calibri" w:hAnsi="Calibri" w:cs="Calibri"/>
        </w:rPr>
      </w:pPr>
      <w:r w:rsidRPr="007920AE">
        <w:rPr>
          <w:rFonts w:ascii="Calibri" w:hAnsi="Calibri" w:cs="Calibri"/>
          <w:i/>
          <w:iCs/>
        </w:rPr>
        <w:t>Data analysis of single-cell CRISPR experiments</w:t>
      </w:r>
    </w:p>
    <w:p w14:paraId="71F796B7" w14:textId="3CD45B09" w:rsidR="004B1AC3" w:rsidRPr="007920AE" w:rsidRDefault="004B1AC3" w:rsidP="004B1AC3">
      <w:pPr>
        <w:pStyle w:val="Paragraph"/>
        <w:ind w:firstLine="0"/>
        <w:jc w:val="both"/>
        <w:rPr>
          <w:rFonts w:ascii="Calibri" w:hAnsi="Calibri" w:cs="Calibri"/>
        </w:rPr>
      </w:pPr>
      <w:r w:rsidRPr="007920AE">
        <w:rPr>
          <w:rFonts w:ascii="Calibri" w:hAnsi="Calibri" w:cs="Calibri"/>
        </w:rPr>
        <w:t xml:space="preserve">CellRanger software (version 5.0.1) was used for alignment of reads to the mouse reference genome (mm10) and unique molecular identifier (UMI) counting. The resulting count matrices were further processed using the Seurat R package v4. We removed cells that expressed less than 200 genes and genes that were expressed in less than 3 cells. Furthermore, cells with high numbers of mitochondrial reads (&gt;15%) and extreme numbers of transcripts (&lt;1500 and &gt;8000) were removed, as these are most likely damaged cells or doublets. Next, the data was normalized using SCTransform. Cell cycle scoring was done with Seurat based on the lists of cell cycle marker genes of Tirosh </w:t>
      </w:r>
      <w:r w:rsidRPr="007920AE">
        <w:rPr>
          <w:rFonts w:ascii="Calibri" w:hAnsi="Calibri" w:cs="Calibri"/>
          <w:i/>
          <w:iCs/>
        </w:rPr>
        <w:t>et al</w:t>
      </w:r>
      <w:r w:rsidRPr="007920AE">
        <w:rPr>
          <w:rFonts w:ascii="Calibri" w:hAnsi="Calibri" w:cs="Calibri"/>
        </w:rPr>
        <w:t xml:space="preserve">. (2016) </w:t>
      </w:r>
      <w:sdt>
        <w:sdtPr>
          <w:rPr>
            <w:rFonts w:ascii="Calibri" w:hAnsi="Calibri" w:cs="Calibri"/>
            <w:color w:val="000000"/>
          </w:rPr>
          <w:tag w:val="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"/>
          <w:id w:val="787557930"/>
          <w:placeholder>
            <w:docPart w:val="3464271FB79B2744AACDF740A5CCCC6A"/>
          </w:placeholder>
        </w:sdtPr>
        <w:sdtContent>
          <w:r w:rsidR="007920AE" w:rsidRPr="007920AE">
            <w:rPr>
              <w:rFonts w:ascii="Calibri" w:hAnsi="Calibri" w:cs="Calibri"/>
              <w:color w:val="000000"/>
            </w:rPr>
            <w:t>(4)</w:t>
          </w:r>
        </w:sdtContent>
      </w:sdt>
      <w:r w:rsidR="007920AE" w:rsidRPr="007920AE">
        <w:rPr>
          <w:rFonts w:ascii="Calibri" w:hAnsi="Calibri" w:cs="Calibri"/>
        </w:rPr>
        <w:t>.</w:t>
      </w:r>
    </w:p>
    <w:p w14:paraId="52662E15" w14:textId="77777777" w:rsidR="007920AE" w:rsidRPr="007920AE" w:rsidRDefault="007920AE" w:rsidP="004B1AC3">
      <w:pPr>
        <w:pStyle w:val="Paragraph"/>
        <w:ind w:firstLine="0"/>
        <w:jc w:val="both"/>
        <w:rPr>
          <w:rFonts w:ascii="Calibri" w:hAnsi="Calibri" w:cs="Calibri"/>
        </w:rPr>
      </w:pPr>
    </w:p>
    <w:p w14:paraId="25F295A1" w14:textId="04293013" w:rsidR="004B1AC3" w:rsidRPr="007920AE" w:rsidRDefault="004B1AC3" w:rsidP="004B1AC3">
      <w:pPr>
        <w:pStyle w:val="Paragraph"/>
        <w:ind w:firstLine="0"/>
        <w:jc w:val="both"/>
        <w:rPr>
          <w:rFonts w:ascii="Calibri" w:hAnsi="Calibri" w:cs="Calibri"/>
        </w:rPr>
      </w:pPr>
      <w:r w:rsidRPr="007920AE">
        <w:rPr>
          <w:rFonts w:ascii="Calibri" w:hAnsi="Calibri" w:cs="Calibri"/>
        </w:rPr>
        <w:t xml:space="preserve">Differential gene expression analysis using the MAST algorithm was performed to identify differentially expressed marker genes between cells with a gRNA and NT cells. In an alternative approach, cells with the same perturbation were grouped and a global transcriptional profile per perturbation was determined. DESeq2 (version 1.34.0) was used to compare these pseudo-bulk transcription profiles and identify differentially expressed genes. Furthermore, we calculated (Pearson) correlations between cells with different gRNAs to determine the most correlated genes for each gRNA. As we were mostly interested in the genes of importance in the pro-T cell model, we focused on the five sets identified by Bornschein </w:t>
      </w:r>
      <w:r w:rsidRPr="007920AE">
        <w:rPr>
          <w:rFonts w:ascii="Calibri" w:hAnsi="Calibri" w:cs="Calibri"/>
          <w:i/>
          <w:iCs/>
        </w:rPr>
        <w:t>et al.</w:t>
      </w:r>
      <w:r w:rsidRPr="007920AE">
        <w:rPr>
          <w:rFonts w:ascii="Calibri" w:hAnsi="Calibri" w:cs="Calibri"/>
        </w:rPr>
        <w:t xml:space="preserve"> (2018)</w:t>
      </w:r>
      <w:r w:rsidR="007920AE" w:rsidRPr="007920AE">
        <w:rPr>
          <w:rFonts w:ascii="Calibri" w:hAnsi="Calibri" w:cs="Calibri"/>
        </w:rPr>
        <w:t xml:space="preserve"> </w:t>
      </w:r>
      <w:sdt>
        <w:sdtPr>
          <w:rPr>
            <w:rFonts w:ascii="Calibri" w:hAnsi="Calibri" w:cs="Calibri"/>
            <w:color w:val="000000"/>
          </w:rPr>
          <w:tag w:val="MENDELEY_CITATION_v3_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"/>
          <w:id w:val="-1412467044"/>
          <w:placeholder>
            <w:docPart w:val="3AA11AB73136724C8E03E0B43BCCEA6A"/>
          </w:placeholder>
        </w:sdtPr>
        <w:sdtContent>
          <w:r w:rsidR="007920AE" w:rsidRPr="007920AE">
            <w:rPr>
              <w:rFonts w:ascii="Calibri" w:hAnsi="Calibri" w:cs="Calibri"/>
              <w:color w:val="000000"/>
            </w:rPr>
            <w:t>(5)</w:t>
          </w:r>
        </w:sdtContent>
      </w:sdt>
      <w:r w:rsidRPr="007920AE">
        <w:rPr>
          <w:rFonts w:ascii="Calibri" w:hAnsi="Calibri" w:cs="Calibri"/>
        </w:rPr>
        <w:t xml:space="preserve">, with which we performed gene set enrichment analyses (GSEA) on the ranked list of differentially expressed genes between the cells with a perturbation and the non-perturbed cells. The rank was calculated as: -sign(log2FoldChange)*log(padj). Based </w:t>
      </w:r>
      <w:r w:rsidRPr="007920AE">
        <w:rPr>
          <w:rFonts w:ascii="Calibri" w:hAnsi="Calibri" w:cs="Calibri"/>
        </w:rPr>
        <w:lastRenderedPageBreak/>
        <w:t xml:space="preserve">on these normalized enrichment scores (NES), an unsupervised hierarchical clustering algorithm was applied to identify perturbations with similar impact on the cells. </w:t>
      </w:r>
    </w:p>
    <w:p w14:paraId="66631315" w14:textId="77777777" w:rsidR="004B1AC3" w:rsidRPr="007920AE" w:rsidRDefault="004B1AC3" w:rsidP="004B1AC3">
      <w:pPr>
        <w:pStyle w:val="Paragraph"/>
        <w:ind w:firstLine="0"/>
        <w:jc w:val="both"/>
        <w:rPr>
          <w:rFonts w:ascii="Calibri" w:hAnsi="Calibri" w:cs="Calibri"/>
        </w:rPr>
      </w:pPr>
    </w:p>
    <w:p w14:paraId="01E0056B" w14:textId="77777777" w:rsidR="004B1AC3" w:rsidRPr="007920AE" w:rsidRDefault="004B1AC3" w:rsidP="004B1AC3">
      <w:pPr>
        <w:pStyle w:val="Paragraph"/>
        <w:ind w:firstLine="0"/>
        <w:jc w:val="both"/>
        <w:rPr>
          <w:rFonts w:ascii="Calibri" w:hAnsi="Calibri" w:cs="Calibri"/>
        </w:rPr>
      </w:pPr>
      <w:r w:rsidRPr="007920AE">
        <w:rPr>
          <w:rFonts w:ascii="Calibri" w:hAnsi="Calibri" w:cs="Calibri"/>
        </w:rPr>
        <w:t xml:space="preserve">To determine the regulatory elements involved in each of the perturbations, the pySCENIC software package (version 0.10.0), together with its command line interface (CLI), was used. First a list of adjacencies between transcription factors and its targets was determined with the CLI version on the Flemish Super Computer (VSC). Subsequently, we used the publicly available motif database to predict regulons, after which cellular enrichment for each regulon in each cell was calculated with AUCell. The distributions of these AUCell values for each regulon and each perturbation were then plotted with the stacked violin function in the Scanpy package.  </w:t>
      </w:r>
    </w:p>
    <w:p w14:paraId="0A3C85DC" w14:textId="77777777" w:rsidR="004B1AC3" w:rsidRPr="007920AE" w:rsidRDefault="004B1AC3" w:rsidP="004B1AC3">
      <w:pPr>
        <w:pStyle w:val="Paragraph"/>
        <w:ind w:firstLine="0"/>
        <w:jc w:val="both"/>
        <w:rPr>
          <w:rFonts w:ascii="Calibri" w:hAnsi="Calibri" w:cs="Calibri"/>
        </w:rPr>
      </w:pPr>
    </w:p>
    <w:p w14:paraId="4EE7EDF0" w14:textId="77777777" w:rsidR="004B1AC3" w:rsidRPr="007920AE" w:rsidRDefault="004B1AC3" w:rsidP="004B1AC3">
      <w:pPr>
        <w:pStyle w:val="Paragraph"/>
        <w:ind w:firstLine="0"/>
        <w:jc w:val="both"/>
        <w:rPr>
          <w:rFonts w:ascii="Calibri" w:hAnsi="Calibri" w:cs="Calibri"/>
          <w:i/>
          <w:iCs/>
        </w:rPr>
      </w:pPr>
      <w:r w:rsidRPr="007920AE">
        <w:rPr>
          <w:rFonts w:ascii="Calibri" w:hAnsi="Calibri" w:cs="Calibri"/>
          <w:i/>
          <w:iCs/>
        </w:rPr>
        <w:t>Statistical analysis and data visualization</w:t>
      </w:r>
    </w:p>
    <w:p w14:paraId="329FF6AE" w14:textId="42F27FFF" w:rsidR="004B1AC3" w:rsidRPr="007920AE" w:rsidRDefault="004B1AC3" w:rsidP="004B1AC3">
      <w:pPr>
        <w:pStyle w:val="Paragraph"/>
        <w:ind w:firstLine="0"/>
        <w:jc w:val="both"/>
        <w:rPr>
          <w:rFonts w:ascii="Calibri" w:hAnsi="Calibri" w:cs="Calibri"/>
        </w:rPr>
      </w:pPr>
      <w:r w:rsidRPr="007920AE">
        <w:rPr>
          <w:rFonts w:ascii="Calibri" w:hAnsi="Calibri" w:cs="Calibri"/>
        </w:rPr>
        <w:t>Graphpad Prism software (version 9.2.0) was used for statistical analyses. Data was displayed as mean +/- standard deviation (SD) and comparisons between 2 groups were performed via unpaired two-tailed Student t-tests. FlowJo software (version 10.8.1) was used for analysis of flow cytometry data, with fluorophore signals in biexponential scale for visualization purposes. Custom R (version 4.1.1) scripts were used for analysis of single-cell and bulk RNA-sequencing data, as well as for data visualization. Webgestalt</w:t>
      </w:r>
      <w:r w:rsidR="007920AE" w:rsidRPr="007920AE">
        <w:rPr>
          <w:rFonts w:ascii="Calibri" w:hAnsi="Calibri" w:cs="Calibri"/>
        </w:rPr>
        <w:t xml:space="preserve"> </w:t>
      </w:r>
      <w:sdt>
        <w:sdtPr>
          <w:rPr>
            <w:rFonts w:ascii="Calibri" w:hAnsi="Calibri" w:cs="Calibri"/>
            <w:color w:val="000000"/>
          </w:rPr>
          <w:tag w:val="MENDELEY_CITATION_v3_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"/>
          <w:id w:val="-949316561"/>
          <w:placeholder>
            <w:docPart w:val="3464271FB79B2744AACDF740A5CCCC6A"/>
          </w:placeholder>
        </w:sdtPr>
        <w:sdtContent>
          <w:r w:rsidR="007920AE" w:rsidRPr="007920AE">
            <w:rPr>
              <w:rFonts w:ascii="Calibri" w:hAnsi="Calibri" w:cs="Calibri"/>
              <w:color w:val="000000"/>
            </w:rPr>
            <w:t>(6)</w:t>
          </w:r>
        </w:sdtContent>
      </w:sdt>
      <w:r w:rsidRPr="007920AE">
        <w:rPr>
          <w:rFonts w:ascii="Calibri" w:hAnsi="Calibri" w:cs="Calibri"/>
        </w:rPr>
        <w:t xml:space="preserve"> and the Broad GSEA software (version 4.2.1)</w:t>
      </w:r>
      <w:sdt>
        <w:sdtPr>
          <w:rPr>
            <w:rFonts w:ascii="Calibri" w:hAnsi="Calibri" w:cs="Calibri"/>
            <w:color w:val="000000"/>
          </w:rPr>
          <w:tag w:val="MENDELEY_CITATION_v3_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"/>
          <w:id w:val="308222463"/>
          <w:placeholder>
            <w:docPart w:val="3464271FB79B2744AACDF740A5CCCC6A"/>
          </w:placeholder>
        </w:sdtPr>
        <w:sdtContent>
          <w:r w:rsidR="007920AE" w:rsidRPr="007920AE">
            <w:rPr>
              <w:rFonts w:ascii="Calibri" w:hAnsi="Calibri" w:cs="Calibri"/>
              <w:color w:val="000000"/>
            </w:rPr>
            <w:t>(7,8)</w:t>
          </w:r>
        </w:sdtContent>
      </w:sdt>
      <w:r w:rsidRPr="007920AE">
        <w:rPr>
          <w:rFonts w:ascii="Calibri" w:hAnsi="Calibri" w:cs="Calibri"/>
        </w:rPr>
        <w:t xml:space="preserve"> were used for analysis of differentially expressed genes, and i-cisTarget</w:t>
      </w:r>
      <w:r w:rsidR="007920AE" w:rsidRPr="007920AE">
        <w:rPr>
          <w:rFonts w:ascii="Calibri" w:hAnsi="Calibri" w:cs="Calibri"/>
        </w:rPr>
        <w:t xml:space="preserve"> </w:t>
      </w:r>
      <w:sdt>
        <w:sdtPr>
          <w:rPr>
            <w:rFonts w:ascii="Calibri" w:hAnsi="Calibri" w:cs="Calibri"/>
            <w:color w:val="000000"/>
          </w:rPr>
          <w:tag w:val="MENDELEY_CITATION_v3_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"/>
          <w:id w:val="1818451513"/>
          <w:placeholder>
            <w:docPart w:val="3464271FB79B2744AACDF740A5CCCC6A"/>
          </w:placeholder>
        </w:sdtPr>
        <w:sdtContent>
          <w:r w:rsidR="007920AE" w:rsidRPr="007920AE">
            <w:rPr>
              <w:rFonts w:ascii="Calibri" w:hAnsi="Calibri" w:cs="Calibri"/>
              <w:color w:val="000000"/>
            </w:rPr>
            <w:t>(9)</w:t>
          </w:r>
        </w:sdtContent>
      </w:sdt>
      <w:r w:rsidRPr="007920AE">
        <w:rPr>
          <w:rFonts w:ascii="Calibri" w:hAnsi="Calibri" w:cs="Calibri"/>
        </w:rPr>
        <w:t xml:space="preserve"> for prediction of cis-regulatory motifs.</w:t>
      </w:r>
    </w:p>
    <w:p w14:paraId="53DA847C" w14:textId="3DE564C5" w:rsidR="00F86141" w:rsidRPr="007920AE" w:rsidRDefault="00F86141" w:rsidP="004B1AC3">
      <w:pPr>
        <w:rPr>
          <w:rFonts w:ascii="Calibri" w:hAnsi="Calibri" w:cs="Calibri"/>
        </w:rPr>
      </w:pPr>
    </w:p>
    <w:p w14:paraId="24579D4E" w14:textId="77777777" w:rsidR="007920AE" w:rsidRPr="007920AE" w:rsidRDefault="007920AE" w:rsidP="004B1AC3">
      <w:pPr>
        <w:rPr>
          <w:rFonts w:ascii="Calibri" w:hAnsi="Calibri" w:cs="Calibri"/>
        </w:rPr>
      </w:pPr>
    </w:p>
    <w:p w14:paraId="16D64F6C" w14:textId="503A8B9B" w:rsidR="007920AE" w:rsidRPr="007920AE" w:rsidRDefault="007920AE" w:rsidP="004B1AC3">
      <w:pPr>
        <w:rPr>
          <w:rFonts w:ascii="Calibri" w:hAnsi="Calibri" w:cs="Calibri"/>
          <w:b/>
          <w:bCs/>
          <w:sz w:val="24"/>
          <w:szCs w:val="24"/>
        </w:rPr>
      </w:pPr>
      <w:r w:rsidRPr="007920AE">
        <w:rPr>
          <w:rFonts w:ascii="Calibri" w:hAnsi="Calibri" w:cs="Calibri"/>
          <w:b/>
          <w:bCs/>
          <w:sz w:val="24"/>
          <w:szCs w:val="24"/>
        </w:rPr>
        <w:t>Supplemental References</w:t>
      </w:r>
    </w:p>
    <w:sdt>
      <w:sdtPr>
        <w:rPr>
          <w:rFonts w:ascii="Calibri" w:hAnsi="Calibri" w:cs="Calibri"/>
          <w:b/>
          <w:bCs/>
          <w:sz w:val="22"/>
          <w:szCs w:val="22"/>
        </w:rPr>
        <w:tag w:val="MENDELEY_BIBLIOGRAPHY"/>
        <w:id w:val="688801423"/>
        <w:placeholder>
          <w:docPart w:val="DefaultPlaceholder_-1854013440"/>
        </w:placeholder>
      </w:sdtPr>
      <w:sdtContent>
        <w:p w14:paraId="01F5004D" w14:textId="48CCFAB7" w:rsidR="007920AE" w:rsidRPr="007920AE" w:rsidRDefault="007920AE">
          <w:pPr>
            <w:autoSpaceDE w:val="0"/>
            <w:autoSpaceDN w:val="0"/>
            <w:ind w:hanging="640"/>
            <w:divId w:val="1220752965"/>
            <w:rPr>
              <w:rFonts w:ascii="Calibri" w:eastAsia="Times New Roman" w:hAnsi="Calibri" w:cs="Calibri"/>
              <w:sz w:val="24"/>
              <w:szCs w:val="24"/>
            </w:rPr>
          </w:pPr>
          <w:r w:rsidRPr="007920AE">
            <w:rPr>
              <w:rFonts w:ascii="Calibri" w:eastAsia="Times New Roman" w:hAnsi="Calibri" w:cs="Calibri"/>
            </w:rPr>
            <w:t>1.</w:t>
          </w:r>
          <w:r w:rsidRPr="007920AE">
            <w:rPr>
              <w:rFonts w:ascii="Calibri" w:eastAsia="Times New Roman" w:hAnsi="Calibri" w:cs="Calibri"/>
            </w:rPr>
            <w:tab/>
            <w:t>Gehre N, Nusser A, von Muenchow L, Tussiwand R, Engdahl C, Capoferri G, et al. A stromal cell free culture system generates mouse pro-T cells that can reconstitute T-cell compartments in vivo. Eur J Immunol. 2015;45(3):932–42.</w:t>
          </w:r>
        </w:p>
        <w:p w14:paraId="2F193BE0" w14:textId="304F65A0" w:rsidR="007920AE" w:rsidRPr="007920AE" w:rsidRDefault="007920AE">
          <w:pPr>
            <w:autoSpaceDE w:val="0"/>
            <w:autoSpaceDN w:val="0"/>
            <w:ind w:hanging="640"/>
            <w:divId w:val="2127037835"/>
            <w:rPr>
              <w:rFonts w:ascii="Calibri" w:eastAsia="Times New Roman" w:hAnsi="Calibri" w:cs="Calibri"/>
            </w:rPr>
          </w:pPr>
          <w:r w:rsidRPr="007920AE">
            <w:rPr>
              <w:rFonts w:ascii="Calibri" w:eastAsia="Times New Roman" w:hAnsi="Calibri" w:cs="Calibri"/>
              <w:lang w:val="nl-NL"/>
            </w:rPr>
            <w:t>2.</w:t>
          </w:r>
          <w:r w:rsidRPr="007920AE">
            <w:rPr>
              <w:rFonts w:ascii="Calibri" w:eastAsia="Times New Roman" w:hAnsi="Calibri" w:cs="Calibri"/>
              <w:lang w:val="nl-NL"/>
            </w:rPr>
            <w:tab/>
            <w:t xml:space="preserve">Doench JG, Fusi N, Sullender M, Hegde M, Vaimberg EW, Donovan KF, et al. </w:t>
          </w:r>
          <w:r w:rsidRPr="007920AE">
            <w:rPr>
              <w:rFonts w:ascii="Calibri" w:eastAsia="Times New Roman" w:hAnsi="Calibri" w:cs="Calibri"/>
            </w:rPr>
            <w:t xml:space="preserve">Optimized sgRNA design to maximize activity and minimize off-target effects of CRISPR-Cas9. Nat Biotechnol. 2016;34(2):184–91. </w:t>
          </w:r>
        </w:p>
        <w:p w14:paraId="761AD92A" w14:textId="0918A329" w:rsidR="007920AE" w:rsidRPr="007920AE" w:rsidRDefault="007920AE">
          <w:pPr>
            <w:autoSpaceDE w:val="0"/>
            <w:autoSpaceDN w:val="0"/>
            <w:ind w:hanging="640"/>
            <w:divId w:val="1071851974"/>
            <w:rPr>
              <w:rFonts w:ascii="Calibri" w:eastAsia="Times New Roman" w:hAnsi="Calibri" w:cs="Calibri"/>
            </w:rPr>
          </w:pPr>
          <w:r w:rsidRPr="007920AE">
            <w:rPr>
              <w:rFonts w:ascii="Calibri" w:eastAsia="Times New Roman" w:hAnsi="Calibri" w:cs="Calibri"/>
            </w:rPr>
            <w:t>3.</w:t>
          </w:r>
          <w:r w:rsidRPr="007920AE">
            <w:rPr>
              <w:rFonts w:ascii="Calibri" w:eastAsia="Times New Roman" w:hAnsi="Calibri" w:cs="Calibri"/>
            </w:rPr>
            <w:tab/>
            <w:t>Replogle JM, Norman TM, Xu A, Hussmann JA, Chen J, Cogan JZ, et al. Combinatorial single-cell CRISPR screens by direct guide RNA capture and targeted sequencing. Nat Biotechnol. 2020;38(8):954–61.</w:t>
          </w:r>
        </w:p>
        <w:p w14:paraId="7F0A1A76" w14:textId="1807785E" w:rsidR="007920AE" w:rsidRPr="007920AE" w:rsidRDefault="007920AE">
          <w:pPr>
            <w:autoSpaceDE w:val="0"/>
            <w:autoSpaceDN w:val="0"/>
            <w:ind w:hanging="640"/>
            <w:divId w:val="441729396"/>
            <w:rPr>
              <w:rFonts w:ascii="Calibri" w:eastAsia="Times New Roman" w:hAnsi="Calibri" w:cs="Calibri"/>
            </w:rPr>
          </w:pPr>
          <w:r w:rsidRPr="007920AE">
            <w:rPr>
              <w:rFonts w:ascii="Calibri" w:eastAsia="Times New Roman" w:hAnsi="Calibri" w:cs="Calibri"/>
            </w:rPr>
            <w:t>4.</w:t>
          </w:r>
          <w:r w:rsidRPr="007920AE">
            <w:rPr>
              <w:rFonts w:ascii="Calibri" w:eastAsia="Times New Roman" w:hAnsi="Calibri" w:cs="Calibri"/>
            </w:rPr>
            <w:tab/>
            <w:t>Tirosh I, Izar B, Prakadan SM, Wadsworth MH, Treacy D, Trombetta JJ, et al. Dissecting the multicellular ecosystem of metastatic melanoma by single-cell RNA-seq. Science. 2016;352(6282):189–96.</w:t>
          </w:r>
        </w:p>
        <w:p w14:paraId="41A62AF6" w14:textId="601E3A98" w:rsidR="007920AE" w:rsidRPr="007920AE" w:rsidRDefault="007920AE">
          <w:pPr>
            <w:autoSpaceDE w:val="0"/>
            <w:autoSpaceDN w:val="0"/>
            <w:ind w:hanging="640"/>
            <w:divId w:val="304939133"/>
            <w:rPr>
              <w:rFonts w:ascii="Calibri" w:eastAsia="Times New Roman" w:hAnsi="Calibri" w:cs="Calibri"/>
            </w:rPr>
          </w:pPr>
          <w:r w:rsidRPr="007920AE">
            <w:rPr>
              <w:rFonts w:ascii="Calibri" w:eastAsia="Times New Roman" w:hAnsi="Calibri" w:cs="Calibri"/>
              <w:lang w:val="nl-NL"/>
            </w:rPr>
            <w:t>5.</w:t>
          </w:r>
          <w:r w:rsidRPr="007920AE">
            <w:rPr>
              <w:rFonts w:ascii="Calibri" w:eastAsia="Times New Roman" w:hAnsi="Calibri" w:cs="Calibri"/>
              <w:lang w:val="nl-NL"/>
            </w:rPr>
            <w:tab/>
            <w:t xml:space="preserve">Bornschein S, Demeyer S, Stirparo R, Gielen O, Vicente C, Geerdens E, et al. </w:t>
          </w:r>
          <w:r w:rsidRPr="007920AE">
            <w:rPr>
              <w:rFonts w:ascii="Calibri" w:eastAsia="Times New Roman" w:hAnsi="Calibri" w:cs="Calibri"/>
            </w:rPr>
            <w:t>Defining the molecular basis of oncogenic cooperation between TAL1 expression and Pten deletion in T-ALL using a novel pro-T-cell model system. Leukemia. 2018;32(4):941–51.</w:t>
          </w:r>
        </w:p>
        <w:p w14:paraId="1ECAF038" w14:textId="6D57186E" w:rsidR="007920AE" w:rsidRPr="007920AE" w:rsidRDefault="007920AE">
          <w:pPr>
            <w:autoSpaceDE w:val="0"/>
            <w:autoSpaceDN w:val="0"/>
            <w:ind w:hanging="640"/>
            <w:divId w:val="1158691202"/>
            <w:rPr>
              <w:rFonts w:ascii="Calibri" w:eastAsia="Times New Roman" w:hAnsi="Calibri" w:cs="Calibri"/>
            </w:rPr>
          </w:pPr>
          <w:r w:rsidRPr="007920AE">
            <w:rPr>
              <w:rFonts w:ascii="Calibri" w:eastAsia="Times New Roman" w:hAnsi="Calibri" w:cs="Calibri"/>
            </w:rPr>
            <w:t>6.</w:t>
          </w:r>
          <w:r w:rsidRPr="007920AE">
            <w:rPr>
              <w:rFonts w:ascii="Calibri" w:eastAsia="Times New Roman" w:hAnsi="Calibri" w:cs="Calibri"/>
            </w:rPr>
            <w:tab/>
            <w:t>Liao Y, Wang J, Jaehnig EJ, Shi Z, Zhang B. WebGestalt 2019: gene set analysis toolkit with revamped UIs and APIs. Nucleic Acids Res. 2019;47(W1):W199–205.</w:t>
          </w:r>
        </w:p>
        <w:p w14:paraId="6A6E4771" w14:textId="3EEAFC62" w:rsidR="007920AE" w:rsidRPr="007920AE" w:rsidRDefault="007920AE">
          <w:pPr>
            <w:autoSpaceDE w:val="0"/>
            <w:autoSpaceDN w:val="0"/>
            <w:ind w:hanging="640"/>
            <w:divId w:val="1045640995"/>
            <w:rPr>
              <w:rFonts w:ascii="Calibri" w:eastAsia="Times New Roman" w:hAnsi="Calibri" w:cs="Calibri"/>
            </w:rPr>
          </w:pPr>
          <w:r w:rsidRPr="007920AE">
            <w:rPr>
              <w:rFonts w:ascii="Calibri" w:eastAsia="Times New Roman" w:hAnsi="Calibri" w:cs="Calibri"/>
              <w:lang w:val="nl-NL"/>
            </w:rPr>
            <w:t>7.</w:t>
          </w:r>
          <w:r w:rsidRPr="007920AE">
            <w:rPr>
              <w:rFonts w:ascii="Calibri" w:eastAsia="Times New Roman" w:hAnsi="Calibri" w:cs="Calibri"/>
              <w:lang w:val="nl-NL"/>
            </w:rPr>
            <w:tab/>
            <w:t xml:space="preserve">Mootha VK, Lindgren CM, Eriksson KF, Subramanian A, Sihag S, Lehar J, et al. </w:t>
          </w:r>
          <w:r w:rsidRPr="007920AE">
            <w:rPr>
              <w:rFonts w:ascii="Calibri" w:eastAsia="Times New Roman" w:hAnsi="Calibri" w:cs="Calibri"/>
            </w:rPr>
            <w:t>PGC-1α-responsive genes involved in oxidative phosphorylation are coordinately downregulated in human diabetes. Nat Genet. 2003;34(3):267–73.</w:t>
          </w:r>
        </w:p>
        <w:p w14:paraId="23B7B59C" w14:textId="209DA0CC" w:rsidR="007920AE" w:rsidRPr="007920AE" w:rsidRDefault="007920AE">
          <w:pPr>
            <w:autoSpaceDE w:val="0"/>
            <w:autoSpaceDN w:val="0"/>
            <w:ind w:hanging="640"/>
            <w:divId w:val="1539005553"/>
            <w:rPr>
              <w:rFonts w:ascii="Calibri" w:eastAsia="Times New Roman" w:hAnsi="Calibri" w:cs="Calibri"/>
            </w:rPr>
          </w:pPr>
          <w:r w:rsidRPr="007920AE">
            <w:rPr>
              <w:rFonts w:ascii="Calibri" w:eastAsia="Times New Roman" w:hAnsi="Calibri" w:cs="Calibri"/>
            </w:rPr>
            <w:lastRenderedPageBreak/>
            <w:t>8.</w:t>
          </w:r>
          <w:r w:rsidRPr="007920AE">
            <w:rPr>
              <w:rFonts w:ascii="Calibri" w:eastAsia="Times New Roman" w:hAnsi="Calibri" w:cs="Calibri"/>
            </w:rPr>
            <w:tab/>
            <w:t>Subramanian A, Tamayo P, Mootha VK, Mukherjee S, Ebert BL, Gillette MA, et al. Gene set enrichment analysis: A knowledge-based approach for interpreting genome-wide expression profiles. Proc Natl Acad Sci U S A. 2005;102(43):15545–50.</w:t>
          </w:r>
        </w:p>
        <w:p w14:paraId="59BEE94D" w14:textId="6813F784" w:rsidR="007920AE" w:rsidRPr="007920AE" w:rsidRDefault="007920AE">
          <w:pPr>
            <w:autoSpaceDE w:val="0"/>
            <w:autoSpaceDN w:val="0"/>
            <w:ind w:hanging="640"/>
            <w:divId w:val="1844972354"/>
            <w:rPr>
              <w:rFonts w:ascii="Calibri" w:eastAsia="Times New Roman" w:hAnsi="Calibri" w:cs="Calibri"/>
            </w:rPr>
          </w:pPr>
          <w:r w:rsidRPr="007920AE">
            <w:rPr>
              <w:rFonts w:ascii="Calibri" w:eastAsia="Times New Roman" w:hAnsi="Calibri" w:cs="Calibri"/>
            </w:rPr>
            <w:t>9.</w:t>
          </w:r>
          <w:r w:rsidRPr="007920AE">
            <w:rPr>
              <w:rFonts w:ascii="Calibri" w:eastAsia="Times New Roman" w:hAnsi="Calibri" w:cs="Calibri"/>
            </w:rPr>
            <w:tab/>
            <w:t>Imrichová H, Hulselmans G, Atak ZK, Potier D, Aerts S. i-cisTarget 2015 update: generalized cis-regulatory enrichment analysis in human, mouse and fly. Nucleic Acids Res. 2015;43(W1):W57–64.</w:t>
          </w:r>
        </w:p>
        <w:p w14:paraId="3820367E" w14:textId="56153907" w:rsidR="000F34EF" w:rsidRPr="007920AE" w:rsidRDefault="007920AE" w:rsidP="004B1AC3">
          <w:pPr>
            <w:rPr>
              <w:rFonts w:ascii="Calibri" w:hAnsi="Calibri" w:cs="Calibri"/>
              <w:b/>
              <w:bCs/>
              <w:sz w:val="22"/>
              <w:szCs w:val="22"/>
            </w:rPr>
          </w:pPr>
          <w:r w:rsidRPr="007920AE">
            <w:rPr>
              <w:rFonts w:ascii="Calibri" w:eastAsia="Times New Roman" w:hAnsi="Calibri" w:cs="Calibri"/>
            </w:rPr>
            <w:t> </w:t>
          </w:r>
        </w:p>
      </w:sdtContent>
    </w:sdt>
    <w:p w14:paraId="563D928F" w14:textId="77777777" w:rsidR="000F34EF" w:rsidRDefault="000F34EF" w:rsidP="007920AE">
      <w:pPr>
        <w:rPr>
          <w:rFonts w:ascii="Calibri" w:hAnsi="Calibri" w:cs="Calibri"/>
          <w:b/>
          <w:bCs/>
          <w:sz w:val="24"/>
          <w:szCs w:val="24"/>
        </w:rPr>
      </w:pPr>
    </w:p>
    <w:p w14:paraId="46681110" w14:textId="6716B7BB" w:rsidR="007920AE" w:rsidRPr="007920AE" w:rsidRDefault="007920AE" w:rsidP="007920AE">
      <w:pPr>
        <w:rPr>
          <w:rFonts w:ascii="Calibri" w:hAnsi="Calibri" w:cs="Calibri"/>
          <w:b/>
          <w:bCs/>
          <w:sz w:val="24"/>
          <w:szCs w:val="24"/>
        </w:rPr>
      </w:pPr>
      <w:r w:rsidRPr="007920AE">
        <w:rPr>
          <w:rFonts w:ascii="Calibri" w:hAnsi="Calibri" w:cs="Calibri"/>
          <w:b/>
          <w:bCs/>
          <w:sz w:val="24"/>
          <w:szCs w:val="24"/>
        </w:rPr>
        <w:t>Supplemental Figure</w:t>
      </w:r>
      <w:r w:rsidR="00490B0C">
        <w:rPr>
          <w:rFonts w:ascii="Calibri" w:hAnsi="Calibri" w:cs="Calibri"/>
          <w:b/>
          <w:bCs/>
          <w:sz w:val="24"/>
          <w:szCs w:val="24"/>
        </w:rPr>
        <w:t>s</w:t>
      </w:r>
    </w:p>
    <w:p w14:paraId="21637D96" w14:textId="77777777" w:rsidR="007920AE" w:rsidRPr="007920AE" w:rsidRDefault="007920AE" w:rsidP="007920AE">
      <w:pPr>
        <w:pStyle w:val="SMHeading"/>
        <w:jc w:val="both"/>
        <w:rPr>
          <w:rFonts w:ascii="Calibri" w:hAnsi="Calibri" w:cs="Calibri"/>
        </w:rPr>
      </w:pPr>
      <w:r w:rsidRPr="007920AE">
        <w:rPr>
          <w:rFonts w:ascii="Calibri" w:hAnsi="Calibri" w:cs="Calibri"/>
        </w:rPr>
        <w:t>Fig. S1. Experimental details of the pilot CRISPR screen</w:t>
      </w:r>
    </w:p>
    <w:p w14:paraId="00D5B71E" w14:textId="77777777" w:rsidR="007920AE" w:rsidRPr="007920AE" w:rsidRDefault="007920AE" w:rsidP="007920AE">
      <w:pPr>
        <w:pStyle w:val="SMcaption"/>
        <w:numPr>
          <w:ilvl w:val="0"/>
          <w:numId w:val="1"/>
        </w:numPr>
        <w:jc w:val="both"/>
        <w:rPr>
          <w:rFonts w:ascii="Calibri" w:hAnsi="Calibri" w:cs="Calibri"/>
        </w:rPr>
      </w:pPr>
      <w:r w:rsidRPr="007920AE">
        <w:rPr>
          <w:rFonts w:ascii="Calibri" w:hAnsi="Calibri" w:cs="Calibri"/>
        </w:rPr>
        <w:t>Vector graphic of the retroviral gRNA vector with capture sequence (CS) in the hairpin of the gRNA scaffold. This capture sequence is required for gRNA capture by the 10X Genomics 3’ feature barcoding chemistry for single-cell CRISPR screening. Expression of the gRNA is controlled by U6 promoter and expression of mTagBFP fluorescent marker by the spleen focus-forming virus (SFFV) promoter sequence. (LTR= long terminal repeat, Amp</w:t>
      </w:r>
      <w:r w:rsidRPr="007920AE">
        <w:rPr>
          <w:rFonts w:ascii="Calibri" w:hAnsi="Calibri" w:cs="Calibri"/>
          <w:vertAlign w:val="superscript"/>
        </w:rPr>
        <w:t>R</w:t>
      </w:r>
      <w:r w:rsidRPr="007920AE">
        <w:rPr>
          <w:rFonts w:ascii="Calibri" w:hAnsi="Calibri" w:cs="Calibri"/>
        </w:rPr>
        <w:t>= ampicillin resistance marker)</w:t>
      </w:r>
    </w:p>
    <w:p w14:paraId="21DEA249" w14:textId="77777777" w:rsidR="007920AE" w:rsidRPr="007920AE" w:rsidRDefault="007920AE" w:rsidP="007920AE">
      <w:pPr>
        <w:pStyle w:val="SMcaption"/>
        <w:numPr>
          <w:ilvl w:val="0"/>
          <w:numId w:val="1"/>
        </w:numPr>
        <w:jc w:val="both"/>
        <w:rPr>
          <w:rFonts w:ascii="Calibri" w:hAnsi="Calibri" w:cs="Calibri"/>
        </w:rPr>
      </w:pPr>
      <w:r w:rsidRPr="007920AE">
        <w:rPr>
          <w:rFonts w:ascii="Calibri" w:hAnsi="Calibri" w:cs="Calibri"/>
        </w:rPr>
        <w:t xml:space="preserve">CD45 protein levels were measured by flow cytometry in Ba/F3 and pro-T cells expressing a </w:t>
      </w:r>
      <w:r w:rsidRPr="007920AE">
        <w:rPr>
          <w:rFonts w:ascii="Calibri" w:hAnsi="Calibri" w:cs="Calibri"/>
          <w:i/>
          <w:iCs/>
        </w:rPr>
        <w:t>Ptprc</w:t>
      </w:r>
      <w:r w:rsidRPr="007920AE">
        <w:rPr>
          <w:rFonts w:ascii="Calibri" w:hAnsi="Calibri" w:cs="Calibri"/>
        </w:rPr>
        <w:t>-targeting gRNA to validate the efficiency of four different capture sequence (CS) vector configurations, compared to the original vector without capture sequence and empty vector (EV).</w:t>
      </w:r>
    </w:p>
    <w:p w14:paraId="7504A0AF" w14:textId="77777777" w:rsidR="007920AE" w:rsidRPr="007920AE" w:rsidRDefault="007920AE" w:rsidP="007920AE">
      <w:pPr>
        <w:pStyle w:val="SMcaption"/>
        <w:numPr>
          <w:ilvl w:val="0"/>
          <w:numId w:val="1"/>
        </w:numPr>
        <w:jc w:val="both"/>
        <w:rPr>
          <w:rFonts w:ascii="Calibri" w:hAnsi="Calibri" w:cs="Calibri"/>
        </w:rPr>
      </w:pPr>
      <w:r w:rsidRPr="007920AE">
        <w:rPr>
          <w:rFonts w:ascii="Calibri" w:hAnsi="Calibri" w:cs="Calibri"/>
        </w:rPr>
        <w:t>Gating strategy for FACS sorting of pro-T cells transduced with the gRNA library. First, cells were discriminated from debris based on forward (FSC) versus side (SSC) scatter (P1), with subsequent gating for singlets (P2 and P3) and viable cells based on eFluor780 fixable viability dye (P4). Finally, cells with expression of the BFP fluorescent marker were selected (P5).</w:t>
      </w:r>
    </w:p>
    <w:p w14:paraId="4D9560EF" w14:textId="77777777" w:rsidR="007920AE" w:rsidRPr="007920AE" w:rsidRDefault="007920AE" w:rsidP="007920AE">
      <w:pPr>
        <w:pStyle w:val="SMcaption"/>
        <w:numPr>
          <w:ilvl w:val="0"/>
          <w:numId w:val="1"/>
        </w:numPr>
        <w:jc w:val="both"/>
        <w:rPr>
          <w:rFonts w:ascii="Calibri" w:hAnsi="Calibri" w:cs="Calibri"/>
        </w:rPr>
      </w:pPr>
      <w:r w:rsidRPr="007920AE">
        <w:rPr>
          <w:rFonts w:ascii="Calibri" w:hAnsi="Calibri" w:cs="Calibri"/>
        </w:rPr>
        <w:t>Stacked bar plot displaying the number of cells per gRNA per target gene at day 3 of the experiment. NT controls are indicated in grey font.</w:t>
      </w:r>
    </w:p>
    <w:p w14:paraId="0521C57D" w14:textId="77777777" w:rsidR="007920AE" w:rsidRPr="007920AE" w:rsidRDefault="007920AE" w:rsidP="007920AE">
      <w:pPr>
        <w:pStyle w:val="SMcaption"/>
        <w:rPr>
          <w:rFonts w:ascii="Calibri" w:hAnsi="Calibri" w:cs="Calibri"/>
          <w:b/>
          <w:bCs/>
        </w:rPr>
      </w:pPr>
    </w:p>
    <w:p w14:paraId="7BA1FEAF" w14:textId="77777777" w:rsidR="007920AE" w:rsidRPr="007920AE" w:rsidRDefault="007920AE" w:rsidP="007920AE">
      <w:pPr>
        <w:pStyle w:val="SMcaption"/>
        <w:jc w:val="both"/>
        <w:rPr>
          <w:rFonts w:ascii="Calibri" w:hAnsi="Calibri" w:cs="Calibri"/>
        </w:rPr>
      </w:pPr>
      <w:r w:rsidRPr="007920AE">
        <w:rPr>
          <w:rFonts w:ascii="Calibri" w:hAnsi="Calibri" w:cs="Calibri"/>
          <w:b/>
          <w:bCs/>
        </w:rPr>
        <w:t>Fig. S2.</w:t>
      </w:r>
      <w:r w:rsidRPr="007920AE">
        <w:rPr>
          <w:rFonts w:ascii="Calibri" w:hAnsi="Calibri" w:cs="Calibri"/>
        </w:rPr>
        <w:t xml:space="preserve"> </w:t>
      </w:r>
      <w:r w:rsidRPr="007920AE">
        <w:rPr>
          <w:rFonts w:ascii="Calibri" w:hAnsi="Calibri" w:cs="Calibri"/>
          <w:b/>
          <w:bCs/>
        </w:rPr>
        <w:t>Gene expression levels per perturbation</w:t>
      </w:r>
    </w:p>
    <w:p w14:paraId="59C4BFCD" w14:textId="400D0473" w:rsidR="007920AE" w:rsidRPr="007920AE" w:rsidRDefault="007920AE" w:rsidP="007920AE">
      <w:pPr>
        <w:pStyle w:val="SMcaption"/>
        <w:jc w:val="both"/>
        <w:rPr>
          <w:rFonts w:ascii="Calibri" w:hAnsi="Calibri" w:cs="Calibri"/>
        </w:rPr>
      </w:pPr>
      <w:r w:rsidRPr="007920AE">
        <w:rPr>
          <w:rFonts w:ascii="Calibri" w:hAnsi="Calibri" w:cs="Calibri"/>
        </w:rPr>
        <w:t>Data from both single-cell CRISPR screens were merged, and the average expression level of each target gene was displayed in a dot plot to visualize perturbation efficiency in the cells with different gRNAs.</w:t>
      </w:r>
    </w:p>
    <w:p w14:paraId="6BFEF576" w14:textId="77777777" w:rsidR="007920AE" w:rsidRPr="007920AE" w:rsidRDefault="007920AE" w:rsidP="007920AE">
      <w:pPr>
        <w:pStyle w:val="SMHeading"/>
        <w:jc w:val="both"/>
        <w:rPr>
          <w:rFonts w:ascii="Calibri" w:hAnsi="Calibri" w:cs="Calibri"/>
        </w:rPr>
      </w:pPr>
      <w:r w:rsidRPr="007920AE">
        <w:rPr>
          <w:rFonts w:ascii="Calibri" w:hAnsi="Calibri" w:cs="Calibri"/>
        </w:rPr>
        <w:t xml:space="preserve">Fig. S3. SCENIC analysis of bulk RNA-seq after </w:t>
      </w:r>
      <w:r w:rsidRPr="007920AE">
        <w:rPr>
          <w:rFonts w:ascii="Calibri" w:hAnsi="Calibri" w:cs="Calibri"/>
          <w:i/>
          <w:iCs/>
        </w:rPr>
        <w:t>Spi1</w:t>
      </w:r>
      <w:r w:rsidRPr="007920AE">
        <w:rPr>
          <w:rFonts w:ascii="Calibri" w:hAnsi="Calibri" w:cs="Calibri"/>
        </w:rPr>
        <w:t xml:space="preserve"> perturbation </w:t>
      </w:r>
    </w:p>
    <w:p w14:paraId="2F1B8F7A" w14:textId="77777777" w:rsidR="007920AE" w:rsidRPr="007920AE" w:rsidRDefault="007920AE" w:rsidP="007920AE">
      <w:pPr>
        <w:pStyle w:val="SMcaption"/>
        <w:numPr>
          <w:ilvl w:val="0"/>
          <w:numId w:val="2"/>
        </w:numPr>
        <w:jc w:val="both"/>
        <w:rPr>
          <w:rFonts w:ascii="Calibri" w:hAnsi="Calibri" w:cs="Calibri"/>
        </w:rPr>
      </w:pPr>
      <w:r w:rsidRPr="007920AE">
        <w:rPr>
          <w:rFonts w:ascii="Calibri" w:hAnsi="Calibri" w:cs="Calibri"/>
        </w:rPr>
        <w:t xml:space="preserve">SCENIC heatmaps for MYC regulons in cells with </w:t>
      </w:r>
      <w:r w:rsidRPr="007920AE">
        <w:rPr>
          <w:rFonts w:ascii="Calibri" w:hAnsi="Calibri" w:cs="Calibri"/>
          <w:i/>
          <w:iCs/>
        </w:rPr>
        <w:t>Spi1</w:t>
      </w:r>
      <w:r w:rsidRPr="007920AE">
        <w:rPr>
          <w:rFonts w:ascii="Calibri" w:hAnsi="Calibri" w:cs="Calibri"/>
        </w:rPr>
        <w:t xml:space="preserve"> inactivation </w:t>
      </w:r>
      <w:r w:rsidRPr="007920AE">
        <w:rPr>
          <w:rFonts w:ascii="Calibri" w:hAnsi="Calibri" w:cs="Calibri"/>
          <w:i/>
          <w:iCs/>
        </w:rPr>
        <w:t>vs</w:t>
      </w:r>
      <w:r w:rsidRPr="007920AE">
        <w:rPr>
          <w:rFonts w:ascii="Calibri" w:hAnsi="Calibri" w:cs="Calibri"/>
        </w:rPr>
        <w:t xml:space="preserve"> NT control cells.</w:t>
      </w:r>
    </w:p>
    <w:p w14:paraId="4F5C0C78" w14:textId="77777777" w:rsidR="007920AE" w:rsidRPr="007920AE" w:rsidRDefault="007920AE" w:rsidP="007920AE">
      <w:pPr>
        <w:pStyle w:val="SMcaption"/>
        <w:numPr>
          <w:ilvl w:val="0"/>
          <w:numId w:val="2"/>
        </w:numPr>
        <w:jc w:val="both"/>
        <w:rPr>
          <w:rFonts w:ascii="Calibri" w:hAnsi="Calibri" w:cs="Calibri"/>
        </w:rPr>
      </w:pPr>
      <w:r w:rsidRPr="007920AE">
        <w:rPr>
          <w:rFonts w:ascii="Calibri" w:hAnsi="Calibri" w:cs="Calibri"/>
        </w:rPr>
        <w:t xml:space="preserve">SCENIC heatmaps for epigenetic regulons in cells with </w:t>
      </w:r>
      <w:r w:rsidRPr="007920AE">
        <w:rPr>
          <w:rFonts w:ascii="Calibri" w:hAnsi="Calibri" w:cs="Calibri"/>
          <w:i/>
          <w:iCs/>
        </w:rPr>
        <w:t>Spi1</w:t>
      </w:r>
      <w:r w:rsidRPr="007920AE">
        <w:rPr>
          <w:rFonts w:ascii="Calibri" w:hAnsi="Calibri" w:cs="Calibri"/>
        </w:rPr>
        <w:t xml:space="preserve"> inactivation</w:t>
      </w:r>
      <w:r w:rsidRPr="007920AE">
        <w:rPr>
          <w:rFonts w:ascii="Calibri" w:hAnsi="Calibri" w:cs="Calibri"/>
          <w:i/>
          <w:iCs/>
        </w:rPr>
        <w:t xml:space="preserve"> vs</w:t>
      </w:r>
      <w:r w:rsidRPr="007920AE">
        <w:rPr>
          <w:rFonts w:ascii="Calibri" w:hAnsi="Calibri" w:cs="Calibri"/>
        </w:rPr>
        <w:t xml:space="preserve"> NT control cells.</w:t>
      </w:r>
    </w:p>
    <w:p w14:paraId="19572692" w14:textId="77777777" w:rsidR="007920AE" w:rsidRPr="007920AE" w:rsidRDefault="007920AE" w:rsidP="007920AE">
      <w:pPr>
        <w:pStyle w:val="SMcaption"/>
        <w:numPr>
          <w:ilvl w:val="0"/>
          <w:numId w:val="2"/>
        </w:numPr>
        <w:jc w:val="both"/>
        <w:rPr>
          <w:rFonts w:ascii="Calibri" w:hAnsi="Calibri" w:cs="Calibri"/>
        </w:rPr>
      </w:pPr>
      <w:r w:rsidRPr="007920AE">
        <w:rPr>
          <w:rFonts w:ascii="Calibri" w:hAnsi="Calibri" w:cs="Calibri"/>
        </w:rPr>
        <w:t xml:space="preserve">SCENIC heatmaps for Ets factor regulons in cells with </w:t>
      </w:r>
      <w:r w:rsidRPr="007920AE">
        <w:rPr>
          <w:rFonts w:ascii="Calibri" w:hAnsi="Calibri" w:cs="Calibri"/>
          <w:i/>
          <w:iCs/>
        </w:rPr>
        <w:t>Spi1</w:t>
      </w:r>
      <w:r w:rsidRPr="007920AE">
        <w:rPr>
          <w:rFonts w:ascii="Calibri" w:hAnsi="Calibri" w:cs="Calibri"/>
        </w:rPr>
        <w:t xml:space="preserve"> inactivation</w:t>
      </w:r>
      <w:r w:rsidRPr="007920AE">
        <w:rPr>
          <w:rFonts w:ascii="Calibri" w:hAnsi="Calibri" w:cs="Calibri"/>
          <w:i/>
          <w:iCs/>
        </w:rPr>
        <w:t xml:space="preserve"> vs</w:t>
      </w:r>
      <w:r w:rsidRPr="007920AE">
        <w:rPr>
          <w:rFonts w:ascii="Calibri" w:hAnsi="Calibri" w:cs="Calibri"/>
        </w:rPr>
        <w:t xml:space="preserve"> NT control cells.</w:t>
      </w:r>
    </w:p>
    <w:p w14:paraId="07C37D5F" w14:textId="0DB45DD5" w:rsidR="007920AE" w:rsidRPr="007920AE" w:rsidRDefault="007920AE" w:rsidP="007920AE">
      <w:pPr>
        <w:pStyle w:val="SMcaption"/>
        <w:rPr>
          <w:rFonts w:ascii="Calibri" w:hAnsi="Calibri" w:cs="Calibri"/>
        </w:rPr>
      </w:pPr>
    </w:p>
    <w:p w14:paraId="71AD56D0" w14:textId="77777777" w:rsidR="007920AE" w:rsidRPr="007920AE" w:rsidRDefault="007920AE" w:rsidP="007920AE">
      <w:pPr>
        <w:pStyle w:val="SMcaption"/>
        <w:jc w:val="both"/>
        <w:rPr>
          <w:rFonts w:ascii="Calibri" w:hAnsi="Calibri" w:cs="Calibri"/>
          <w:b/>
          <w:bCs/>
        </w:rPr>
      </w:pPr>
      <w:r w:rsidRPr="007920AE">
        <w:rPr>
          <w:rFonts w:ascii="Calibri" w:hAnsi="Calibri" w:cs="Calibri"/>
          <w:b/>
          <w:bCs/>
        </w:rPr>
        <w:t>Fig. S4. Experimental details of the second CRISPR screen</w:t>
      </w:r>
    </w:p>
    <w:p w14:paraId="21E85756" w14:textId="77777777" w:rsidR="007920AE" w:rsidRPr="007920AE" w:rsidRDefault="007920AE" w:rsidP="007920AE">
      <w:pPr>
        <w:pStyle w:val="SMcaption"/>
        <w:numPr>
          <w:ilvl w:val="0"/>
          <w:numId w:val="3"/>
        </w:numPr>
        <w:jc w:val="both"/>
        <w:rPr>
          <w:rFonts w:ascii="Calibri" w:hAnsi="Calibri" w:cs="Calibri"/>
        </w:rPr>
      </w:pPr>
      <w:r w:rsidRPr="007920AE">
        <w:rPr>
          <w:rFonts w:ascii="Calibri" w:hAnsi="Calibri" w:cs="Calibri"/>
        </w:rPr>
        <w:t>Pie charts show percentages of cells with zero, one or multiple gRNAs in the second CRISPR screen, with indication of the total number of cells passing filtering parameters at each timepoint.</w:t>
      </w:r>
    </w:p>
    <w:p w14:paraId="696B35C3" w14:textId="77777777" w:rsidR="007920AE" w:rsidRPr="007920AE" w:rsidRDefault="007920AE" w:rsidP="007920AE">
      <w:pPr>
        <w:pStyle w:val="SMcaption"/>
        <w:numPr>
          <w:ilvl w:val="0"/>
          <w:numId w:val="3"/>
        </w:numPr>
        <w:jc w:val="both"/>
        <w:rPr>
          <w:rFonts w:ascii="Calibri" w:hAnsi="Calibri" w:cs="Calibri"/>
        </w:rPr>
      </w:pPr>
      <w:r w:rsidRPr="007920AE">
        <w:rPr>
          <w:rFonts w:ascii="Calibri" w:hAnsi="Calibri" w:cs="Calibri"/>
        </w:rPr>
        <w:lastRenderedPageBreak/>
        <w:t>Number of cells per gene and per gRNA. Box plots showing the number of sequenced cells passing filter criteria per gene (left panel) and per gRNA (right panel) in CRISPR screen 2. Plots show a line at the median and box from Q1 to Q3, with whiskers ranging from min to max values.</w:t>
      </w:r>
    </w:p>
    <w:p w14:paraId="50FA6A88" w14:textId="77777777" w:rsidR="007920AE" w:rsidRPr="007920AE" w:rsidRDefault="007920AE" w:rsidP="007920AE">
      <w:pPr>
        <w:pStyle w:val="SMcaption"/>
        <w:numPr>
          <w:ilvl w:val="0"/>
          <w:numId w:val="3"/>
        </w:numPr>
        <w:jc w:val="both"/>
        <w:rPr>
          <w:rFonts w:ascii="Calibri" w:hAnsi="Calibri" w:cs="Calibri"/>
        </w:rPr>
      </w:pPr>
      <w:r w:rsidRPr="007920AE">
        <w:rPr>
          <w:rFonts w:ascii="Calibri" w:hAnsi="Calibri" w:cs="Calibri"/>
        </w:rPr>
        <w:t>Violin plots displaying the number of detected transcripts in all single cells for each timepoint.</w:t>
      </w:r>
    </w:p>
    <w:p w14:paraId="31D5C471" w14:textId="77777777" w:rsidR="007920AE" w:rsidRPr="007920AE" w:rsidRDefault="007920AE" w:rsidP="007920AE">
      <w:pPr>
        <w:pStyle w:val="SMcaption"/>
        <w:numPr>
          <w:ilvl w:val="0"/>
          <w:numId w:val="3"/>
        </w:numPr>
        <w:jc w:val="both"/>
        <w:rPr>
          <w:rFonts w:ascii="Calibri" w:hAnsi="Calibri" w:cs="Calibri"/>
        </w:rPr>
      </w:pPr>
      <w:r w:rsidRPr="007920AE">
        <w:rPr>
          <w:rFonts w:ascii="Calibri" w:hAnsi="Calibri" w:cs="Calibri"/>
        </w:rPr>
        <w:t>Stacked bar plot displaying the number of cells per gRNA per target gene at day 3 of the experiment. NT controls are indicated in grey font.</w:t>
      </w:r>
    </w:p>
    <w:p w14:paraId="70DDDF24" w14:textId="77777777" w:rsidR="007920AE" w:rsidRPr="007920AE" w:rsidRDefault="007920AE" w:rsidP="007920AE">
      <w:pPr>
        <w:pStyle w:val="SMcaption"/>
        <w:numPr>
          <w:ilvl w:val="0"/>
          <w:numId w:val="3"/>
        </w:numPr>
        <w:jc w:val="both"/>
        <w:rPr>
          <w:rFonts w:ascii="Calibri" w:hAnsi="Calibri" w:cs="Calibri"/>
        </w:rPr>
      </w:pPr>
      <w:r w:rsidRPr="007920AE">
        <w:rPr>
          <w:rFonts w:ascii="Calibri" w:hAnsi="Calibri" w:cs="Calibri"/>
        </w:rPr>
        <w:t xml:space="preserve">Normalized expression levels of the target genes in cells with the respective gRNA. Similar to the first single-cell CRISPR screen, all cells of the three timepoints were aggregated per perturbation to create ridge plots of the expression level of each target gene. On the top of the graph is indicated for which transcript the expression level is displayed, with the purple ridge highlighting the corresponding perturbation. </w:t>
      </w:r>
    </w:p>
    <w:p w14:paraId="0AC65BD9" w14:textId="77777777" w:rsidR="007920AE" w:rsidRPr="007920AE" w:rsidRDefault="007920AE" w:rsidP="007920AE">
      <w:pPr>
        <w:pStyle w:val="SMcaption"/>
        <w:numPr>
          <w:ilvl w:val="0"/>
          <w:numId w:val="3"/>
        </w:numPr>
        <w:jc w:val="both"/>
        <w:rPr>
          <w:rFonts w:ascii="Calibri" w:hAnsi="Calibri" w:cs="Calibri"/>
        </w:rPr>
      </w:pPr>
      <w:r w:rsidRPr="007920AE">
        <w:rPr>
          <w:rFonts w:ascii="Calibri" w:hAnsi="Calibri" w:cs="Calibri"/>
        </w:rPr>
        <w:t xml:space="preserve">Normalized expression level of </w:t>
      </w:r>
      <w:r w:rsidRPr="007920AE">
        <w:rPr>
          <w:rFonts w:ascii="Calibri" w:hAnsi="Calibri" w:cs="Calibri"/>
          <w:i/>
          <w:iCs/>
        </w:rPr>
        <w:t>Ets1</w:t>
      </w:r>
      <w:r w:rsidRPr="007920AE">
        <w:rPr>
          <w:rFonts w:ascii="Calibri" w:hAnsi="Calibri" w:cs="Calibri"/>
        </w:rPr>
        <w:t xml:space="preserve">. All cells of both CRISPR screens were aggregated per perturbation to create ridge plots of the normalized expression level of </w:t>
      </w:r>
      <w:r w:rsidRPr="007920AE">
        <w:rPr>
          <w:rFonts w:ascii="Calibri" w:hAnsi="Calibri" w:cs="Calibri"/>
          <w:i/>
          <w:iCs/>
        </w:rPr>
        <w:t>Ets1</w:t>
      </w:r>
      <w:r w:rsidRPr="007920AE">
        <w:rPr>
          <w:rFonts w:ascii="Calibri" w:hAnsi="Calibri" w:cs="Calibri"/>
        </w:rPr>
        <w:t xml:space="preserve">. The purple ridge highlights cells with </w:t>
      </w:r>
      <w:r w:rsidRPr="007920AE">
        <w:rPr>
          <w:rFonts w:ascii="Calibri" w:hAnsi="Calibri" w:cs="Calibri"/>
          <w:i/>
          <w:iCs/>
        </w:rPr>
        <w:t>Spi1</w:t>
      </w:r>
      <w:r w:rsidRPr="007920AE">
        <w:rPr>
          <w:rFonts w:ascii="Calibri" w:hAnsi="Calibri" w:cs="Calibri"/>
        </w:rPr>
        <w:t xml:space="preserve"> gRNA.</w:t>
      </w:r>
    </w:p>
    <w:p w14:paraId="7AABCB6C" w14:textId="70F0264B" w:rsidR="007920AE" w:rsidRPr="007920AE" w:rsidRDefault="007920AE" w:rsidP="007920AE">
      <w:pPr>
        <w:pStyle w:val="SMcaption"/>
        <w:rPr>
          <w:rFonts w:ascii="Calibri" w:hAnsi="Calibri" w:cs="Calibri"/>
          <w:b/>
          <w:bCs/>
        </w:rPr>
      </w:pPr>
    </w:p>
    <w:p w14:paraId="2BA7ED3D" w14:textId="77777777" w:rsidR="007920AE" w:rsidRPr="007920AE" w:rsidRDefault="007920AE" w:rsidP="007920AE">
      <w:pPr>
        <w:pStyle w:val="SMcaption"/>
        <w:rPr>
          <w:rFonts w:ascii="Calibri" w:hAnsi="Calibri" w:cs="Calibri"/>
        </w:rPr>
      </w:pPr>
      <w:r w:rsidRPr="007920AE">
        <w:rPr>
          <w:rFonts w:ascii="Calibri" w:hAnsi="Calibri" w:cs="Calibri"/>
          <w:b/>
          <w:bCs/>
        </w:rPr>
        <w:t>Fig. S5. Enrichment of SCENIC regulons per perturbation.</w:t>
      </w:r>
      <w:r w:rsidRPr="007920AE">
        <w:rPr>
          <w:rFonts w:ascii="Calibri" w:hAnsi="Calibri" w:cs="Calibri"/>
        </w:rPr>
        <w:t xml:space="preserve"> </w:t>
      </w:r>
    </w:p>
    <w:p w14:paraId="64451280" w14:textId="77777777" w:rsidR="007920AE" w:rsidRPr="007920AE" w:rsidRDefault="007920AE" w:rsidP="007920AE">
      <w:pPr>
        <w:pStyle w:val="SMcaption"/>
        <w:rPr>
          <w:rFonts w:ascii="Calibri" w:hAnsi="Calibri" w:cs="Calibri"/>
          <w:b/>
          <w:bCs/>
        </w:rPr>
      </w:pPr>
      <w:r w:rsidRPr="007920AE">
        <w:rPr>
          <w:rFonts w:ascii="Calibri" w:hAnsi="Calibri" w:cs="Calibri"/>
        </w:rPr>
        <w:t>Stacked violin plot displaying the distribution of AUCell values for each regulon and each perturbation. AUCell values represent enrichment of each predicted regulon in each single cell. The color intensity is a measure for the median expression of each regulon in each perturbation.</w:t>
      </w:r>
    </w:p>
    <w:p w14:paraId="4EAEFD5D" w14:textId="77777777" w:rsidR="00490B0C" w:rsidRDefault="00490B0C" w:rsidP="00490B0C">
      <w:pPr>
        <w:rPr>
          <w:rFonts w:ascii="Calibri" w:hAnsi="Calibri" w:cs="Calibri"/>
          <w:b/>
          <w:bCs/>
          <w:sz w:val="24"/>
          <w:szCs w:val="24"/>
        </w:rPr>
      </w:pPr>
    </w:p>
    <w:p w14:paraId="2BB95869" w14:textId="77777777" w:rsidR="00490B0C" w:rsidRDefault="00490B0C" w:rsidP="00490B0C">
      <w:pPr>
        <w:rPr>
          <w:rFonts w:ascii="Calibri" w:hAnsi="Calibri" w:cs="Calibri"/>
          <w:b/>
          <w:bCs/>
          <w:sz w:val="24"/>
          <w:szCs w:val="24"/>
        </w:rPr>
      </w:pPr>
    </w:p>
    <w:p w14:paraId="54AC9280" w14:textId="64030907" w:rsidR="00490B0C" w:rsidRPr="007920AE" w:rsidRDefault="00490B0C" w:rsidP="00490B0C">
      <w:pPr>
        <w:rPr>
          <w:rFonts w:ascii="Calibri" w:hAnsi="Calibri" w:cs="Calibri"/>
          <w:b/>
          <w:bCs/>
          <w:sz w:val="24"/>
          <w:szCs w:val="24"/>
        </w:rPr>
      </w:pPr>
      <w:r w:rsidRPr="007920AE">
        <w:rPr>
          <w:rFonts w:ascii="Calibri" w:hAnsi="Calibri" w:cs="Calibri"/>
          <w:b/>
          <w:bCs/>
          <w:sz w:val="24"/>
          <w:szCs w:val="24"/>
        </w:rPr>
        <w:t xml:space="preserve">Supplemental </w:t>
      </w:r>
      <w:r>
        <w:rPr>
          <w:rFonts w:ascii="Calibri" w:hAnsi="Calibri" w:cs="Calibri"/>
          <w:b/>
          <w:bCs/>
          <w:sz w:val="24"/>
          <w:szCs w:val="24"/>
        </w:rPr>
        <w:t>Tables</w:t>
      </w:r>
      <w:r w:rsidRPr="007920AE">
        <w:rPr>
          <w:rFonts w:ascii="Calibri" w:hAnsi="Calibri" w:cs="Calibri"/>
          <w:b/>
          <w:bCs/>
          <w:sz w:val="24"/>
          <w:szCs w:val="24"/>
        </w:rPr>
        <w:t xml:space="preserve"> </w:t>
      </w:r>
    </w:p>
    <w:p w14:paraId="0FDFF7E7" w14:textId="77777777" w:rsidR="000F34EF" w:rsidRDefault="000F34EF" w:rsidP="000F34EF">
      <w:pPr>
        <w:rPr>
          <w:rFonts w:ascii="Calibri" w:hAnsi="Calibri" w:cs="Calibri"/>
        </w:rPr>
      </w:pPr>
    </w:p>
    <w:p w14:paraId="628DCA6F" w14:textId="7E80022A" w:rsidR="007920AE" w:rsidRPr="000F34EF" w:rsidRDefault="007920AE" w:rsidP="000F34EF">
      <w:pPr>
        <w:rPr>
          <w:rFonts w:ascii="Calibri" w:hAnsi="Calibri" w:cs="Calibri"/>
          <w:sz w:val="24"/>
          <w:szCs w:val="24"/>
        </w:rPr>
      </w:pPr>
      <w:r w:rsidRPr="000F34EF">
        <w:rPr>
          <w:rFonts w:ascii="Calibri" w:hAnsi="Calibri" w:cs="Calibri"/>
          <w:b/>
          <w:bCs/>
          <w:sz w:val="24"/>
          <w:szCs w:val="24"/>
        </w:rPr>
        <w:t xml:space="preserve">Table S1: </w:t>
      </w:r>
      <w:r w:rsidRPr="000F34EF">
        <w:rPr>
          <w:rFonts w:ascii="Calibri" w:hAnsi="Calibri" w:cs="Calibri"/>
          <w:sz w:val="24"/>
          <w:szCs w:val="24"/>
        </w:rPr>
        <w:t>List of gRNA sequences used in the pilot CRISPR screen.</w:t>
      </w:r>
    </w:p>
    <w:p w14:paraId="0ABD29AC" w14:textId="77777777" w:rsidR="007920AE" w:rsidRPr="007920AE" w:rsidRDefault="007920AE" w:rsidP="007920AE">
      <w:pPr>
        <w:rPr>
          <w:rFonts w:ascii="Calibri" w:hAnsi="Calibri" w:cs="Calibri"/>
          <w:b/>
          <w:bCs/>
          <w:sz w:val="24"/>
          <w:szCs w:val="24"/>
          <w:lang w:val="en-US"/>
        </w:rPr>
      </w:pPr>
    </w:p>
    <w:p w14:paraId="1B4A9B90" w14:textId="2CEB5DC5" w:rsidR="007920AE" w:rsidRPr="007920AE" w:rsidRDefault="007920AE" w:rsidP="007920AE">
      <w:pPr>
        <w:rPr>
          <w:rFonts w:ascii="Calibri" w:hAnsi="Calibri" w:cs="Calibri"/>
          <w:sz w:val="24"/>
          <w:szCs w:val="24"/>
        </w:rPr>
      </w:pPr>
      <w:r w:rsidRPr="007920AE">
        <w:rPr>
          <w:rFonts w:ascii="Calibri" w:hAnsi="Calibri" w:cs="Calibri"/>
          <w:b/>
          <w:bCs/>
          <w:sz w:val="24"/>
          <w:szCs w:val="24"/>
        </w:rPr>
        <w:t xml:space="preserve">Table S2: </w:t>
      </w:r>
      <w:r w:rsidRPr="007920AE">
        <w:rPr>
          <w:rFonts w:ascii="Calibri" w:hAnsi="Calibri" w:cs="Calibri"/>
          <w:sz w:val="24"/>
          <w:szCs w:val="24"/>
        </w:rPr>
        <w:t xml:space="preserve">Differentially expressed genes in bulk RNA-seq on cells with </w:t>
      </w:r>
      <w:r w:rsidRPr="007920AE">
        <w:rPr>
          <w:rFonts w:ascii="Calibri" w:hAnsi="Calibri" w:cs="Calibri"/>
          <w:i/>
          <w:iCs/>
          <w:sz w:val="24"/>
          <w:szCs w:val="24"/>
        </w:rPr>
        <w:t>Spi1</w:t>
      </w:r>
      <w:r w:rsidRPr="007920AE">
        <w:rPr>
          <w:rFonts w:ascii="Calibri" w:hAnsi="Calibri" w:cs="Calibri"/>
          <w:sz w:val="24"/>
          <w:szCs w:val="24"/>
        </w:rPr>
        <w:t xml:space="preserve"> or </w:t>
      </w:r>
      <w:r w:rsidRPr="007920AE">
        <w:rPr>
          <w:rFonts w:ascii="Calibri" w:hAnsi="Calibri" w:cs="Calibri"/>
          <w:i/>
          <w:iCs/>
          <w:sz w:val="24"/>
          <w:szCs w:val="24"/>
        </w:rPr>
        <w:t>Bcl11b</w:t>
      </w:r>
      <w:r w:rsidRPr="007920AE">
        <w:rPr>
          <w:rFonts w:ascii="Calibri" w:hAnsi="Calibri" w:cs="Calibri"/>
          <w:sz w:val="24"/>
          <w:szCs w:val="24"/>
        </w:rPr>
        <w:t xml:space="preserve"> inactivation, compared to NT cells.</w:t>
      </w:r>
    </w:p>
    <w:p w14:paraId="058A7D08" w14:textId="77777777" w:rsidR="007920AE" w:rsidRPr="007920AE" w:rsidRDefault="007920AE" w:rsidP="007920AE">
      <w:pPr>
        <w:rPr>
          <w:rFonts w:ascii="Calibri" w:hAnsi="Calibri" w:cs="Calibri"/>
          <w:b/>
          <w:bCs/>
          <w:sz w:val="24"/>
          <w:szCs w:val="24"/>
        </w:rPr>
      </w:pPr>
    </w:p>
    <w:p w14:paraId="44F35747" w14:textId="374D4161" w:rsidR="007920AE" w:rsidRPr="009B6DC7" w:rsidRDefault="007920AE" w:rsidP="004B1AC3">
      <w:pPr>
        <w:rPr>
          <w:rFonts w:ascii="Calibri" w:hAnsi="Calibri" w:cs="Calibri"/>
          <w:sz w:val="24"/>
          <w:szCs w:val="24"/>
        </w:rPr>
      </w:pPr>
      <w:r w:rsidRPr="007920AE">
        <w:rPr>
          <w:rFonts w:ascii="Calibri" w:hAnsi="Calibri" w:cs="Calibri"/>
          <w:b/>
          <w:bCs/>
          <w:sz w:val="24"/>
          <w:szCs w:val="24"/>
        </w:rPr>
        <w:t xml:space="preserve">Table S3: </w:t>
      </w:r>
      <w:r w:rsidRPr="007920AE">
        <w:rPr>
          <w:rFonts w:ascii="Calibri" w:hAnsi="Calibri" w:cs="Calibri"/>
          <w:sz w:val="24"/>
          <w:szCs w:val="24"/>
        </w:rPr>
        <w:t>List of gRNA sequences used in the second CRISPR screen.</w:t>
      </w:r>
    </w:p>
    <w:sectPr w:rsidR="007920AE" w:rsidRPr="009B6DC7" w:rsidSect="007920AE">
      <w:footerReference w:type="even" r:id="rId8"/>
      <w:footerReference w:type="default" r:id="rId9"/>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9B875" w14:textId="77777777" w:rsidR="00EE100A" w:rsidRDefault="00EE100A" w:rsidP="007920AE">
      <w:pPr>
        <w:spacing w:after="0" w:line="240" w:lineRule="auto"/>
      </w:pPr>
      <w:r>
        <w:separator/>
      </w:r>
    </w:p>
  </w:endnote>
  <w:endnote w:type="continuationSeparator" w:id="0">
    <w:p w14:paraId="754B6253" w14:textId="77777777" w:rsidR="00EE100A" w:rsidRDefault="00EE100A" w:rsidP="00792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8247600"/>
      <w:docPartObj>
        <w:docPartGallery w:val="Page Numbers (Bottom of Page)"/>
        <w:docPartUnique/>
      </w:docPartObj>
    </w:sdtPr>
    <w:sdtContent>
      <w:p w14:paraId="23CCA992" w14:textId="679366CA" w:rsidR="007920AE" w:rsidRDefault="007920AE" w:rsidP="00645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86E358" w14:textId="77777777" w:rsidR="007920AE" w:rsidRDefault="007920AE" w:rsidP="007920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5045782"/>
      <w:docPartObj>
        <w:docPartGallery w:val="Page Numbers (Bottom of Page)"/>
        <w:docPartUnique/>
      </w:docPartObj>
    </w:sdtPr>
    <w:sdtContent>
      <w:p w14:paraId="7D9C8472" w14:textId="74ED4401" w:rsidR="007920AE" w:rsidRDefault="007920AE" w:rsidP="00645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1603CD" w14:textId="77777777" w:rsidR="007920AE" w:rsidRDefault="007920AE" w:rsidP="007920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5895" w14:textId="77777777" w:rsidR="00EE100A" w:rsidRDefault="00EE100A" w:rsidP="007920AE">
      <w:pPr>
        <w:spacing w:after="0" w:line="240" w:lineRule="auto"/>
      </w:pPr>
      <w:r>
        <w:separator/>
      </w:r>
    </w:p>
  </w:footnote>
  <w:footnote w:type="continuationSeparator" w:id="0">
    <w:p w14:paraId="7F313E69" w14:textId="77777777" w:rsidR="00EE100A" w:rsidRDefault="00EE100A" w:rsidP="00792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B4E"/>
    <w:multiLevelType w:val="hybridMultilevel"/>
    <w:tmpl w:val="CC9C1670"/>
    <w:lvl w:ilvl="0" w:tplc="08090019">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9B34A3"/>
    <w:multiLevelType w:val="hybridMultilevel"/>
    <w:tmpl w:val="A808D9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37572A"/>
    <w:multiLevelType w:val="hybridMultilevel"/>
    <w:tmpl w:val="50E2645C"/>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0497217">
    <w:abstractNumId w:val="2"/>
  </w:num>
  <w:num w:numId="2" w16cid:durableId="365714648">
    <w:abstractNumId w:val="1"/>
  </w:num>
  <w:num w:numId="3" w16cid:durableId="29996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AC3"/>
    <w:rsid w:val="000F34EF"/>
    <w:rsid w:val="00121E3A"/>
    <w:rsid w:val="00193A3E"/>
    <w:rsid w:val="00490B0C"/>
    <w:rsid w:val="004B1AC3"/>
    <w:rsid w:val="007920AE"/>
    <w:rsid w:val="007F006F"/>
    <w:rsid w:val="009B6DC7"/>
    <w:rsid w:val="00E616B8"/>
    <w:rsid w:val="00EE100A"/>
    <w:rsid w:val="00F02A5E"/>
    <w:rsid w:val="00F8614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484C351B"/>
  <w15:chartTrackingRefBased/>
  <w15:docId w15:val="{089EF3A0-9AC5-6443-81E8-799A4B10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A"/>
    <w:rPr>
      <w:sz w:val="20"/>
      <w:szCs w:val="20"/>
      <w:lang w:val="en-GB"/>
    </w:rPr>
  </w:style>
  <w:style w:type="paragraph" w:styleId="Heading1">
    <w:name w:val="heading 1"/>
    <w:basedOn w:val="Normal"/>
    <w:next w:val="Normal"/>
    <w:link w:val="Heading1Char"/>
    <w:uiPriority w:val="9"/>
    <w:qFormat/>
    <w:rsid w:val="00121E3A"/>
    <w:pPr>
      <w:pBdr>
        <w:top w:val="single" w:sz="24" w:space="0" w:color="8C8D86" w:themeColor="accent1"/>
        <w:left w:val="single" w:sz="24" w:space="0" w:color="8C8D86" w:themeColor="accent1"/>
        <w:bottom w:val="single" w:sz="24" w:space="0" w:color="8C8D86" w:themeColor="accent1"/>
        <w:right w:val="single" w:sz="24" w:space="0" w:color="8C8D86" w:themeColor="accent1"/>
      </w:pBdr>
      <w:shd w:val="clear" w:color="auto" w:fill="8C8D86"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21E3A"/>
    <w:pPr>
      <w:pBdr>
        <w:top w:val="single" w:sz="24" w:space="0" w:color="E8E8E6" w:themeColor="accent1" w:themeTint="33"/>
        <w:left w:val="single" w:sz="24" w:space="0" w:color="E8E8E6" w:themeColor="accent1" w:themeTint="33"/>
        <w:bottom w:val="single" w:sz="24" w:space="0" w:color="E8E8E6" w:themeColor="accent1" w:themeTint="33"/>
        <w:right w:val="single" w:sz="24" w:space="0" w:color="E8E8E6" w:themeColor="accent1" w:themeTint="33"/>
      </w:pBdr>
      <w:shd w:val="clear" w:color="auto" w:fill="E8E8E6"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21E3A"/>
    <w:pPr>
      <w:pBdr>
        <w:top w:val="single" w:sz="6" w:space="2" w:color="8C8D86" w:themeColor="accent1"/>
        <w:left w:val="single" w:sz="6" w:space="2" w:color="8C8D86" w:themeColor="accent1"/>
      </w:pBdr>
      <w:spacing w:before="300" w:after="0"/>
      <w:outlineLvl w:val="2"/>
    </w:pPr>
    <w:rPr>
      <w:caps/>
      <w:color w:val="454642" w:themeColor="accent1" w:themeShade="7F"/>
      <w:spacing w:val="15"/>
      <w:sz w:val="22"/>
      <w:szCs w:val="22"/>
    </w:rPr>
  </w:style>
  <w:style w:type="paragraph" w:styleId="Heading4">
    <w:name w:val="heading 4"/>
    <w:basedOn w:val="Normal"/>
    <w:next w:val="Normal"/>
    <w:link w:val="Heading4Char"/>
    <w:uiPriority w:val="9"/>
    <w:semiHidden/>
    <w:unhideWhenUsed/>
    <w:qFormat/>
    <w:rsid w:val="00121E3A"/>
    <w:pPr>
      <w:pBdr>
        <w:top w:val="dotted" w:sz="6" w:space="2" w:color="8C8D86" w:themeColor="accent1"/>
        <w:left w:val="dotted" w:sz="6" w:space="2" w:color="8C8D86" w:themeColor="accent1"/>
      </w:pBdr>
      <w:spacing w:before="300" w:after="0"/>
      <w:outlineLvl w:val="3"/>
    </w:pPr>
    <w:rPr>
      <w:caps/>
      <w:color w:val="686963" w:themeColor="accent1" w:themeShade="BF"/>
      <w:spacing w:val="10"/>
      <w:sz w:val="22"/>
      <w:szCs w:val="22"/>
    </w:rPr>
  </w:style>
  <w:style w:type="paragraph" w:styleId="Heading5">
    <w:name w:val="heading 5"/>
    <w:basedOn w:val="Normal"/>
    <w:next w:val="Normal"/>
    <w:link w:val="Heading5Char"/>
    <w:uiPriority w:val="9"/>
    <w:semiHidden/>
    <w:unhideWhenUsed/>
    <w:qFormat/>
    <w:rsid w:val="00121E3A"/>
    <w:pPr>
      <w:pBdr>
        <w:bottom w:val="single" w:sz="6" w:space="1" w:color="8C8D86" w:themeColor="accent1"/>
      </w:pBdr>
      <w:spacing w:before="300" w:after="0"/>
      <w:outlineLvl w:val="4"/>
    </w:pPr>
    <w:rPr>
      <w:caps/>
      <w:color w:val="686963" w:themeColor="accent1" w:themeShade="BF"/>
      <w:spacing w:val="10"/>
      <w:sz w:val="22"/>
      <w:szCs w:val="22"/>
    </w:rPr>
  </w:style>
  <w:style w:type="paragraph" w:styleId="Heading6">
    <w:name w:val="heading 6"/>
    <w:basedOn w:val="Normal"/>
    <w:next w:val="Normal"/>
    <w:link w:val="Heading6Char"/>
    <w:uiPriority w:val="9"/>
    <w:semiHidden/>
    <w:unhideWhenUsed/>
    <w:qFormat/>
    <w:rsid w:val="00121E3A"/>
    <w:pPr>
      <w:pBdr>
        <w:bottom w:val="dotted" w:sz="6" w:space="1" w:color="8C8D86" w:themeColor="accent1"/>
      </w:pBdr>
      <w:spacing w:before="300" w:after="0"/>
      <w:outlineLvl w:val="5"/>
    </w:pPr>
    <w:rPr>
      <w:caps/>
      <w:color w:val="686963" w:themeColor="accent1" w:themeShade="BF"/>
      <w:spacing w:val="10"/>
      <w:sz w:val="22"/>
      <w:szCs w:val="22"/>
    </w:rPr>
  </w:style>
  <w:style w:type="paragraph" w:styleId="Heading7">
    <w:name w:val="heading 7"/>
    <w:basedOn w:val="Normal"/>
    <w:next w:val="Normal"/>
    <w:link w:val="Heading7Char"/>
    <w:uiPriority w:val="9"/>
    <w:semiHidden/>
    <w:unhideWhenUsed/>
    <w:qFormat/>
    <w:rsid w:val="00121E3A"/>
    <w:pPr>
      <w:spacing w:before="300" w:after="0"/>
      <w:outlineLvl w:val="6"/>
    </w:pPr>
    <w:rPr>
      <w:caps/>
      <w:color w:val="686963" w:themeColor="accent1" w:themeShade="BF"/>
      <w:spacing w:val="10"/>
      <w:sz w:val="22"/>
      <w:szCs w:val="22"/>
    </w:rPr>
  </w:style>
  <w:style w:type="paragraph" w:styleId="Heading8">
    <w:name w:val="heading 8"/>
    <w:basedOn w:val="Normal"/>
    <w:next w:val="Normal"/>
    <w:link w:val="Heading8Char"/>
    <w:uiPriority w:val="9"/>
    <w:semiHidden/>
    <w:unhideWhenUsed/>
    <w:qFormat/>
    <w:rsid w:val="00121E3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1E3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E3A"/>
    <w:rPr>
      <w:b/>
      <w:bCs/>
      <w:caps/>
      <w:color w:val="FFFFFF" w:themeColor="background1"/>
      <w:spacing w:val="15"/>
      <w:shd w:val="clear" w:color="auto" w:fill="8C8D86" w:themeFill="accent1"/>
    </w:rPr>
  </w:style>
  <w:style w:type="character" w:customStyle="1" w:styleId="Heading2Char">
    <w:name w:val="Heading 2 Char"/>
    <w:basedOn w:val="DefaultParagraphFont"/>
    <w:link w:val="Heading2"/>
    <w:uiPriority w:val="9"/>
    <w:semiHidden/>
    <w:rsid w:val="00121E3A"/>
    <w:rPr>
      <w:caps/>
      <w:spacing w:val="15"/>
      <w:shd w:val="clear" w:color="auto" w:fill="E8E8E6" w:themeFill="accent1" w:themeFillTint="33"/>
    </w:rPr>
  </w:style>
  <w:style w:type="character" w:customStyle="1" w:styleId="Heading3Char">
    <w:name w:val="Heading 3 Char"/>
    <w:basedOn w:val="DefaultParagraphFont"/>
    <w:link w:val="Heading3"/>
    <w:uiPriority w:val="9"/>
    <w:semiHidden/>
    <w:rsid w:val="00121E3A"/>
    <w:rPr>
      <w:caps/>
      <w:color w:val="454642" w:themeColor="accent1" w:themeShade="7F"/>
      <w:spacing w:val="15"/>
    </w:rPr>
  </w:style>
  <w:style w:type="character" w:customStyle="1" w:styleId="Heading4Char">
    <w:name w:val="Heading 4 Char"/>
    <w:basedOn w:val="DefaultParagraphFont"/>
    <w:link w:val="Heading4"/>
    <w:uiPriority w:val="9"/>
    <w:semiHidden/>
    <w:rsid w:val="00121E3A"/>
    <w:rPr>
      <w:caps/>
      <w:color w:val="686963" w:themeColor="accent1" w:themeShade="BF"/>
      <w:spacing w:val="10"/>
    </w:rPr>
  </w:style>
  <w:style w:type="character" w:customStyle="1" w:styleId="Heading5Char">
    <w:name w:val="Heading 5 Char"/>
    <w:basedOn w:val="DefaultParagraphFont"/>
    <w:link w:val="Heading5"/>
    <w:uiPriority w:val="9"/>
    <w:semiHidden/>
    <w:rsid w:val="00121E3A"/>
    <w:rPr>
      <w:caps/>
      <w:color w:val="686963" w:themeColor="accent1" w:themeShade="BF"/>
      <w:spacing w:val="10"/>
    </w:rPr>
  </w:style>
  <w:style w:type="character" w:customStyle="1" w:styleId="Heading6Char">
    <w:name w:val="Heading 6 Char"/>
    <w:basedOn w:val="DefaultParagraphFont"/>
    <w:link w:val="Heading6"/>
    <w:uiPriority w:val="9"/>
    <w:semiHidden/>
    <w:rsid w:val="00121E3A"/>
    <w:rPr>
      <w:caps/>
      <w:color w:val="686963" w:themeColor="accent1" w:themeShade="BF"/>
      <w:spacing w:val="10"/>
    </w:rPr>
  </w:style>
  <w:style w:type="character" w:customStyle="1" w:styleId="Heading7Char">
    <w:name w:val="Heading 7 Char"/>
    <w:basedOn w:val="DefaultParagraphFont"/>
    <w:link w:val="Heading7"/>
    <w:uiPriority w:val="9"/>
    <w:semiHidden/>
    <w:rsid w:val="00121E3A"/>
    <w:rPr>
      <w:caps/>
      <w:color w:val="686963" w:themeColor="accent1" w:themeShade="BF"/>
      <w:spacing w:val="10"/>
    </w:rPr>
  </w:style>
  <w:style w:type="character" w:customStyle="1" w:styleId="Heading8Char">
    <w:name w:val="Heading 8 Char"/>
    <w:basedOn w:val="DefaultParagraphFont"/>
    <w:link w:val="Heading8"/>
    <w:uiPriority w:val="9"/>
    <w:semiHidden/>
    <w:rsid w:val="00121E3A"/>
    <w:rPr>
      <w:caps/>
      <w:spacing w:val="10"/>
      <w:sz w:val="18"/>
      <w:szCs w:val="18"/>
    </w:rPr>
  </w:style>
  <w:style w:type="character" w:customStyle="1" w:styleId="Heading9Char">
    <w:name w:val="Heading 9 Char"/>
    <w:basedOn w:val="DefaultParagraphFont"/>
    <w:link w:val="Heading9"/>
    <w:uiPriority w:val="9"/>
    <w:semiHidden/>
    <w:rsid w:val="00121E3A"/>
    <w:rPr>
      <w:i/>
      <w:caps/>
      <w:spacing w:val="10"/>
      <w:sz w:val="18"/>
      <w:szCs w:val="18"/>
    </w:rPr>
  </w:style>
  <w:style w:type="paragraph" w:styleId="Caption">
    <w:name w:val="caption"/>
    <w:basedOn w:val="Normal"/>
    <w:next w:val="Normal"/>
    <w:uiPriority w:val="35"/>
    <w:semiHidden/>
    <w:unhideWhenUsed/>
    <w:qFormat/>
    <w:rsid w:val="00121E3A"/>
    <w:rPr>
      <w:b/>
      <w:bCs/>
      <w:color w:val="686963" w:themeColor="accent1" w:themeShade="BF"/>
      <w:sz w:val="16"/>
      <w:szCs w:val="16"/>
    </w:rPr>
  </w:style>
  <w:style w:type="paragraph" w:styleId="Title">
    <w:name w:val="Title"/>
    <w:basedOn w:val="Normal"/>
    <w:next w:val="Normal"/>
    <w:link w:val="TitleChar"/>
    <w:uiPriority w:val="10"/>
    <w:qFormat/>
    <w:rsid w:val="00121E3A"/>
    <w:pPr>
      <w:spacing w:before="720"/>
    </w:pPr>
    <w:rPr>
      <w:caps/>
      <w:color w:val="8C8D86" w:themeColor="accent1"/>
      <w:spacing w:val="10"/>
      <w:kern w:val="28"/>
      <w:sz w:val="52"/>
      <w:szCs w:val="52"/>
    </w:rPr>
  </w:style>
  <w:style w:type="character" w:customStyle="1" w:styleId="TitleChar">
    <w:name w:val="Title Char"/>
    <w:basedOn w:val="DefaultParagraphFont"/>
    <w:link w:val="Title"/>
    <w:uiPriority w:val="10"/>
    <w:rsid w:val="00121E3A"/>
    <w:rPr>
      <w:caps/>
      <w:color w:val="8C8D86" w:themeColor="accent1"/>
      <w:spacing w:val="10"/>
      <w:kern w:val="28"/>
      <w:sz w:val="52"/>
      <w:szCs w:val="52"/>
    </w:rPr>
  </w:style>
  <w:style w:type="paragraph" w:styleId="Subtitle">
    <w:name w:val="Subtitle"/>
    <w:basedOn w:val="Normal"/>
    <w:next w:val="Normal"/>
    <w:link w:val="SubtitleChar"/>
    <w:uiPriority w:val="11"/>
    <w:qFormat/>
    <w:rsid w:val="00121E3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21E3A"/>
    <w:rPr>
      <w:caps/>
      <w:color w:val="595959" w:themeColor="text1" w:themeTint="A6"/>
      <w:spacing w:val="10"/>
      <w:sz w:val="24"/>
      <w:szCs w:val="24"/>
    </w:rPr>
  </w:style>
  <w:style w:type="character" w:styleId="Strong">
    <w:name w:val="Strong"/>
    <w:uiPriority w:val="22"/>
    <w:qFormat/>
    <w:rsid w:val="00121E3A"/>
    <w:rPr>
      <w:b/>
      <w:bCs/>
    </w:rPr>
  </w:style>
  <w:style w:type="character" w:styleId="Emphasis">
    <w:name w:val="Emphasis"/>
    <w:uiPriority w:val="20"/>
    <w:qFormat/>
    <w:rsid w:val="00121E3A"/>
    <w:rPr>
      <w:caps/>
      <w:color w:val="454642" w:themeColor="accent1" w:themeShade="7F"/>
      <w:spacing w:val="5"/>
    </w:rPr>
  </w:style>
  <w:style w:type="paragraph" w:styleId="NoSpacing">
    <w:name w:val="No Spacing"/>
    <w:basedOn w:val="Normal"/>
    <w:link w:val="NoSpacingChar"/>
    <w:uiPriority w:val="1"/>
    <w:qFormat/>
    <w:rsid w:val="00121E3A"/>
    <w:pPr>
      <w:spacing w:after="0" w:line="240" w:lineRule="auto"/>
    </w:pPr>
  </w:style>
  <w:style w:type="character" w:customStyle="1" w:styleId="NoSpacingChar">
    <w:name w:val="No Spacing Char"/>
    <w:basedOn w:val="DefaultParagraphFont"/>
    <w:link w:val="NoSpacing"/>
    <w:uiPriority w:val="1"/>
    <w:rsid w:val="00121E3A"/>
    <w:rPr>
      <w:sz w:val="20"/>
      <w:szCs w:val="20"/>
    </w:rPr>
  </w:style>
  <w:style w:type="paragraph" w:styleId="ListParagraph">
    <w:name w:val="List Paragraph"/>
    <w:basedOn w:val="Normal"/>
    <w:uiPriority w:val="34"/>
    <w:qFormat/>
    <w:rsid w:val="00121E3A"/>
    <w:pPr>
      <w:ind w:left="720"/>
      <w:contextualSpacing/>
    </w:pPr>
  </w:style>
  <w:style w:type="paragraph" w:styleId="Quote">
    <w:name w:val="Quote"/>
    <w:basedOn w:val="Normal"/>
    <w:next w:val="Normal"/>
    <w:link w:val="QuoteChar"/>
    <w:uiPriority w:val="29"/>
    <w:qFormat/>
    <w:rsid w:val="00121E3A"/>
    <w:rPr>
      <w:i/>
      <w:iCs/>
    </w:rPr>
  </w:style>
  <w:style w:type="character" w:customStyle="1" w:styleId="QuoteChar">
    <w:name w:val="Quote Char"/>
    <w:basedOn w:val="DefaultParagraphFont"/>
    <w:link w:val="Quote"/>
    <w:uiPriority w:val="29"/>
    <w:rsid w:val="00121E3A"/>
    <w:rPr>
      <w:i/>
      <w:iCs/>
      <w:sz w:val="20"/>
      <w:szCs w:val="20"/>
    </w:rPr>
  </w:style>
  <w:style w:type="paragraph" w:styleId="IntenseQuote">
    <w:name w:val="Intense Quote"/>
    <w:basedOn w:val="Normal"/>
    <w:next w:val="Normal"/>
    <w:link w:val="IntenseQuoteChar"/>
    <w:uiPriority w:val="30"/>
    <w:qFormat/>
    <w:rsid w:val="00121E3A"/>
    <w:pPr>
      <w:pBdr>
        <w:top w:val="single" w:sz="4" w:space="10" w:color="8C8D86" w:themeColor="accent1"/>
        <w:left w:val="single" w:sz="4" w:space="10" w:color="8C8D86" w:themeColor="accent1"/>
      </w:pBdr>
      <w:spacing w:after="0"/>
      <w:ind w:left="1296" w:right="1152"/>
      <w:jc w:val="both"/>
    </w:pPr>
    <w:rPr>
      <w:i/>
      <w:iCs/>
      <w:color w:val="8C8D86" w:themeColor="accent1"/>
    </w:rPr>
  </w:style>
  <w:style w:type="character" w:customStyle="1" w:styleId="IntenseQuoteChar">
    <w:name w:val="Intense Quote Char"/>
    <w:basedOn w:val="DefaultParagraphFont"/>
    <w:link w:val="IntenseQuote"/>
    <w:uiPriority w:val="30"/>
    <w:rsid w:val="00121E3A"/>
    <w:rPr>
      <w:i/>
      <w:iCs/>
      <w:color w:val="8C8D86" w:themeColor="accent1"/>
      <w:sz w:val="20"/>
      <w:szCs w:val="20"/>
    </w:rPr>
  </w:style>
  <w:style w:type="character" w:styleId="SubtleEmphasis">
    <w:name w:val="Subtle Emphasis"/>
    <w:uiPriority w:val="19"/>
    <w:qFormat/>
    <w:rsid w:val="00121E3A"/>
    <w:rPr>
      <w:i/>
      <w:iCs/>
      <w:color w:val="454642" w:themeColor="accent1" w:themeShade="7F"/>
    </w:rPr>
  </w:style>
  <w:style w:type="character" w:styleId="IntenseEmphasis">
    <w:name w:val="Intense Emphasis"/>
    <w:uiPriority w:val="21"/>
    <w:qFormat/>
    <w:rsid w:val="00121E3A"/>
    <w:rPr>
      <w:b/>
      <w:bCs/>
      <w:caps/>
      <w:color w:val="454642" w:themeColor="accent1" w:themeShade="7F"/>
      <w:spacing w:val="10"/>
    </w:rPr>
  </w:style>
  <w:style w:type="character" w:styleId="SubtleReference">
    <w:name w:val="Subtle Reference"/>
    <w:uiPriority w:val="31"/>
    <w:qFormat/>
    <w:rsid w:val="00121E3A"/>
    <w:rPr>
      <w:b/>
      <w:bCs/>
      <w:color w:val="8C8D86" w:themeColor="accent1"/>
    </w:rPr>
  </w:style>
  <w:style w:type="character" w:styleId="IntenseReference">
    <w:name w:val="Intense Reference"/>
    <w:uiPriority w:val="32"/>
    <w:qFormat/>
    <w:rsid w:val="00121E3A"/>
    <w:rPr>
      <w:b/>
      <w:bCs/>
      <w:i/>
      <w:iCs/>
      <w:caps/>
      <w:color w:val="8C8D86" w:themeColor="accent1"/>
    </w:rPr>
  </w:style>
  <w:style w:type="character" w:styleId="BookTitle">
    <w:name w:val="Book Title"/>
    <w:uiPriority w:val="33"/>
    <w:qFormat/>
    <w:rsid w:val="00121E3A"/>
    <w:rPr>
      <w:b/>
      <w:bCs/>
      <w:i/>
      <w:iCs/>
      <w:spacing w:val="9"/>
    </w:rPr>
  </w:style>
  <w:style w:type="paragraph" w:styleId="TOCHeading">
    <w:name w:val="TOC Heading"/>
    <w:basedOn w:val="Heading1"/>
    <w:next w:val="Normal"/>
    <w:uiPriority w:val="39"/>
    <w:semiHidden/>
    <w:unhideWhenUsed/>
    <w:qFormat/>
    <w:rsid w:val="00121E3A"/>
    <w:pPr>
      <w:outlineLvl w:val="9"/>
    </w:pPr>
  </w:style>
  <w:style w:type="paragraph" w:customStyle="1" w:styleId="Paragraph">
    <w:name w:val="Paragraph"/>
    <w:basedOn w:val="Normal"/>
    <w:rsid w:val="004B1AC3"/>
    <w:pPr>
      <w:spacing w:before="120" w:after="0" w:line="240" w:lineRule="auto"/>
      <w:ind w:firstLine="720"/>
    </w:pPr>
    <w:rPr>
      <w:rFonts w:ascii="Times New Roman" w:eastAsia="Times New Roman" w:hAnsi="Times New Roman" w:cs="Times New Roman"/>
      <w:sz w:val="24"/>
      <w:szCs w:val="24"/>
      <w:lang w:val="en-US"/>
    </w:rPr>
  </w:style>
  <w:style w:type="paragraph" w:customStyle="1" w:styleId="SMHeading">
    <w:name w:val="SM Heading"/>
    <w:basedOn w:val="Heading1"/>
    <w:qFormat/>
    <w:rsid w:val="007920AE"/>
    <w:pPr>
      <w:keepNext/>
      <w:pBdr>
        <w:top w:val="none" w:sz="0" w:space="0" w:color="auto"/>
        <w:left w:val="none" w:sz="0" w:space="0" w:color="auto"/>
        <w:bottom w:val="none" w:sz="0" w:space="0" w:color="auto"/>
        <w:right w:val="none" w:sz="0" w:space="0" w:color="auto"/>
      </w:pBdr>
      <w:shd w:val="clear" w:color="auto" w:fill="auto"/>
      <w:spacing w:before="240" w:after="60" w:line="240" w:lineRule="auto"/>
    </w:pPr>
    <w:rPr>
      <w:rFonts w:ascii="Times New Roman" w:eastAsia="Times New Roman" w:hAnsi="Times New Roman" w:cs="Times New Roman"/>
      <w:caps w:val="0"/>
      <w:color w:val="auto"/>
      <w:spacing w:val="0"/>
      <w:kern w:val="32"/>
      <w:sz w:val="24"/>
      <w:szCs w:val="24"/>
      <w:lang w:val="en-US"/>
    </w:rPr>
  </w:style>
  <w:style w:type="paragraph" w:customStyle="1" w:styleId="SMcaption">
    <w:name w:val="SM caption"/>
    <w:basedOn w:val="Normal"/>
    <w:qFormat/>
    <w:rsid w:val="007920AE"/>
    <w:pPr>
      <w:spacing w:after="0" w:line="240" w:lineRule="auto"/>
    </w:pPr>
    <w:rPr>
      <w:rFonts w:ascii="Times New Roman" w:eastAsia="Times New Roman" w:hAnsi="Times New Roman" w:cs="Times New Roman"/>
      <w:sz w:val="24"/>
      <w:lang w:val="en-US"/>
    </w:rPr>
  </w:style>
  <w:style w:type="paragraph" w:styleId="Footer">
    <w:name w:val="footer"/>
    <w:basedOn w:val="Normal"/>
    <w:link w:val="FooterChar"/>
    <w:uiPriority w:val="99"/>
    <w:unhideWhenUsed/>
    <w:rsid w:val="00792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0AE"/>
    <w:rPr>
      <w:sz w:val="20"/>
      <w:szCs w:val="20"/>
      <w:lang w:val="en-GB"/>
    </w:rPr>
  </w:style>
  <w:style w:type="character" w:styleId="PageNumber">
    <w:name w:val="page number"/>
    <w:basedOn w:val="DefaultParagraphFont"/>
    <w:uiPriority w:val="99"/>
    <w:semiHidden/>
    <w:unhideWhenUsed/>
    <w:rsid w:val="007920AE"/>
  </w:style>
  <w:style w:type="character" w:styleId="LineNumber">
    <w:name w:val="line number"/>
    <w:basedOn w:val="DefaultParagraphFont"/>
    <w:uiPriority w:val="99"/>
    <w:semiHidden/>
    <w:unhideWhenUsed/>
    <w:rsid w:val="007920AE"/>
  </w:style>
  <w:style w:type="character" w:styleId="PlaceholderText">
    <w:name w:val="Placeholder Text"/>
    <w:basedOn w:val="DefaultParagraphFont"/>
    <w:uiPriority w:val="99"/>
    <w:semiHidden/>
    <w:rsid w:val="007920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6957">
      <w:bodyDiv w:val="1"/>
      <w:marLeft w:val="0"/>
      <w:marRight w:val="0"/>
      <w:marTop w:val="0"/>
      <w:marBottom w:val="0"/>
      <w:divBdr>
        <w:top w:val="none" w:sz="0" w:space="0" w:color="auto"/>
        <w:left w:val="none" w:sz="0" w:space="0" w:color="auto"/>
        <w:bottom w:val="none" w:sz="0" w:space="0" w:color="auto"/>
        <w:right w:val="none" w:sz="0" w:space="0" w:color="auto"/>
      </w:divBdr>
    </w:div>
    <w:div w:id="81688500">
      <w:bodyDiv w:val="1"/>
      <w:marLeft w:val="0"/>
      <w:marRight w:val="0"/>
      <w:marTop w:val="0"/>
      <w:marBottom w:val="0"/>
      <w:divBdr>
        <w:top w:val="none" w:sz="0" w:space="0" w:color="auto"/>
        <w:left w:val="none" w:sz="0" w:space="0" w:color="auto"/>
        <w:bottom w:val="none" w:sz="0" w:space="0" w:color="auto"/>
        <w:right w:val="none" w:sz="0" w:space="0" w:color="auto"/>
      </w:divBdr>
    </w:div>
    <w:div w:id="84570983">
      <w:bodyDiv w:val="1"/>
      <w:marLeft w:val="0"/>
      <w:marRight w:val="0"/>
      <w:marTop w:val="0"/>
      <w:marBottom w:val="0"/>
      <w:divBdr>
        <w:top w:val="none" w:sz="0" w:space="0" w:color="auto"/>
        <w:left w:val="none" w:sz="0" w:space="0" w:color="auto"/>
        <w:bottom w:val="none" w:sz="0" w:space="0" w:color="auto"/>
        <w:right w:val="none" w:sz="0" w:space="0" w:color="auto"/>
      </w:divBdr>
    </w:div>
    <w:div w:id="88432664">
      <w:bodyDiv w:val="1"/>
      <w:marLeft w:val="0"/>
      <w:marRight w:val="0"/>
      <w:marTop w:val="0"/>
      <w:marBottom w:val="0"/>
      <w:divBdr>
        <w:top w:val="none" w:sz="0" w:space="0" w:color="auto"/>
        <w:left w:val="none" w:sz="0" w:space="0" w:color="auto"/>
        <w:bottom w:val="none" w:sz="0" w:space="0" w:color="auto"/>
        <w:right w:val="none" w:sz="0" w:space="0" w:color="auto"/>
      </w:divBdr>
    </w:div>
    <w:div w:id="141626733">
      <w:bodyDiv w:val="1"/>
      <w:marLeft w:val="0"/>
      <w:marRight w:val="0"/>
      <w:marTop w:val="0"/>
      <w:marBottom w:val="0"/>
      <w:divBdr>
        <w:top w:val="none" w:sz="0" w:space="0" w:color="auto"/>
        <w:left w:val="none" w:sz="0" w:space="0" w:color="auto"/>
        <w:bottom w:val="none" w:sz="0" w:space="0" w:color="auto"/>
        <w:right w:val="none" w:sz="0" w:space="0" w:color="auto"/>
      </w:divBdr>
    </w:div>
    <w:div w:id="160973417">
      <w:bodyDiv w:val="1"/>
      <w:marLeft w:val="0"/>
      <w:marRight w:val="0"/>
      <w:marTop w:val="0"/>
      <w:marBottom w:val="0"/>
      <w:divBdr>
        <w:top w:val="none" w:sz="0" w:space="0" w:color="auto"/>
        <w:left w:val="none" w:sz="0" w:space="0" w:color="auto"/>
        <w:bottom w:val="none" w:sz="0" w:space="0" w:color="auto"/>
        <w:right w:val="none" w:sz="0" w:space="0" w:color="auto"/>
      </w:divBdr>
    </w:div>
    <w:div w:id="207571178">
      <w:bodyDiv w:val="1"/>
      <w:marLeft w:val="0"/>
      <w:marRight w:val="0"/>
      <w:marTop w:val="0"/>
      <w:marBottom w:val="0"/>
      <w:divBdr>
        <w:top w:val="none" w:sz="0" w:space="0" w:color="auto"/>
        <w:left w:val="none" w:sz="0" w:space="0" w:color="auto"/>
        <w:bottom w:val="none" w:sz="0" w:space="0" w:color="auto"/>
        <w:right w:val="none" w:sz="0" w:space="0" w:color="auto"/>
      </w:divBdr>
    </w:div>
    <w:div w:id="217322330">
      <w:bodyDiv w:val="1"/>
      <w:marLeft w:val="0"/>
      <w:marRight w:val="0"/>
      <w:marTop w:val="0"/>
      <w:marBottom w:val="0"/>
      <w:divBdr>
        <w:top w:val="none" w:sz="0" w:space="0" w:color="auto"/>
        <w:left w:val="none" w:sz="0" w:space="0" w:color="auto"/>
        <w:bottom w:val="none" w:sz="0" w:space="0" w:color="auto"/>
        <w:right w:val="none" w:sz="0" w:space="0" w:color="auto"/>
      </w:divBdr>
    </w:div>
    <w:div w:id="456415739">
      <w:bodyDiv w:val="1"/>
      <w:marLeft w:val="0"/>
      <w:marRight w:val="0"/>
      <w:marTop w:val="0"/>
      <w:marBottom w:val="0"/>
      <w:divBdr>
        <w:top w:val="none" w:sz="0" w:space="0" w:color="auto"/>
        <w:left w:val="none" w:sz="0" w:space="0" w:color="auto"/>
        <w:bottom w:val="none" w:sz="0" w:space="0" w:color="auto"/>
        <w:right w:val="none" w:sz="0" w:space="0" w:color="auto"/>
      </w:divBdr>
      <w:divsChild>
        <w:div w:id="1863664312">
          <w:marLeft w:val="640"/>
          <w:marRight w:val="0"/>
          <w:marTop w:val="0"/>
          <w:marBottom w:val="0"/>
          <w:divBdr>
            <w:top w:val="none" w:sz="0" w:space="0" w:color="auto"/>
            <w:left w:val="none" w:sz="0" w:space="0" w:color="auto"/>
            <w:bottom w:val="none" w:sz="0" w:space="0" w:color="auto"/>
            <w:right w:val="none" w:sz="0" w:space="0" w:color="auto"/>
          </w:divBdr>
        </w:div>
        <w:div w:id="939069418">
          <w:marLeft w:val="640"/>
          <w:marRight w:val="0"/>
          <w:marTop w:val="0"/>
          <w:marBottom w:val="0"/>
          <w:divBdr>
            <w:top w:val="none" w:sz="0" w:space="0" w:color="auto"/>
            <w:left w:val="none" w:sz="0" w:space="0" w:color="auto"/>
            <w:bottom w:val="none" w:sz="0" w:space="0" w:color="auto"/>
            <w:right w:val="none" w:sz="0" w:space="0" w:color="auto"/>
          </w:divBdr>
        </w:div>
        <w:div w:id="555286826">
          <w:marLeft w:val="640"/>
          <w:marRight w:val="0"/>
          <w:marTop w:val="0"/>
          <w:marBottom w:val="0"/>
          <w:divBdr>
            <w:top w:val="none" w:sz="0" w:space="0" w:color="auto"/>
            <w:left w:val="none" w:sz="0" w:space="0" w:color="auto"/>
            <w:bottom w:val="none" w:sz="0" w:space="0" w:color="auto"/>
            <w:right w:val="none" w:sz="0" w:space="0" w:color="auto"/>
          </w:divBdr>
        </w:div>
        <w:div w:id="1130705522">
          <w:marLeft w:val="640"/>
          <w:marRight w:val="0"/>
          <w:marTop w:val="0"/>
          <w:marBottom w:val="0"/>
          <w:divBdr>
            <w:top w:val="none" w:sz="0" w:space="0" w:color="auto"/>
            <w:left w:val="none" w:sz="0" w:space="0" w:color="auto"/>
            <w:bottom w:val="none" w:sz="0" w:space="0" w:color="auto"/>
            <w:right w:val="none" w:sz="0" w:space="0" w:color="auto"/>
          </w:divBdr>
        </w:div>
        <w:div w:id="1713726957">
          <w:marLeft w:val="640"/>
          <w:marRight w:val="0"/>
          <w:marTop w:val="0"/>
          <w:marBottom w:val="0"/>
          <w:divBdr>
            <w:top w:val="none" w:sz="0" w:space="0" w:color="auto"/>
            <w:left w:val="none" w:sz="0" w:space="0" w:color="auto"/>
            <w:bottom w:val="none" w:sz="0" w:space="0" w:color="auto"/>
            <w:right w:val="none" w:sz="0" w:space="0" w:color="auto"/>
          </w:divBdr>
        </w:div>
        <w:div w:id="1529834152">
          <w:marLeft w:val="640"/>
          <w:marRight w:val="0"/>
          <w:marTop w:val="0"/>
          <w:marBottom w:val="0"/>
          <w:divBdr>
            <w:top w:val="none" w:sz="0" w:space="0" w:color="auto"/>
            <w:left w:val="none" w:sz="0" w:space="0" w:color="auto"/>
            <w:bottom w:val="none" w:sz="0" w:space="0" w:color="auto"/>
            <w:right w:val="none" w:sz="0" w:space="0" w:color="auto"/>
          </w:divBdr>
        </w:div>
        <w:div w:id="1656446967">
          <w:marLeft w:val="640"/>
          <w:marRight w:val="0"/>
          <w:marTop w:val="0"/>
          <w:marBottom w:val="0"/>
          <w:divBdr>
            <w:top w:val="none" w:sz="0" w:space="0" w:color="auto"/>
            <w:left w:val="none" w:sz="0" w:space="0" w:color="auto"/>
            <w:bottom w:val="none" w:sz="0" w:space="0" w:color="auto"/>
            <w:right w:val="none" w:sz="0" w:space="0" w:color="auto"/>
          </w:divBdr>
        </w:div>
        <w:div w:id="594825854">
          <w:marLeft w:val="640"/>
          <w:marRight w:val="0"/>
          <w:marTop w:val="0"/>
          <w:marBottom w:val="0"/>
          <w:divBdr>
            <w:top w:val="none" w:sz="0" w:space="0" w:color="auto"/>
            <w:left w:val="none" w:sz="0" w:space="0" w:color="auto"/>
            <w:bottom w:val="none" w:sz="0" w:space="0" w:color="auto"/>
            <w:right w:val="none" w:sz="0" w:space="0" w:color="auto"/>
          </w:divBdr>
        </w:div>
        <w:div w:id="1444692003">
          <w:marLeft w:val="640"/>
          <w:marRight w:val="0"/>
          <w:marTop w:val="0"/>
          <w:marBottom w:val="0"/>
          <w:divBdr>
            <w:top w:val="none" w:sz="0" w:space="0" w:color="auto"/>
            <w:left w:val="none" w:sz="0" w:space="0" w:color="auto"/>
            <w:bottom w:val="none" w:sz="0" w:space="0" w:color="auto"/>
            <w:right w:val="none" w:sz="0" w:space="0" w:color="auto"/>
          </w:divBdr>
        </w:div>
      </w:divsChild>
    </w:div>
    <w:div w:id="628828884">
      <w:bodyDiv w:val="1"/>
      <w:marLeft w:val="0"/>
      <w:marRight w:val="0"/>
      <w:marTop w:val="0"/>
      <w:marBottom w:val="0"/>
      <w:divBdr>
        <w:top w:val="none" w:sz="0" w:space="0" w:color="auto"/>
        <w:left w:val="none" w:sz="0" w:space="0" w:color="auto"/>
        <w:bottom w:val="none" w:sz="0" w:space="0" w:color="auto"/>
        <w:right w:val="none" w:sz="0" w:space="0" w:color="auto"/>
      </w:divBdr>
    </w:div>
    <w:div w:id="684789233">
      <w:bodyDiv w:val="1"/>
      <w:marLeft w:val="0"/>
      <w:marRight w:val="0"/>
      <w:marTop w:val="0"/>
      <w:marBottom w:val="0"/>
      <w:divBdr>
        <w:top w:val="none" w:sz="0" w:space="0" w:color="auto"/>
        <w:left w:val="none" w:sz="0" w:space="0" w:color="auto"/>
        <w:bottom w:val="none" w:sz="0" w:space="0" w:color="auto"/>
        <w:right w:val="none" w:sz="0" w:space="0" w:color="auto"/>
      </w:divBdr>
    </w:div>
    <w:div w:id="720910693">
      <w:bodyDiv w:val="1"/>
      <w:marLeft w:val="0"/>
      <w:marRight w:val="0"/>
      <w:marTop w:val="0"/>
      <w:marBottom w:val="0"/>
      <w:divBdr>
        <w:top w:val="none" w:sz="0" w:space="0" w:color="auto"/>
        <w:left w:val="none" w:sz="0" w:space="0" w:color="auto"/>
        <w:bottom w:val="none" w:sz="0" w:space="0" w:color="auto"/>
        <w:right w:val="none" w:sz="0" w:space="0" w:color="auto"/>
      </w:divBdr>
    </w:div>
    <w:div w:id="785660753">
      <w:bodyDiv w:val="1"/>
      <w:marLeft w:val="0"/>
      <w:marRight w:val="0"/>
      <w:marTop w:val="0"/>
      <w:marBottom w:val="0"/>
      <w:divBdr>
        <w:top w:val="none" w:sz="0" w:space="0" w:color="auto"/>
        <w:left w:val="none" w:sz="0" w:space="0" w:color="auto"/>
        <w:bottom w:val="none" w:sz="0" w:space="0" w:color="auto"/>
        <w:right w:val="none" w:sz="0" w:space="0" w:color="auto"/>
      </w:divBdr>
    </w:div>
    <w:div w:id="790052725">
      <w:bodyDiv w:val="1"/>
      <w:marLeft w:val="0"/>
      <w:marRight w:val="0"/>
      <w:marTop w:val="0"/>
      <w:marBottom w:val="0"/>
      <w:divBdr>
        <w:top w:val="none" w:sz="0" w:space="0" w:color="auto"/>
        <w:left w:val="none" w:sz="0" w:space="0" w:color="auto"/>
        <w:bottom w:val="none" w:sz="0" w:space="0" w:color="auto"/>
        <w:right w:val="none" w:sz="0" w:space="0" w:color="auto"/>
      </w:divBdr>
    </w:div>
    <w:div w:id="827750067">
      <w:bodyDiv w:val="1"/>
      <w:marLeft w:val="0"/>
      <w:marRight w:val="0"/>
      <w:marTop w:val="0"/>
      <w:marBottom w:val="0"/>
      <w:divBdr>
        <w:top w:val="none" w:sz="0" w:space="0" w:color="auto"/>
        <w:left w:val="none" w:sz="0" w:space="0" w:color="auto"/>
        <w:bottom w:val="none" w:sz="0" w:space="0" w:color="auto"/>
        <w:right w:val="none" w:sz="0" w:space="0" w:color="auto"/>
      </w:divBdr>
    </w:div>
    <w:div w:id="889994608">
      <w:bodyDiv w:val="1"/>
      <w:marLeft w:val="0"/>
      <w:marRight w:val="0"/>
      <w:marTop w:val="0"/>
      <w:marBottom w:val="0"/>
      <w:divBdr>
        <w:top w:val="none" w:sz="0" w:space="0" w:color="auto"/>
        <w:left w:val="none" w:sz="0" w:space="0" w:color="auto"/>
        <w:bottom w:val="none" w:sz="0" w:space="0" w:color="auto"/>
        <w:right w:val="none" w:sz="0" w:space="0" w:color="auto"/>
      </w:divBdr>
    </w:div>
    <w:div w:id="894198485">
      <w:bodyDiv w:val="1"/>
      <w:marLeft w:val="0"/>
      <w:marRight w:val="0"/>
      <w:marTop w:val="0"/>
      <w:marBottom w:val="0"/>
      <w:divBdr>
        <w:top w:val="none" w:sz="0" w:space="0" w:color="auto"/>
        <w:left w:val="none" w:sz="0" w:space="0" w:color="auto"/>
        <w:bottom w:val="none" w:sz="0" w:space="0" w:color="auto"/>
        <w:right w:val="none" w:sz="0" w:space="0" w:color="auto"/>
      </w:divBdr>
    </w:div>
    <w:div w:id="996807613">
      <w:bodyDiv w:val="1"/>
      <w:marLeft w:val="0"/>
      <w:marRight w:val="0"/>
      <w:marTop w:val="0"/>
      <w:marBottom w:val="0"/>
      <w:divBdr>
        <w:top w:val="none" w:sz="0" w:space="0" w:color="auto"/>
        <w:left w:val="none" w:sz="0" w:space="0" w:color="auto"/>
        <w:bottom w:val="none" w:sz="0" w:space="0" w:color="auto"/>
        <w:right w:val="none" w:sz="0" w:space="0" w:color="auto"/>
      </w:divBdr>
    </w:div>
    <w:div w:id="1029332444">
      <w:bodyDiv w:val="1"/>
      <w:marLeft w:val="0"/>
      <w:marRight w:val="0"/>
      <w:marTop w:val="0"/>
      <w:marBottom w:val="0"/>
      <w:divBdr>
        <w:top w:val="none" w:sz="0" w:space="0" w:color="auto"/>
        <w:left w:val="none" w:sz="0" w:space="0" w:color="auto"/>
        <w:bottom w:val="none" w:sz="0" w:space="0" w:color="auto"/>
        <w:right w:val="none" w:sz="0" w:space="0" w:color="auto"/>
      </w:divBdr>
    </w:div>
    <w:div w:id="1084033959">
      <w:bodyDiv w:val="1"/>
      <w:marLeft w:val="0"/>
      <w:marRight w:val="0"/>
      <w:marTop w:val="0"/>
      <w:marBottom w:val="0"/>
      <w:divBdr>
        <w:top w:val="none" w:sz="0" w:space="0" w:color="auto"/>
        <w:left w:val="none" w:sz="0" w:space="0" w:color="auto"/>
        <w:bottom w:val="none" w:sz="0" w:space="0" w:color="auto"/>
        <w:right w:val="none" w:sz="0" w:space="0" w:color="auto"/>
      </w:divBdr>
    </w:div>
    <w:div w:id="1164660019">
      <w:bodyDiv w:val="1"/>
      <w:marLeft w:val="0"/>
      <w:marRight w:val="0"/>
      <w:marTop w:val="0"/>
      <w:marBottom w:val="0"/>
      <w:divBdr>
        <w:top w:val="none" w:sz="0" w:space="0" w:color="auto"/>
        <w:left w:val="none" w:sz="0" w:space="0" w:color="auto"/>
        <w:bottom w:val="none" w:sz="0" w:space="0" w:color="auto"/>
        <w:right w:val="none" w:sz="0" w:space="0" w:color="auto"/>
      </w:divBdr>
    </w:div>
    <w:div w:id="1206261412">
      <w:bodyDiv w:val="1"/>
      <w:marLeft w:val="0"/>
      <w:marRight w:val="0"/>
      <w:marTop w:val="0"/>
      <w:marBottom w:val="0"/>
      <w:divBdr>
        <w:top w:val="none" w:sz="0" w:space="0" w:color="auto"/>
        <w:left w:val="none" w:sz="0" w:space="0" w:color="auto"/>
        <w:bottom w:val="none" w:sz="0" w:space="0" w:color="auto"/>
        <w:right w:val="none" w:sz="0" w:space="0" w:color="auto"/>
      </w:divBdr>
    </w:div>
    <w:div w:id="1298802576">
      <w:bodyDiv w:val="1"/>
      <w:marLeft w:val="0"/>
      <w:marRight w:val="0"/>
      <w:marTop w:val="0"/>
      <w:marBottom w:val="0"/>
      <w:divBdr>
        <w:top w:val="none" w:sz="0" w:space="0" w:color="auto"/>
        <w:left w:val="none" w:sz="0" w:space="0" w:color="auto"/>
        <w:bottom w:val="none" w:sz="0" w:space="0" w:color="auto"/>
        <w:right w:val="none" w:sz="0" w:space="0" w:color="auto"/>
      </w:divBdr>
    </w:div>
    <w:div w:id="1311208800">
      <w:bodyDiv w:val="1"/>
      <w:marLeft w:val="0"/>
      <w:marRight w:val="0"/>
      <w:marTop w:val="0"/>
      <w:marBottom w:val="0"/>
      <w:divBdr>
        <w:top w:val="none" w:sz="0" w:space="0" w:color="auto"/>
        <w:left w:val="none" w:sz="0" w:space="0" w:color="auto"/>
        <w:bottom w:val="none" w:sz="0" w:space="0" w:color="auto"/>
        <w:right w:val="none" w:sz="0" w:space="0" w:color="auto"/>
      </w:divBdr>
    </w:div>
    <w:div w:id="1314413731">
      <w:bodyDiv w:val="1"/>
      <w:marLeft w:val="0"/>
      <w:marRight w:val="0"/>
      <w:marTop w:val="0"/>
      <w:marBottom w:val="0"/>
      <w:divBdr>
        <w:top w:val="none" w:sz="0" w:space="0" w:color="auto"/>
        <w:left w:val="none" w:sz="0" w:space="0" w:color="auto"/>
        <w:bottom w:val="none" w:sz="0" w:space="0" w:color="auto"/>
        <w:right w:val="none" w:sz="0" w:space="0" w:color="auto"/>
      </w:divBdr>
    </w:div>
    <w:div w:id="1337609875">
      <w:bodyDiv w:val="1"/>
      <w:marLeft w:val="0"/>
      <w:marRight w:val="0"/>
      <w:marTop w:val="0"/>
      <w:marBottom w:val="0"/>
      <w:divBdr>
        <w:top w:val="none" w:sz="0" w:space="0" w:color="auto"/>
        <w:left w:val="none" w:sz="0" w:space="0" w:color="auto"/>
        <w:bottom w:val="none" w:sz="0" w:space="0" w:color="auto"/>
        <w:right w:val="none" w:sz="0" w:space="0" w:color="auto"/>
      </w:divBdr>
    </w:div>
    <w:div w:id="1337882345">
      <w:bodyDiv w:val="1"/>
      <w:marLeft w:val="0"/>
      <w:marRight w:val="0"/>
      <w:marTop w:val="0"/>
      <w:marBottom w:val="0"/>
      <w:divBdr>
        <w:top w:val="none" w:sz="0" w:space="0" w:color="auto"/>
        <w:left w:val="none" w:sz="0" w:space="0" w:color="auto"/>
        <w:bottom w:val="none" w:sz="0" w:space="0" w:color="auto"/>
        <w:right w:val="none" w:sz="0" w:space="0" w:color="auto"/>
      </w:divBdr>
    </w:div>
    <w:div w:id="1381394463">
      <w:bodyDiv w:val="1"/>
      <w:marLeft w:val="0"/>
      <w:marRight w:val="0"/>
      <w:marTop w:val="0"/>
      <w:marBottom w:val="0"/>
      <w:divBdr>
        <w:top w:val="none" w:sz="0" w:space="0" w:color="auto"/>
        <w:left w:val="none" w:sz="0" w:space="0" w:color="auto"/>
        <w:bottom w:val="none" w:sz="0" w:space="0" w:color="auto"/>
        <w:right w:val="none" w:sz="0" w:space="0" w:color="auto"/>
      </w:divBdr>
    </w:div>
    <w:div w:id="1400445292">
      <w:bodyDiv w:val="1"/>
      <w:marLeft w:val="0"/>
      <w:marRight w:val="0"/>
      <w:marTop w:val="0"/>
      <w:marBottom w:val="0"/>
      <w:divBdr>
        <w:top w:val="none" w:sz="0" w:space="0" w:color="auto"/>
        <w:left w:val="none" w:sz="0" w:space="0" w:color="auto"/>
        <w:bottom w:val="none" w:sz="0" w:space="0" w:color="auto"/>
        <w:right w:val="none" w:sz="0" w:space="0" w:color="auto"/>
      </w:divBdr>
    </w:div>
    <w:div w:id="1417284410">
      <w:bodyDiv w:val="1"/>
      <w:marLeft w:val="0"/>
      <w:marRight w:val="0"/>
      <w:marTop w:val="0"/>
      <w:marBottom w:val="0"/>
      <w:divBdr>
        <w:top w:val="none" w:sz="0" w:space="0" w:color="auto"/>
        <w:left w:val="none" w:sz="0" w:space="0" w:color="auto"/>
        <w:bottom w:val="none" w:sz="0" w:space="0" w:color="auto"/>
        <w:right w:val="none" w:sz="0" w:space="0" w:color="auto"/>
      </w:divBdr>
    </w:div>
    <w:div w:id="1460298887">
      <w:bodyDiv w:val="1"/>
      <w:marLeft w:val="0"/>
      <w:marRight w:val="0"/>
      <w:marTop w:val="0"/>
      <w:marBottom w:val="0"/>
      <w:divBdr>
        <w:top w:val="none" w:sz="0" w:space="0" w:color="auto"/>
        <w:left w:val="none" w:sz="0" w:space="0" w:color="auto"/>
        <w:bottom w:val="none" w:sz="0" w:space="0" w:color="auto"/>
        <w:right w:val="none" w:sz="0" w:space="0" w:color="auto"/>
      </w:divBdr>
    </w:div>
    <w:div w:id="1472406549">
      <w:bodyDiv w:val="1"/>
      <w:marLeft w:val="0"/>
      <w:marRight w:val="0"/>
      <w:marTop w:val="0"/>
      <w:marBottom w:val="0"/>
      <w:divBdr>
        <w:top w:val="none" w:sz="0" w:space="0" w:color="auto"/>
        <w:left w:val="none" w:sz="0" w:space="0" w:color="auto"/>
        <w:bottom w:val="none" w:sz="0" w:space="0" w:color="auto"/>
        <w:right w:val="none" w:sz="0" w:space="0" w:color="auto"/>
      </w:divBdr>
    </w:div>
    <w:div w:id="1489133917">
      <w:bodyDiv w:val="1"/>
      <w:marLeft w:val="0"/>
      <w:marRight w:val="0"/>
      <w:marTop w:val="0"/>
      <w:marBottom w:val="0"/>
      <w:divBdr>
        <w:top w:val="none" w:sz="0" w:space="0" w:color="auto"/>
        <w:left w:val="none" w:sz="0" w:space="0" w:color="auto"/>
        <w:bottom w:val="none" w:sz="0" w:space="0" w:color="auto"/>
        <w:right w:val="none" w:sz="0" w:space="0" w:color="auto"/>
      </w:divBdr>
    </w:div>
    <w:div w:id="1507552470">
      <w:bodyDiv w:val="1"/>
      <w:marLeft w:val="0"/>
      <w:marRight w:val="0"/>
      <w:marTop w:val="0"/>
      <w:marBottom w:val="0"/>
      <w:divBdr>
        <w:top w:val="none" w:sz="0" w:space="0" w:color="auto"/>
        <w:left w:val="none" w:sz="0" w:space="0" w:color="auto"/>
        <w:bottom w:val="none" w:sz="0" w:space="0" w:color="auto"/>
        <w:right w:val="none" w:sz="0" w:space="0" w:color="auto"/>
      </w:divBdr>
    </w:div>
    <w:div w:id="1779986156">
      <w:bodyDiv w:val="1"/>
      <w:marLeft w:val="0"/>
      <w:marRight w:val="0"/>
      <w:marTop w:val="0"/>
      <w:marBottom w:val="0"/>
      <w:divBdr>
        <w:top w:val="none" w:sz="0" w:space="0" w:color="auto"/>
        <w:left w:val="none" w:sz="0" w:space="0" w:color="auto"/>
        <w:bottom w:val="none" w:sz="0" w:space="0" w:color="auto"/>
        <w:right w:val="none" w:sz="0" w:space="0" w:color="auto"/>
      </w:divBdr>
      <w:divsChild>
        <w:div w:id="1220752965">
          <w:marLeft w:val="640"/>
          <w:marRight w:val="0"/>
          <w:marTop w:val="0"/>
          <w:marBottom w:val="0"/>
          <w:divBdr>
            <w:top w:val="none" w:sz="0" w:space="0" w:color="auto"/>
            <w:left w:val="none" w:sz="0" w:space="0" w:color="auto"/>
            <w:bottom w:val="none" w:sz="0" w:space="0" w:color="auto"/>
            <w:right w:val="none" w:sz="0" w:space="0" w:color="auto"/>
          </w:divBdr>
        </w:div>
        <w:div w:id="2127037835">
          <w:marLeft w:val="640"/>
          <w:marRight w:val="0"/>
          <w:marTop w:val="0"/>
          <w:marBottom w:val="0"/>
          <w:divBdr>
            <w:top w:val="none" w:sz="0" w:space="0" w:color="auto"/>
            <w:left w:val="none" w:sz="0" w:space="0" w:color="auto"/>
            <w:bottom w:val="none" w:sz="0" w:space="0" w:color="auto"/>
            <w:right w:val="none" w:sz="0" w:space="0" w:color="auto"/>
          </w:divBdr>
        </w:div>
        <w:div w:id="1071851974">
          <w:marLeft w:val="640"/>
          <w:marRight w:val="0"/>
          <w:marTop w:val="0"/>
          <w:marBottom w:val="0"/>
          <w:divBdr>
            <w:top w:val="none" w:sz="0" w:space="0" w:color="auto"/>
            <w:left w:val="none" w:sz="0" w:space="0" w:color="auto"/>
            <w:bottom w:val="none" w:sz="0" w:space="0" w:color="auto"/>
            <w:right w:val="none" w:sz="0" w:space="0" w:color="auto"/>
          </w:divBdr>
        </w:div>
        <w:div w:id="441729396">
          <w:marLeft w:val="640"/>
          <w:marRight w:val="0"/>
          <w:marTop w:val="0"/>
          <w:marBottom w:val="0"/>
          <w:divBdr>
            <w:top w:val="none" w:sz="0" w:space="0" w:color="auto"/>
            <w:left w:val="none" w:sz="0" w:space="0" w:color="auto"/>
            <w:bottom w:val="none" w:sz="0" w:space="0" w:color="auto"/>
            <w:right w:val="none" w:sz="0" w:space="0" w:color="auto"/>
          </w:divBdr>
        </w:div>
        <w:div w:id="304939133">
          <w:marLeft w:val="640"/>
          <w:marRight w:val="0"/>
          <w:marTop w:val="0"/>
          <w:marBottom w:val="0"/>
          <w:divBdr>
            <w:top w:val="none" w:sz="0" w:space="0" w:color="auto"/>
            <w:left w:val="none" w:sz="0" w:space="0" w:color="auto"/>
            <w:bottom w:val="none" w:sz="0" w:space="0" w:color="auto"/>
            <w:right w:val="none" w:sz="0" w:space="0" w:color="auto"/>
          </w:divBdr>
        </w:div>
        <w:div w:id="1158691202">
          <w:marLeft w:val="640"/>
          <w:marRight w:val="0"/>
          <w:marTop w:val="0"/>
          <w:marBottom w:val="0"/>
          <w:divBdr>
            <w:top w:val="none" w:sz="0" w:space="0" w:color="auto"/>
            <w:left w:val="none" w:sz="0" w:space="0" w:color="auto"/>
            <w:bottom w:val="none" w:sz="0" w:space="0" w:color="auto"/>
            <w:right w:val="none" w:sz="0" w:space="0" w:color="auto"/>
          </w:divBdr>
        </w:div>
        <w:div w:id="1045640995">
          <w:marLeft w:val="640"/>
          <w:marRight w:val="0"/>
          <w:marTop w:val="0"/>
          <w:marBottom w:val="0"/>
          <w:divBdr>
            <w:top w:val="none" w:sz="0" w:space="0" w:color="auto"/>
            <w:left w:val="none" w:sz="0" w:space="0" w:color="auto"/>
            <w:bottom w:val="none" w:sz="0" w:space="0" w:color="auto"/>
            <w:right w:val="none" w:sz="0" w:space="0" w:color="auto"/>
          </w:divBdr>
        </w:div>
        <w:div w:id="1539005553">
          <w:marLeft w:val="640"/>
          <w:marRight w:val="0"/>
          <w:marTop w:val="0"/>
          <w:marBottom w:val="0"/>
          <w:divBdr>
            <w:top w:val="none" w:sz="0" w:space="0" w:color="auto"/>
            <w:left w:val="none" w:sz="0" w:space="0" w:color="auto"/>
            <w:bottom w:val="none" w:sz="0" w:space="0" w:color="auto"/>
            <w:right w:val="none" w:sz="0" w:space="0" w:color="auto"/>
          </w:divBdr>
        </w:div>
        <w:div w:id="1844972354">
          <w:marLeft w:val="640"/>
          <w:marRight w:val="0"/>
          <w:marTop w:val="0"/>
          <w:marBottom w:val="0"/>
          <w:divBdr>
            <w:top w:val="none" w:sz="0" w:space="0" w:color="auto"/>
            <w:left w:val="none" w:sz="0" w:space="0" w:color="auto"/>
            <w:bottom w:val="none" w:sz="0" w:space="0" w:color="auto"/>
            <w:right w:val="none" w:sz="0" w:space="0" w:color="auto"/>
          </w:divBdr>
        </w:div>
      </w:divsChild>
    </w:div>
    <w:div w:id="1863129588">
      <w:bodyDiv w:val="1"/>
      <w:marLeft w:val="0"/>
      <w:marRight w:val="0"/>
      <w:marTop w:val="0"/>
      <w:marBottom w:val="0"/>
      <w:divBdr>
        <w:top w:val="none" w:sz="0" w:space="0" w:color="auto"/>
        <w:left w:val="none" w:sz="0" w:space="0" w:color="auto"/>
        <w:bottom w:val="none" w:sz="0" w:space="0" w:color="auto"/>
        <w:right w:val="none" w:sz="0" w:space="0" w:color="auto"/>
      </w:divBdr>
    </w:div>
    <w:div w:id="1875070686">
      <w:bodyDiv w:val="1"/>
      <w:marLeft w:val="0"/>
      <w:marRight w:val="0"/>
      <w:marTop w:val="0"/>
      <w:marBottom w:val="0"/>
      <w:divBdr>
        <w:top w:val="none" w:sz="0" w:space="0" w:color="auto"/>
        <w:left w:val="none" w:sz="0" w:space="0" w:color="auto"/>
        <w:bottom w:val="none" w:sz="0" w:space="0" w:color="auto"/>
        <w:right w:val="none" w:sz="0" w:space="0" w:color="auto"/>
      </w:divBdr>
    </w:div>
    <w:div w:id="1913738932">
      <w:bodyDiv w:val="1"/>
      <w:marLeft w:val="0"/>
      <w:marRight w:val="0"/>
      <w:marTop w:val="0"/>
      <w:marBottom w:val="0"/>
      <w:divBdr>
        <w:top w:val="none" w:sz="0" w:space="0" w:color="auto"/>
        <w:left w:val="none" w:sz="0" w:space="0" w:color="auto"/>
        <w:bottom w:val="none" w:sz="0" w:space="0" w:color="auto"/>
        <w:right w:val="none" w:sz="0" w:space="0" w:color="auto"/>
      </w:divBdr>
    </w:div>
    <w:div w:id="1987777203">
      <w:bodyDiv w:val="1"/>
      <w:marLeft w:val="0"/>
      <w:marRight w:val="0"/>
      <w:marTop w:val="0"/>
      <w:marBottom w:val="0"/>
      <w:divBdr>
        <w:top w:val="none" w:sz="0" w:space="0" w:color="auto"/>
        <w:left w:val="none" w:sz="0" w:space="0" w:color="auto"/>
        <w:bottom w:val="none" w:sz="0" w:space="0" w:color="auto"/>
        <w:right w:val="none" w:sz="0" w:space="0" w:color="auto"/>
      </w:divBdr>
    </w:div>
    <w:div w:id="2047096499">
      <w:bodyDiv w:val="1"/>
      <w:marLeft w:val="0"/>
      <w:marRight w:val="0"/>
      <w:marTop w:val="0"/>
      <w:marBottom w:val="0"/>
      <w:divBdr>
        <w:top w:val="none" w:sz="0" w:space="0" w:color="auto"/>
        <w:left w:val="none" w:sz="0" w:space="0" w:color="auto"/>
        <w:bottom w:val="none" w:sz="0" w:space="0" w:color="auto"/>
        <w:right w:val="none" w:sz="0" w:space="0" w:color="auto"/>
      </w:divBdr>
    </w:div>
    <w:div w:id="2087796513">
      <w:bodyDiv w:val="1"/>
      <w:marLeft w:val="0"/>
      <w:marRight w:val="0"/>
      <w:marTop w:val="0"/>
      <w:marBottom w:val="0"/>
      <w:divBdr>
        <w:top w:val="none" w:sz="0" w:space="0" w:color="auto"/>
        <w:left w:val="none" w:sz="0" w:space="0" w:color="auto"/>
        <w:bottom w:val="none" w:sz="0" w:space="0" w:color="auto"/>
        <w:right w:val="none" w:sz="0" w:space="0" w:color="auto"/>
      </w:divBdr>
    </w:div>
    <w:div w:id="213066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64271FB79B2744AACDF740A5CCCC6A"/>
        <w:category>
          <w:name w:val="General"/>
          <w:gallery w:val="placeholder"/>
        </w:category>
        <w:types>
          <w:type w:val="bbPlcHdr"/>
        </w:types>
        <w:behaviors>
          <w:behavior w:val="content"/>
        </w:behaviors>
        <w:guid w:val="{A1D3FB99-D511-F644-ACDC-E5D64C2C8757}"/>
      </w:docPartPr>
      <w:docPartBody>
        <w:p w:rsidR="00F73D62" w:rsidRDefault="00632295" w:rsidP="00632295">
          <w:pPr>
            <w:pStyle w:val="3464271FB79B2744AACDF740A5CCCC6A"/>
          </w:pPr>
          <w:r w:rsidRPr="00851C23">
            <w:rPr>
              <w:rStyle w:val="PlaceholderText"/>
            </w:rPr>
            <w:t>Click or tap here to enter text.</w:t>
          </w:r>
        </w:p>
      </w:docPartBody>
    </w:docPart>
    <w:docPart>
      <w:docPartPr>
        <w:name w:val="3AA11AB73136724C8E03E0B43BCCEA6A"/>
        <w:category>
          <w:name w:val="General"/>
          <w:gallery w:val="placeholder"/>
        </w:category>
        <w:types>
          <w:type w:val="bbPlcHdr"/>
        </w:types>
        <w:behaviors>
          <w:behavior w:val="content"/>
        </w:behaviors>
        <w:guid w:val="{89EB9024-C878-AE41-9C52-1259CDE24556}"/>
      </w:docPartPr>
      <w:docPartBody>
        <w:p w:rsidR="00F73D62" w:rsidRDefault="00632295" w:rsidP="00632295">
          <w:pPr>
            <w:pStyle w:val="3AA11AB73136724C8E03E0B43BCCEA6A"/>
          </w:pPr>
          <w:r w:rsidRPr="00851C2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80CA1B1-981C-F54D-9BC7-94CD9F5BB4A4}"/>
      </w:docPartPr>
      <w:docPartBody>
        <w:p w:rsidR="006D68BD" w:rsidRDefault="00F73D62">
          <w:r w:rsidRPr="00645F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95"/>
    <w:rsid w:val="0007162E"/>
    <w:rsid w:val="000757FD"/>
    <w:rsid w:val="004E7835"/>
    <w:rsid w:val="00632295"/>
    <w:rsid w:val="006D68BD"/>
    <w:rsid w:val="00F73D6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D62"/>
    <w:rPr>
      <w:color w:val="808080"/>
    </w:rPr>
  </w:style>
  <w:style w:type="paragraph" w:customStyle="1" w:styleId="3464271FB79B2744AACDF740A5CCCC6A">
    <w:name w:val="3464271FB79B2744AACDF740A5CCCC6A"/>
    <w:rsid w:val="00632295"/>
  </w:style>
  <w:style w:type="paragraph" w:customStyle="1" w:styleId="3AA11AB73136724C8E03E0B43BCCEA6A">
    <w:name w:val="3AA11AB73136724C8E03E0B43BCCEA6A"/>
    <w:rsid w:val="00632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rop">
  <a:themeElements>
    <a:clrScheme name="Crop">
      <a:dk1>
        <a:sysClr val="windowText" lastClr="000000"/>
      </a:dk1>
      <a:lt1>
        <a:sysClr val="window" lastClr="FFFFFF"/>
      </a:lt1>
      <a:dk2>
        <a:srgbClr val="191B0E"/>
      </a:dk2>
      <a:lt2>
        <a:srgbClr val="EFEDE3"/>
      </a:lt2>
      <a:accent1>
        <a:srgbClr val="8C8D86"/>
      </a:accent1>
      <a:accent2>
        <a:srgbClr val="E6C069"/>
      </a:accent2>
      <a:accent3>
        <a:srgbClr val="897B61"/>
      </a:accent3>
      <a:accent4>
        <a:srgbClr val="8DAB8E"/>
      </a:accent4>
      <a:accent5>
        <a:srgbClr val="77A2BB"/>
      </a:accent5>
      <a:accent6>
        <a:srgbClr val="E28394"/>
      </a:accent6>
      <a:hlink>
        <a:srgbClr val="77A2BB"/>
      </a:hlink>
      <a:folHlink>
        <a:srgbClr val="957A9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EF1E64-F8C9-BE40-8E2C-2B73342E85A2}">
  <we:reference id="wa104382081" version="1.46.0.0" store="en-GB" storeType="OMEX"/>
  <we:alternateReferences>
    <we:reference id="WA104382081" version="1.46.0.0" store="" storeType="OMEX"/>
  </we:alternateReferences>
  <we:properties>
    <we:property name="MENDELEY_CITATIONS" value="[{&quot;citationID&quot;:&quot;MENDELEY_CITATION_9abd5072-43e7-448b-b4a2-7316513617ca&quot;,&quot;properties&quot;:{&quot;noteIndex&quot;:0},&quot;isEdited&quot;:false,&quot;manualOverride&quot;:{&quot;isManuallyOverridden&quot;:false,&quot;citeprocText&quot;:&quot;(1)&quot;,&quot;manualOverrideText&quot;:&quot;&quot;},&quot;citationTag&quot;:&quot;MENDELEY_CITATION_v3_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&quot;,&quot;citationItems&quot;:[{&quot;id&quot;:&quot;ace7b6ea-451f-3690-b081-57027c19b02f&quot;,&quot;itemData&quot;:{&quot;DOI&quot;:&quot;10.1002/eji.201444681&quot;,&quot;ISSN&quot;:&quot;00142980&quot;,&quot;abstract&quot;:&quot;T-cell lymphopenia following BM transplantation or diseases such as AIDS result in immunodeficiency. Novel approaches to ameliorate this situation are urgently required. Herein, we describe a novel stromal cell free culture system in which Lineage-Sca1+c-kit+ BM hematopoietic progenitors very efficiently differentiate into pro-T cells. This culture system consists of plate-bound Delta-like 4 Notch ligand and the cytokines SCF and IL-7. The pro-T cells developing in these cultures express CD25, CD117, and partially CD44; express cytoplasmic CD3 and have their TCRβ locus partially D-J rearranged. They could be expanded for over 3 months and used to reconstitute the T-cell compartments of sublethally irradiated T-cell-deficient CD3ε-/- mice or lethally irradiated WT mice. Pro-T cells generated in this system could partially correct the T-cell lymphopenia of pre-Tα-/- mice. However, reconstituted CD3ε-/- mice suffered from a wasting disease that was prevented by co-injection of purified CD4+ CD25high WT Treg cells. In a T-cell-sufficient or T-lymphopenic setting, the development of disease was not observed. Thus, this in vitro culture system represents a powerful tool to generate large numbers of pro-T cells for transplantation and possibly with clinical applications.&quot;,&quot;author&quot;:[{&quot;family&quot;:&quot;Gehre&quot;,&quot;given&quot;:&quot;Nadine&quot;,&quot;parse-names&quot;:false,&quot;dropping-particle&quot;:&quot;&quot;,&quot;non-dropping-particle&quot;:&quot;&quot;},{&quot;family&quot;:&quot;Nusser&quot;,&quot;given&quot;:&quot;Anja&quot;,&quot;parse-names&quot;:false,&quot;dropping-particle&quot;:&quot;&quot;,&quot;non-dropping-particle&quot;:&quot;&quot;},{&quot;family&quot;:&quot;Muenchow&quot;,&quot;given&quot;:&quot;Lilly&quot;,&quot;parse-names&quot;:false,&quot;dropping-particle&quot;:&quot;&quot;,&quot;non-dropping-particle&quot;:&quot;von&quot;},{&quot;family&quot;:&quot;Tussiwand&quot;,&quot;given&quot;:&quot;Roxane&quot;,&quot;parse-names&quot;:false,&quot;dropping-particle&quot;:&quot;&quot;,&quot;non-dropping-particle&quot;:&quot;&quot;},{&quot;family&quot;:&quot;Engdahl&quot;,&quot;given&quot;:&quot;Corinne&quot;,&quot;parse-names&quot;:false,&quot;dropping-particle&quot;:&quot;&quot;,&quot;non-dropping-particle&quot;:&quot;&quot;},{&quot;family&quot;:&quot;Capoferri&quot;,&quot;given&quot;:&quot;Giuseppina&quot;,&quot;parse-names&quot;:false,&quot;dropping-particle&quot;:&quot;&quot;,&quot;non-dropping-particle&quot;:&quot;&quot;},{&quot;family&quot;:&quot;Bosco&quot;,&quot;given&quot;:&quot;Nabil&quot;,&quot;parse-names&quot;:false,&quot;dropping-particle&quot;:&quot;&quot;,&quot;non-dropping-particle&quot;:&quot;&quot;},{&quot;family&quot;:&quot;Ceredig&quot;,&quot;given&quot;:&quot;Rhodri&quot;,&quot;parse-names&quot;:false,&quot;dropping-particle&quot;:&quot;&quot;,&quot;non-dropping-particle&quot;:&quot;&quot;},{&quot;family&quot;:&quot;Rolink&quot;,&quot;given&quot;:&quot;Antonius G.&quot;,&quot;parse-names&quot;:false,&quot;dropping-particle&quot;:&quot;&quot;,&quot;non-dropping-particle&quot;:&quot;&quot;}],&quot;container-title&quot;:&quot;European Journal of Immunology&quot;,&quot;id&quot;:&quot;ace7b6ea-451f-3690-b081-57027c19b02f&quot;,&quot;issue&quot;:&quot;3&quot;,&quot;issued&quot;:{&quot;date-parts&quot;:[[2015,3,1]]},&quot;page&quot;:&quot;932-942&quot;,&quot;publisher&quot;:&quot;Wiley-VCH Verlag&quot;,&quot;title&quot;:&quot;A stromal cell free culture system generates mouse pro-T cells that can reconstitute T-cell compartments in vivo&quot;,&quot;type&quot;:&quot;article-journal&quot;,&quot;volume&quot;:&quot;45&quot;,&quot;container-title-short&quot;:&quot;Eur J Immunol&quot;,&quot;accessed&quot;:{&quot;date-parts&quot;:[[2020,3,23]]},&quot;URL&quot;:&quot;http://doi.wiley.com/10.1002/eji.201444681&quot;},&quot;isTemporary&quot;:false}]},{&quot;citationID&quot;:&quot;MENDELEY_CITATION_972bf9ec-688d-4621-a17c-e18d391f8487&quot;,&quot;properties&quot;:{&quot;noteIndex&quot;:0},&quot;isEdited&quot;:false,&quot;manualOverride&quot;:{&quot;citeprocText&quot;:&quot;(2)&quot;,&quot;isManuallyOverridden&quot;:false,&quot;manualOverrideText&quot;:&quot;&quot;},&quot;citationTag&quot;:&quot;MENDELEY_CITATION_v3_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&quot;,&quot;citationItems&quot;:[{&quot;id&quot;:&quot;04b7876b-0f62-3d5b-92b4-fafa3bd28624&quot;,&quot;itemData&quot;:{&quot;DOI&quot;:&quot;10.1038/nbt.3437&quot;,&quot;ISSN&quot;:&quot;15461696&quot;,&quot;PMID&quot;:&quot;26780180&quot;,&quot;abstract&quot;:&quot;CRISPR-Cas9-based genetic screens are a powerful new tool in biology. By simply altering the sequence of the single-guide RNA (sgRNA), one can reprogram Cas9 to target different sites in the genome with relative ease, but the on-target activity and off-target effects of individual sgRNAs can vary widely. Here, we use recently devised sgRNA design rules to create human and mouse genome-wide libraries, perform positive and negative selection screens and observe that the use of these rules produced improved results. Additionally, we profile the off-target activity of thousands of sgRNAs and develop a metric to predict off-target sites. We incorporate these findings from large-scale, empirical data to improve our computational design rules and create optimized sgRNA libraries that maximize on-target activity and minimize off-target effects to enable more effective and efficient genetic screens and genome engineering.&quot;,&quot;author&quot;:[{&quot;dropping-particle&quot;:&quot;&quot;,&quot;family&quot;:&quot;Doench&quot;,&quot;given&quot;:&quot;John G.&quot;,&quot;non-dropping-particle&quot;:&quot;&quot;,&quot;parse-names&quot;:false,&quot;suffix&quot;:&quot;&quot;},{&quot;dropping-particle&quot;:&quot;&quot;,&quot;family&quot;:&quot;Fusi&quot;,&quot;given&quot;:&quot;Nicolo&quot;,&quot;non-dropping-particle&quot;:&quot;&quot;,&quot;parse-names&quot;:false,&quot;suffix&quot;:&quot;&quot;},{&quot;dropping-particle&quot;:&quot;&quot;,&quot;family&quot;:&quot;Sullender&quot;,&quot;given&quot;:&quot;Meagan&quot;,&quot;non-dropping-particle&quot;:&quot;&quot;,&quot;parse-names&quot;:false,&quot;suffix&quot;:&quot;&quot;},{&quot;dropping-particle&quot;:&quot;&quot;,&quot;family&quot;:&quot;Hegde&quot;,&quot;given&quot;:&quot;Mudra&quot;,&quot;non-dropping-particle&quot;:&quot;&quot;,&quot;parse-names&quot;:false,&quot;suffix&quot;:&quot;&quot;},{&quot;dropping-particle&quot;:&quot;&quot;,&quot;family&quot;:&quot;Vaimberg&quot;,&quot;given&quot;:&quot;Emma W.&quot;,&quot;non-dropping-particle&quot;:&quot;&quot;,&quot;parse-names&quot;:false,&quot;suffix&quot;:&quot;&quot;},{&quot;dropping-particle&quot;:&quot;&quot;,&quot;family&quot;:&quot;Donovan&quot;,&quot;given&quot;:&quot;Katherine F.&quot;,&quot;non-dropping-particle&quot;:&quot;&quot;,&quot;parse-names&quot;:false,&quot;suffix&quot;:&quot;&quot;},{&quot;dropping-particle&quot;:&quot;&quot;,&quot;family&quot;:&quot;Smith&quot;,&quot;given&quot;:&quot;Ian&quot;,&quot;non-dropping-particle&quot;:&quot;&quot;,&quot;parse-names&quot;:false,&quot;suffix&quot;:&quot;&quot;},{&quot;dropping-particle&quot;:&quot;&quot;,&quot;family&quot;:&quot;Tothova&quot;,&quot;given&quot;:&quot;Zuzana&quot;,&quot;non-dropping-particle&quot;:&quot;&quot;,&quot;parse-names&quot;:false,&quot;suffix&quot;:&quot;&quot;},{&quot;dropping-particle&quot;:&quot;&quot;,&quot;family&quot;:&quot;Wilen&quot;,&quot;given&quot;:&quot;Craig&quot;,&quot;non-dropping-particle&quot;:&quot;&quot;,&quot;parse-names&quot;:false,&quot;suffix&quot;:&quot;&quot;},{&quot;dropping-particle&quot;:&quot;&quot;,&quot;family&quot;:&quot;Orchard&quot;,&quot;given&quot;:&quot;Robert&quot;,&quot;non-dropping-particle&quot;:&quot;&quot;,&quot;parse-names&quot;:false,&quot;suffix&quot;:&quot;&quot;},{&quot;dropping-particle&quot;:&quot;&quot;,&quot;family&quot;:&quot;Virgin&quot;,&quot;given&quot;:&quot;Herbert W.&quot;,&quot;non-dropping-particle&quot;:&quot;&quot;,&quot;parse-names&quot;:false,&quot;suffix&quot;:&quot;&quot;},{&quot;dropping-particle&quot;:&quot;&quot;,&quot;family&quot;:&quot;Listgarten&quot;,&quot;given&quot;:&quot;Jennifer&quot;,&quot;non-dropping-particle&quot;:&quot;&quot;,&quot;parse-names&quot;:false,&quot;suffix&quot;:&quot;&quot;},{&quot;dropping-particle&quot;:&quot;&quot;,&quot;family&quot;:&quot;Root&quot;,&quot;given&quot;:&quot;David E.&quot;,&quot;non-dropping-particle&quot;:&quot;&quot;,&quot;parse-names&quot;:false,&quot;suffix&quot;:&quot;&quot;}],&quot;container-title&quot;:&quot;Nature Biotechnology&quot;,&quot;id&quot;:&quot;04b7876b-0f62-3d5b-92b4-fafa3bd28624&quot;,&quot;issue&quot;:&quot;2&quot;,&quot;issued&quot;:{&quot;date-parts&quot;:[[&quot;2016&quot;,&quot;2&quot;,&quot;1&quot;]]},&quot;page&quot;:&quot;184-191&quot;,&quot;publisher&quot;:&quot;Nature Publishing Group&quot;,&quot;title&quot;:&quot;Optimized sgRNA design to maximize activity and minimize off-target effects of CRISPR-Cas9&quot;,&quot;type&quot;:&quot;article-journal&quot;,&quot;volume&quot;:&quot;34&quot;,&quot;container-title-short&quot;:&quot;Nat Biotechnol&quot;},&quot;uris&quot;:[&quot;http://www.mendeley.com/documents/?uuid=04b7876b-0f62-3d5b-92b4-fafa3bd28624&quot;],&quot;isTemporary&quot;:false,&quot;legacyDesktopId&quot;:&quot;04b7876b-0f62-3d5b-92b4-fafa3bd28624&quot;}]},{&quot;citationID&quot;:&quot;MENDELEY_CITATION_9e59f4be-943d-4812-8525-26255f3958a0&quot;,&quot;properties&quot;:{&quot;noteIndex&quot;:0},&quot;isEdited&quot;:false,&quot;manualOverride&quot;:{&quot;citeprocText&quot;:&quot;(3)&quot;,&quot;isManuallyOverridden&quot;:false,&quot;manualOverrideText&quot;:&quot;&quot;},&quot;citationTag&quot;:&quot;MENDELEY_CITATION_v3_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&quot;,&quot;citationItems&quot;:[{&quot;id&quot;:&quot;ce123605-4c6f-3d02-a364-a62c7b258f67&quot;,&quot;itemData&quot;:{&quot;DOI&quot;:&quot;10.1038/s41587-020-0470-y&quot;,&quot;ISSN&quot;:&quot;1087-0156&quot;,&quot;abstract&quot;:&quot;Single-cell CRISPR screens enable the exploration of mammalian gene function and genetic regulatory networks. However, use of this technology has been limited by reliance on indirect indexing of single-guide RNAs (sgRNAs). Here we present direct-capture Perturb-seq, a versatile screening approach in which expressed sgRNAs are sequenced alongside single-cell transcriptomes. Direct-capture Perturb-seq enables detection of multiple distinct sgRNA sequences from individual cells and thus allows pooled single-cell CRISPR screens to be easily paired with combinatorial perturbation libraries that contain dual-guide expression vectors. We demonstrate the utility of this approach for high-throughput investigations of genetic interactions and, leveraging this ability, dissect epistatic interactions between cholesterol biogenesis and DNA repair. Using direct capture Perturb-seq, we also show that targeting individual genes with multiple sgRNAs per cell improves efficacy of CRISPR interference and activation, facilitating the use of compact, highly active CRISPR libraries for single-cell screens. Last, we show that hybridization-based target enrichment permits sensitive, specific sequencing of informative transcripts from single-cell RNA-seq experiments. Single-cell CRISPR screens are readily multiplexed and scaled with an improved version of Perturb-seq.&quot;,&quot;author&quot;:[{&quot;family&quot;:&quot;Replogle&quot;,&quot;given&quot;:&quot;Joseph M.&quot;,&quot;parse-names&quot;:false,&quot;dropping-particle&quot;:&quot;&quot;,&quot;non-dropping-particle&quot;:&quot;&quot;},{&quot;family&quot;:&quot;Norman&quot;,&quot;given&quot;:&quot;Thomas M.&quot;,&quot;parse-names&quot;:false,&quot;dropping-particle&quot;:&quot;&quot;,&quot;non-dropping-particle&quot;:&quot;&quot;},{&quot;family&quot;:&quot;Xu&quot;,&quot;given&quot;:&quot;Albert&quot;,&quot;parse-names&quot;:false,&quot;dropping-particle&quot;:&quot;&quot;,&quot;non-dropping-particle&quot;:&quot;&quot;},{&quot;family&quot;:&quot;Hussmann&quot;,&quot;given&quot;:&quot;Jeffrey A.&quot;,&quot;parse-names&quot;:false,&quot;dropping-particle&quot;:&quot;&quot;,&quot;non-dropping-particle&quot;:&quot;&quot;},{&quot;family&quot;:&quot;Chen&quot;,&quot;given&quot;:&quot;Jin&quot;,&quot;parse-names&quot;:false,&quot;dropping-particle&quot;:&quot;&quot;,&quot;non-dropping-particle&quot;:&quot;&quot;},{&quot;family&quot;:&quot;Cogan&quot;,&quot;given&quot;:&quot;J. Zachery&quot;,&quot;parse-names&quot;:false,&quot;dropping-particle&quot;:&quot;&quot;,&quot;non-dropping-particle&quot;:&quot;&quot;},{&quot;family&quot;:&quot;Meer&quot;,&quot;given&quot;:&quot;Elliott J.&quot;,&quot;parse-names&quot;:false,&quot;dropping-particle&quot;:&quot;&quot;,&quot;non-dropping-particle&quot;:&quot;&quot;},{&quot;family&quot;:&quot;Terry&quot;,&quot;given&quot;:&quot;Jessica M.&quot;,&quot;parse-names&quot;:false,&quot;dropping-particle&quot;:&quot;&quot;,&quot;non-dropping-particle&quot;:&quot;&quot;},{&quot;family&quot;:&quot;Riordan&quot;,&quot;given&quot;:&quot;Daniel P.&quot;,&quot;parse-names&quot;:false,&quot;dropping-particle&quot;:&quot;&quot;,&quot;non-dropping-particle&quot;:&quot;&quot;},{&quot;family&quot;:&quot;Srinivas&quot;,&quot;given&quot;:&quot;Niranjan&quot;,&quot;parse-names&quot;:false,&quot;dropping-particle&quot;:&quot;&quot;,&quot;non-dropping-particle&quot;:&quot;&quot;},{&quot;family&quot;:&quot;Fiddes&quot;,&quot;given&quot;:&quot;Ian T.&quot;,&quot;parse-names&quot;:false,&quot;dropping-particle&quot;:&quot;&quot;,&quot;non-dropping-particle&quot;:&quot;&quot;},{&quot;family&quot;:&quot;Arthur&quot;,&quot;given&quot;:&quot;Joseph G.&quot;,&quot;parse-names&quot;:false,&quot;dropping-particle&quot;:&quot;&quot;,&quot;non-dropping-particle&quot;:&quot;&quot;},{&quot;family&quot;:&quot;Alvarado&quot;,&quot;given&quot;:&quot;Luigi J.&quot;,&quot;parse-names&quot;:false,&quot;dropping-particle&quot;:&quot;&quot;,&quot;non-dropping-particle&quot;:&quot;&quot;},{&quot;family&quot;:&quot;Pfeiffer&quot;,&quot;given&quot;:&quot;Katherine A.&quot;,&quot;parse-names&quot;:false,&quot;dropping-particle&quot;:&quot;&quot;,&quot;non-dropping-particle&quot;:&quot;&quot;},{&quot;family&quot;:&quot;Mikkelsen&quot;,&quot;given&quot;:&quot;Tarjei S.&quot;,&quot;parse-names&quot;:false,&quot;dropping-particle&quot;:&quot;&quot;,&quot;non-dropping-particle&quot;:&quot;&quot;},{&quot;family&quot;:&quot;Weissman&quot;,&quot;given&quot;:&quot;Jonathan S.&quot;,&quot;parse-names&quot;:false,&quot;dropping-particle&quot;:&quot;&quot;,&quot;non-dropping-particle&quot;:&quot;&quot;},{&quot;family&quot;:&quot;Adamson&quot;,&quot;given&quot;:&quot;Britt&quot;,&quot;parse-names&quot;:false,&quot;dropping-particle&quot;:&quot;&quot;,&quot;non-dropping-particle&quot;:&quot;&quot;}],&quot;container-title&quot;:&quot;Nature Biotechnology&quot;,&quot;id&quot;:&quot;ce123605-4c6f-3d02-a364-a62c7b258f67&quot;,&quot;issue&quot;:&quot;8&quot;,&quot;issued&quot;:{&quot;date-parts&quot;:[[2020,8,30]]},&quot;note&quot;:&quot;direct-capture perturb-seq&quot;,&quot;page&quot;:&quot;954-961&quot;,&quot;publisher&quot;:&quot;Nature Publishing Group&quot;,&quot;title&quot;:&quot;Combinatorial single-cell CRISPR screens by direct guide RNA capture and targeted sequencing&quot;,&quot;type&quot;:&quot;article-journal&quot;,&quot;volume&quot;:&quot;38&quot;,&quot;accessed&quot;:{&quot;date-parts&quot;:[[2020,4,1]]},&quot;URL&quot;:&quot;http://www.nature.com/articles/s41587-020-0470-y&quot;,&quot;expandedJournalTitle&quot;:&quot;Nature Biotechnology&quot;,&quot;container-title-short&quot;:&quot;Nat Biotechnol&quot;},&quot;uris&quot;:[&quot;http://www.mendeley.com/documents/?uuid=1601f8e5-af72-4374-859e-1128c49a340a&quot;],&quot;isTemporary&quot;:false,&quot;legacyDesktopId&quot;:&quot;1601f8e5-af72-4374-859e-1128c49a340a&quot;}]},{&quot;citationID&quot;:&quot;MENDELEY_CITATION_98d1011a-c547-4c83-8b7b-ddc9833241b9&quot;,&quot;properties&quot;:{&quot;noteIndex&quot;:0},&quot;isEdited&quot;:false,&quot;manualOverride&quot;:{&quot;isManuallyOverridden&quot;:false,&quot;citeprocText&quot;:&quot;(4)&quot;,&quot;manualOverrideText&quot;:&quot;&quot;},&quot;citationTag&quot;:&quot;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&quot;,&quot;citationItems&quot;:[{&quot;id&quot;:&quot;60750143-dd2d-33d9-8e53-a1c3d0b69eda&quot;,&quot;itemData&quot;:{&quot;type&quot;:&quot;article-journal&quot;,&quot;id&quot;:&quot;60750143-dd2d-33d9-8e53-a1c3d0b69eda&quot;,&quot;title&quot;:&quot;Dissecting the multicellular ecosystem of metastatic melanoma by single-cell RNA-seq&quot;,&quot;author&quot;:[{&quot;family&quot;:&quot;Tirosh&quot;,&quot;given&quot;:&quot;Itay&quot;,&quot;parse-names&quot;:false,&quot;dropping-particle&quot;:&quot;&quot;,&quot;non-dropping-particle&quot;:&quot;&quot;},{&quot;family&quot;:&quot;Izar&quot;,&quot;given&quot;:&quot;Benjamin&quot;,&quot;parse-names&quot;:false,&quot;dropping-particle&quot;:&quot;&quot;,&quot;non-dropping-particle&quot;:&quot;&quot;},{&quot;family&quot;:&quot;Prakadan&quot;,&quot;given&quot;:&quot;Sanjay M.&quot;,&quot;parse-names&quot;:false,&quot;dropping-particle&quot;:&quot;&quot;,&quot;non-dropping-particle&quot;:&quot;&quot;},{&quot;family&quot;:&quot;Wadsworth&quot;,&quot;given&quot;:&quot;Marc H.&quot;,&quot;parse-names&quot;:false,&quot;dropping-particle&quot;:&quot;&quot;,&quot;non-dropping-particle&quot;:&quot;&quot;},{&quot;family&quot;:&quot;Treacy&quot;,&quot;given&quot;:&quot;Daniel&quot;,&quot;parse-names&quot;:false,&quot;dropping-particle&quot;:&quot;&quot;,&quot;non-dropping-particle&quot;:&quot;&quot;},{&quot;family&quot;:&quot;Trombetta&quot;,&quot;given&quot;:&quot;John J.&quot;,&quot;parse-names&quot;:false,&quot;dropping-particle&quot;:&quot;&quot;,&quot;non-dropping-particle&quot;:&quot;&quot;},{&quot;family&quot;:&quot;Rotem&quot;,&quot;given&quot;:&quot;Asaf&quot;,&quot;parse-names&quot;:false,&quot;dropping-particle&quot;:&quot;&quot;,&quot;non-dropping-particle&quot;:&quot;&quot;},{&quot;family&quot;:&quot;Rodman&quot;,&quot;given&quot;:&quot;Christopher&quot;,&quot;parse-names&quot;:false,&quot;dropping-particle&quot;:&quot;&quot;,&quot;non-dropping-particle&quot;:&quot;&quot;},{&quot;family&quot;:&quot;Lian&quot;,&quot;given&quot;:&quot;Christine&quot;,&quot;parse-names&quot;:false,&quot;dropping-particle&quot;:&quot;&quot;,&quot;non-dropping-particle&quot;:&quot;&quot;},{&quot;family&quot;:&quot;Murphy&quot;,&quot;given&quot;:&quot;George&quot;,&quot;parse-names&quot;:false,&quot;dropping-particle&quot;:&quot;&quot;,&quot;non-dropping-particle&quot;:&quot;&quot;},{&quot;family&quot;:&quot;Fallahi-Sichani&quot;,&quot;given&quot;:&quot;Mohammad&quot;,&quot;parse-names&quot;:false,&quot;dropping-particle&quot;:&quot;&quot;,&quot;non-dropping-particle&quot;:&quot;&quot;},{&quot;family&quot;:&quot;Dutton-Regester&quot;,&quot;given&quot;:&quot;Ken&quot;,&quot;parse-names&quot;:false,&quot;dropping-particle&quot;:&quot;&quot;,&quot;non-dropping-particle&quot;:&quot;&quot;},{&quot;family&quot;:&quot;Lin&quot;,&quot;given&quot;:&quot;Jia Ren&quot;,&quot;parse-names&quot;:false,&quot;dropping-particle&quot;:&quot;&quot;,&quot;non-dropping-particle&quot;:&quot;&quot;},{&quot;family&quot;:&quot;Cohen&quot;,&quot;given&quot;:&quot;Ofir&quot;,&quot;parse-names&quot;:false,&quot;dropping-particle&quot;:&quot;&quot;,&quot;non-dropping-particle&quot;:&quot;&quot;},{&quot;family&quot;:&quot;Shah&quot;,&quot;given&quot;:&quot;Parin&quot;,&quot;parse-names&quot;:false,&quot;dropping-particle&quot;:&quot;&quot;,&quot;non-dropping-particle&quot;:&quot;&quot;},{&quot;family&quot;:&quot;Lu&quot;,&quot;given&quot;:&quot;Diana&quot;,&quot;parse-names&quot;:false,&quot;dropping-particle&quot;:&quot;&quot;,&quot;non-dropping-particle&quot;:&quot;&quot;},{&quot;family&quot;:&quot;Genshaft&quot;,&quot;given&quot;:&quot;Alex S.&quot;,&quot;parse-names&quot;:false,&quot;dropping-particle&quot;:&quot;&quot;,&quot;non-dropping-particle&quot;:&quot;&quot;},{&quot;family&quot;:&quot;Hughes&quot;,&quot;given&quot;:&quot;Travis K.&quot;,&quot;parse-names&quot;:false,&quot;dropping-particle&quot;:&quot;&quot;,&quot;non-dropping-particle&quot;:&quot;&quot;},{&quot;family&quot;:&quot;Ziegler&quot;,&quot;given&quot;:&quot;Carly G.K.&quot;,&quot;parse-names&quot;:false,&quot;dropping-particle&quot;:&quot;&quot;,&quot;non-dropping-particle&quot;:&quot;&quot;},{&quot;family&quot;:&quot;Kazer&quot;,&quot;given&quot;:&quot;Samuel W.&quot;,&quot;parse-names&quot;:false,&quot;dropping-particle&quot;:&quot;&quot;,&quot;non-dropping-particle&quot;:&quot;&quot;},{&quot;family&quot;:&quot;Gaillard&quot;,&quot;given&quot;:&quot;Aleth&quot;,&quot;parse-names&quot;:false,&quot;dropping-particle&quot;:&quot;&quot;,&quot;non-dropping-particle&quot;:&quot;&quot;},{&quot;family&quot;:&quot;Kolb&quot;,&quot;given&quot;:&quot;Kellie E.&quot;,&quot;parse-names&quot;:false,&quot;dropping-particle&quot;:&quot;&quot;,&quot;non-dropping-particle&quot;:&quot;&quot;},{&quot;family&quot;:&quot;Villani&quot;,&quot;given&quot;:&quot;Alexandra Chloé&quot;,&quot;parse-names&quot;:false,&quot;dropping-particle&quot;:&quot;&quot;,&quot;non-dropping-particle&quot;:&quot;&quot;},{&quot;family&quot;:&quot;Johannessen&quot;,&quot;given&quot;:&quot;Cory M.&quot;,&quot;parse-names&quot;:false,&quot;dropping-particle&quot;:&quot;&quot;,&quot;non-dropping-particle&quot;:&quot;&quot;},{&quot;family&quot;:&quot;Andreev&quot;,&quot;given&quot;:&quot;Aleksandr Y.&quot;,&quot;parse-names&quot;:false,&quot;dropping-particle&quot;:&quot;&quot;,&quot;non-dropping-particle&quot;:&quot;&quot;},{&quot;family&quot;:&quot;Allen&quot;,&quot;given&quot;:&quot;Eliezer M.&quot;,&quot;parse-names&quot;:false,&quot;dropping-particle&quot;:&quot;&quot;,&quot;non-dropping-particle&quot;:&quot;van&quot;},{&quot;family&quot;:&quot;Bertagnolli&quot;,&quot;given&quot;:&quot;Monica&quot;,&quot;parse-names&quot;:false,&quot;dropping-particle&quot;:&quot;&quot;,&quot;non-dropping-particle&quot;:&quot;&quot;},{&quot;family&quot;:&quot;Sorger&quot;,&quot;given&quot;:&quot;Peter K.&quot;,&quot;parse-names&quot;:false,&quot;dropping-particle&quot;:&quot;&quot;,&quot;non-dropping-particle&quot;:&quot;&quot;},{&quot;family&quot;:&quot;Sullivan&quot;,&quot;given&quot;:&quot;Ryan J.&quot;,&quot;parse-names&quot;:false,&quot;dropping-particle&quot;:&quot;&quot;,&quot;non-dropping-particle&quot;:&quot;&quot;},{&quot;family&quot;:&quot;Flaherty&quot;,&quot;given&quot;:&quot;Keith T.&quot;,&quot;parse-names&quot;:false,&quot;dropping-particle&quot;:&quot;&quot;,&quot;non-dropping-particle&quot;:&quot;&quot;},{&quot;family&quot;:&quot;Frederick&quot;,&quot;given&quot;:&quot;Dennie T.&quot;,&quot;parse-names&quot;:false,&quot;dropping-particle&quot;:&quot;&quot;,&quot;non-dropping-particle&quot;:&quot;&quot;},{&quot;family&quot;:&quot;Jané-Valbuena&quot;,&quot;given&quot;:&quot;Judit&quot;,&quot;parse-names&quot;:false,&quot;dropping-particle&quot;:&quot;&quot;,&quot;non-dropping-particle&quot;:&quot;&quot;},{&quot;family&quot;:&quot;Yoon&quot;,&quot;given&quot;:&quot;Charles H.&quot;,&quot;parse-names&quot;:false,&quot;dropping-particle&quot;:&quot;&quot;,&quot;non-dropping-particle&quot;:&quot;&quot;},{&quot;family&quot;:&quot;Rozenblatt-Rosen&quot;,&quot;given&quot;:&quot;Orit&quot;,&quot;parse-names&quot;:false,&quot;dropping-particle&quot;:&quot;&quot;,&quot;non-dropping-particle&quot;:&quot;&quot;},{&quot;family&quot;:&quot;Shalek&quot;,&quot;given&quot;:&quot;Alex K.&quot;,&quot;parse-names&quot;:false,&quot;dropping-particle&quot;:&quot;&quot;,&quot;non-dropping-particle&quot;:&quot;&quot;},{&quot;family&quot;:&quot;Regev&quot;,&quot;given&quot;:&quot;Aviv&quot;,&quot;parse-names&quot;:false,&quot;dropping-particle&quot;:&quot;&quot;,&quot;non-dropping-particle&quot;:&quot;&quot;},{&quot;family&quot;:&quot;Garraway&quot;,&quot;given&quot;:&quot;Levi A.&quot;,&quot;parse-names&quot;:false,&quot;dropping-particle&quot;:&quot;&quot;,&quot;non-dropping-particle&quot;:&quot;&quot;}],&quot;container-title&quot;:&quot;Science (New York, N.Y.)&quot;,&quot;container-title-short&quot;:&quot;Science&quot;,&quot;accessed&quot;:{&quot;date-parts&quot;:[[2022,8,2]]},&quot;DOI&quot;:&quot;10.1126/SCIENCE.AAD0501&quot;,&quot;ISSN&quot;:&quot;1095-9203&quot;,&quot;PMID&quot;:&quot;27124452&quot;,&quot;URL&quot;:&quot;https://pubmed.ncbi.nlm.nih.gov/27124452/&quot;,&quot;issued&quot;:{&quot;date-parts&quot;:[[2016,4,8]]},&quot;page&quot;:&quot;189-196&quot;,&quot;abstract&quot;:&quot;To explore the distinct genotypic and phenotypic states of melanoma tumors, we applied single-cell RNA sequencing (RNA-seq) to 4645 single cells isolated from 19 patients, profiling malignant, immune, stromal, and endothelial cells. Malignant cells within the same tumor displayed transcriptional heterogeneity associated with the cell cycle, spatial context, and a drug-resistance program. In particular, all tumors harbored malignant cells from two distinct transcriptional cell states, such that tumors characterized by high levels of the MITF transcription factor also contained cells with low MITF and elevated levels of the AXL kinase. Single-cell analyses suggested distinct tumor microenvironmental patterns, including cell-to-cell interactions. Analysis of tumor-infiltrating T cells revealed exhaustion programs, their connection to Tcell activation and clonal expansion, and their variability across patients. Overall, we begin to unravel the cellular ecosystem of tumors and how single-cell genomics offers insights with implications for both targeted and immune therapies.&quot;,&quot;publisher&quot;:&quot;Science&quot;,&quot;issue&quot;:&quot;6282&quot;,&quot;volume&quot;:&quot;352&quot;},&quot;isTemporary&quot;:false}]},{&quot;citationID&quot;:&quot;MENDELEY_CITATION_3d226644-2944-471c-83d3-931488b5615b&quot;,&quot;properties&quot;:{&quot;noteIndex&quot;:0},&quot;isEdited&quot;:false,&quot;manualOverride&quot;:{&quot;isManuallyOverridden&quot;:false,&quot;citeprocText&quot;:&quot;(5)&quot;,&quot;manualOverrideText&quot;:&quot;&quot;},&quot;citationTag&quot;:&quot;MENDELEY_CITATION_v3_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&quot;,&quot;citationItems&quot;:[{&quot;id&quot;:&quot;4449a2c0-6e87-3419-b624-a09f1c78813c&quot;,&quot;itemData&quot;:{&quot;type&quot;:&quot;article-journal&quot;,&quot;id&quot;:&quot;4449a2c0-6e87-3419-b624-a09f1c78813c&quot;,&quot;title&quot;:&quot;Defining the molecular basis of oncogenic cooperation between TAL1 expression and Pten deletion in T-ALL using a novel pro-T-cell model system.&quot;,&quot;author&quot;:[{&quot;family&quot;:&quot;Bornschein&quot;,&quot;given&quot;:&quot;S&quot;,&quot;parse-names&quot;:false,&quot;dropping-particle&quot;:&quot;&quot;,&quot;non-dropping-particle&quot;:&quot;&quot;},{&quot;family&quot;:&quot;Demeyer&quot;,&quot;given&quot;:&quot;S&quot;,&quot;parse-names&quot;:false,&quot;dropping-particle&quot;:&quot;&quot;,&quot;non-dropping-particle&quot;:&quot;&quot;},{&quot;family&quot;:&quot;Stirparo&quot;,&quot;given&quot;:&quot;R&quot;,&quot;parse-names&quot;:false,&quot;dropping-particle&quot;:&quot;&quot;,&quot;non-dropping-particle&quot;:&quot;&quot;},{&quot;family&quot;:&quot;Gielen&quot;,&quot;given&quot;:&quot;O&quot;,&quot;parse-names&quot;:false,&quot;dropping-particle&quot;:&quot;&quot;,&quot;non-dropping-particle&quot;:&quot;&quot;},{&quot;family&quot;:&quot;Vicente&quot;,&quot;given&quot;:&quot;C&quot;,&quot;parse-names&quot;:false,&quot;dropping-particle&quot;:&quot;&quot;,&quot;non-dropping-particle&quot;:&quot;&quot;},{&quot;family&quot;:&quot;Geerdens&quot;,&quot;given&quot;:&quot;E&quot;,&quot;parse-names&quot;:false,&quot;dropping-particle&quot;:&quot;&quot;,&quot;non-dropping-particle&quot;:&quot;&quot;},{&quot;family&quot;:&quot;Ghesquière&quot;,&quot;given&quot;:&quot;B&quot;,&quot;parse-names&quot;:false,&quot;dropping-particle&quot;:&quot;&quot;,&quot;non-dropping-particle&quot;:&quot;&quot;},{&quot;family&quot;:&quot;Aerts&quot;,&quot;given&quot;:&quot;S&quot;,&quot;parse-names&quot;:false,&quot;dropping-particle&quot;:&quot;&quot;,&quot;non-dropping-particle&quot;:&quot;&quot;},{&quot;family&quot;:&quot;Cools&quot;,&quot;given&quot;:&quot;J&quot;,&quot;parse-names&quot;:false,&quot;dropping-particle&quot;:&quot;&quot;,&quot;non-dropping-particle&quot;:&quot;&quot;},{&quot;family&quot;:&quot;Bock&quot;,&quot;given&quot;:&quot;C E&quot;,&quot;parse-names&quot;:false,&quot;dropping-particle&quot;:&quot;&quot;,&quot;non-dropping-particle&quot;:&quot;de&quot;}],&quot;container-title&quot;:&quot;Leukemia&quot;,&quot;container-title-short&quot;:&quot;Leukemia&quot;,&quot;accessed&quot;:{&quot;date-parts&quot;:[[2019,10,28]]},&quot;DOI&quot;:&quot;10.1038/leu.2017.328&quot;,&quot;ISSN&quot;:&quot;1476-5551&quot;,&quot;PMID&quot;:&quot;29151585&quot;,&quot;URL&quot;:&quot;http://www.ncbi.nlm.nih.gov/pubmed/29151585&quot;,&quot;issued&quot;:{&quot;date-parts&quot;:[[2018]]},&quot;page&quot;:&quot;941-951&quot;,&quot;abstract&quot;:&quot;T-cell acute lymphoblastic leukemia (T-ALL) is caused by the accumulation of multiple mutations combined with the ectopic expression of transcription factors in developing T cells. However, the molecular basis underlying cooperation between transcription factor expression and additional oncogenic mutations in driving T-ALL has been difficult to assess due to limited robust T-cell model systems. Here we utilize a new ex vivo pro-T-cell model to study oncogenic cooperation. Using a systems biological approach we first dissect the pro-T-cell signaling network driven by interleukin-7, stem cell factor and Notch1 and identify key downstream Akt, Stat, E2f and Myc genetic signaling networks. Next, this pro-T-cell system was used to demonstrate that ectopic expression of the TAL1 transcription factor and Pten deletion are bona-fide cooperating events resulting in an increased stem cell signature, upregulation of a specific E2f signaling network and metabolic reprogramming with higher influx of glucose carbons into the tricarboxylic acid cycle. This ex vivo pro-T-cell system thereby provides a powerful new model system to investigate how normal T-cell signaling networks are perturbed and/or hijacked by different oncogenic events found in T-ALL.&quot;,&quot;issue&quot;:&quot;4&quot;,&quot;volume&quot;:&quot;32&quot;},&quot;isTemporary&quot;:false}]},{&quot;citationID&quot;:&quot;MENDELEY_CITATION_97459f04-626c-4e47-8924-61b74656b75a&quot;,&quot;properties&quot;:{&quot;noteIndex&quot;:0},&quot;isEdited&quot;:false,&quot;manualOverride&quot;:{&quot;isManuallyOverridden&quot;:false,&quot;citeprocText&quot;:&quot;(6)&quot;,&quot;manualOverrideText&quot;:&quot;&quot;},&quot;citationTag&quot;:&quot;MENDELEY_CITATION_v3_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&quot;,&quot;citationItems&quot;:[{&quot;id&quot;:&quot;9de656c1-c185-39c3-bda6-9ead3ebc6078&quot;,&quot;itemData&quot;:{&quot;type&quot;:&quot;article-journal&quot;,&quot;id&quot;:&quot;9de656c1-c185-39c3-bda6-9ead3ebc6078&quot;,&quot;title&quot;:&quot;WebGestalt 2019: gene set analysis toolkit with revamped UIs and APIs&quot;,&quot;author&quot;:[{&quot;family&quot;:&quot;Liao&quot;,&quot;given&quot;:&quot;Yuxing&quot;,&quot;parse-names&quot;:false,&quot;dropping-particle&quot;:&quot;&quot;,&quot;non-dropping-particle&quot;:&quot;&quot;},{&quot;family&quot;:&quot;Wang&quot;,&quot;given&quot;:&quot;Jing&quot;,&quot;parse-names&quot;:false,&quot;dropping-particle&quot;:&quot;&quot;,&quot;non-dropping-particle&quot;:&quot;&quot;},{&quot;family&quot;:&quot;Jaehnig&quot;,&quot;given&quot;:&quot;Eric J&quot;,&quot;parse-names&quot;:false,&quot;dropping-particle&quot;:&quot;&quot;,&quot;non-dropping-particle&quot;:&quot;&quot;},{&quot;family&quot;:&quot;Shi&quot;,&quot;given&quot;:&quot;Zhiao&quot;,&quot;parse-names&quot;:false,&quot;dropping-particle&quot;:&quot;&quot;,&quot;non-dropping-particle&quot;:&quot;&quot;},{&quot;family&quot;:&quot;Zhang&quot;,&quot;given&quot;:&quot;Bing&quot;,&quot;parse-names&quot;:false,&quot;dropping-particle&quot;:&quot;&quot;,&quot;non-dropping-particle&quot;:&quot;&quot;}],&quot;container-title&quot;:&quot;Nucleic Acids Research&quot;,&quot;accessed&quot;:{&quot;date-parts&quot;:[[2022,8,2]]},&quot;DOI&quot;:&quot;10.1093/nar/gkz401&quot;,&quot;ISSN&quot;:&quot;0305-1048&quot;,&quot;URL&quot;:&quot;https://academic.oup.com/nar/article/47/W1/W199/5494758&quot;,&quot;issued&quot;:{&quot;date-parts&quot;:[[2019,7,2]]},&quot;page&quot;:&quot;W199-W205&quot;,&quot;abstract&quot;:&quot;&lt;p&gt;WebGestalt is a popular tool for the interpretation of gene lists derived from large scale -omics studies. In the 2019 update, WebGestalt supports 12 organisms, 342 gene identifiers and 155 175 functional categories, as well as user-uploaded functional databases. To address the growing and unique need for phosphoproteomics data interpretation, we have implemented phosphosite set analysis to identify important kinases from phosphoproteomics data. We have completely redesigned result visualizations and user interfaces to improve user-friendliness and to provide multiple types of interactive and publication-ready figures. To facilitate comprehension of the enrichment results, we have implemented two methods to reduce redundancy between enriched gene sets. We introduced a web API for other applications to get data programmatically from the WebGestalt server or pass data to WebGestalt for analysis. We also wrapped the core computation into an R package called WebGestaltR for users to perform analysis locally or in third party workflows. WebGestalt can be freely accessed at http://www.webgestalt.org.&lt;/p&gt;&quot;,&quot;publisher&quot;:&quot;Oxford Academic&quot;,&quot;issue&quot;:&quot;W1&quot;,&quot;volume&quot;:&quot;47&quot;,&quot;container-title-short&quot;:&quot;Nucleic Acids Res&quot;},&quot;isTemporary&quot;:false}]},{&quot;citationID&quot;:&quot;MENDELEY_CITATION_7b4cce81-f943-4c1f-b016-00aeb093f440&quot;,&quot;properties&quot;:{&quot;noteIndex&quot;:0},&quot;isEdited&quot;:false,&quot;manualOverride&quot;:{&quot;isManuallyOverridden&quot;:false,&quot;citeprocText&quot;:&quot;(7,8)&quot;,&quot;manualOverrideText&quot;:&quot;&quot;},&quot;citationTag&quot;:&quot;MENDELEY_CITATION_v3_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&quot;,&quot;citationItems&quot;:[{&quot;id&quot;:&quot;9bcbd011-67d6-3be0-8034-0e05fdd915a4&quot;,&quot;itemData&quot;:{&quot;type&quot;:&quot;article-journal&quot;,&quot;id&quot;:&quot;9bcbd011-67d6-3be0-8034-0e05fdd915a4&quot;,&quot;title&quot;:&quot;PGC-1α-responsive genes involved in oxidative phosphorylation are coordinately downregulated in human diabetes&quot;,&quot;author&quot;:[{&quot;family&quot;:&quot;Mootha&quot;,&quot;given&quot;:&quot;Vamsi K&quot;,&quot;parse-names&quot;:false,&quot;dropping-particle&quot;:&quot;&quot;,&quot;non-dropping-particle&quot;:&quot;&quot;},{&quot;family&quot;:&quot;Lindgren&quot;,&quot;given&quot;:&quot;Cecilia M&quot;,&quot;parse-names&quot;:false,&quot;dropping-particle&quot;:&quot;&quot;,&quot;non-dropping-particle&quot;:&quot;&quot;},{&quot;family&quot;:&quot;Eriksson&quot;,&quot;given&quot;:&quot;Karl-Fredrik&quot;,&quot;parse-names&quot;:false,&quot;dropping-particle&quot;:&quot;&quot;,&quot;non-dropping-particle&quot;:&quot;&quot;},{&quot;family&quot;:&quot;Subramanian&quot;,&quot;given&quot;:&quot;Aravind&quot;,&quot;parse-names&quot;:false,&quot;dropping-particle&quot;:&quot;&quot;,&quot;non-dropping-particle&quot;:&quot;&quot;},{&quot;family&quot;:&quot;Sihag&quot;,&quot;given&quot;:&quot;Smita&quot;,&quot;parse-names&quot;:false,&quot;dropping-particle&quot;:&quot;&quot;,&quot;non-dropping-particle&quot;:&quot;&quot;},{&quot;family&quot;:&quot;Lehar&quot;,&quot;given&quot;:&quot;Joseph&quot;,&quot;parse-names&quot;:false,&quot;dropping-particle&quot;:&quot;&quot;,&quot;non-dropping-particle&quot;:&quot;&quot;},{&quot;family&quot;:&quot;Puigserver&quot;,&quot;given&quot;:&quot;Pere&quot;,&quot;parse-names&quot;:false,&quot;dropping-particle&quot;:&quot;&quot;,&quot;non-dropping-particle&quot;:&quot;&quot;},{&quot;family&quot;:&quot;Carlsson&quot;,&quot;given&quot;:&quot;Emma&quot;,&quot;parse-names&quot;:false,&quot;dropping-particle&quot;:&quot;&quot;,&quot;non-dropping-particle&quot;:&quot;&quot;},{&quot;family&quot;:&quot;Ridderstråle&quot;,&quot;given&quot;:&quot;Martin&quot;,&quot;parse-names&quot;:false,&quot;dropping-particle&quot;:&quot;&quot;,&quot;non-dropping-particle&quot;:&quot;&quot;},{&quot;family&quot;:&quot;Laurila&quot;,&quot;given&quot;:&quot;Esa&quot;,&quot;parse-names&quot;:false,&quot;dropping-particle&quot;:&quot;&quot;,&quot;non-dropping-particle&quot;:&quot;&quot;},{&quot;family&quot;:&quot;Houstis&quot;,&quot;given&quot;:&quot;Nicholas&quot;,&quot;parse-names&quot;:false,&quot;dropping-particle&quot;:&quot;&quot;,&quot;non-dropping-particle&quot;:&quot;&quot;},{&quot;family&quot;:&quot;Daly&quot;,&quot;given&quot;:&quot;Mark J&quot;,&quot;parse-names&quot;:false,&quot;dropping-particle&quot;:&quot;&quot;,&quot;non-dropping-particle&quot;:&quot;&quot;},{&quot;family&quot;:&quot;Patterson&quot;,&quot;given&quot;:&quot;Nick&quot;,&quot;parse-names&quot;:false,&quot;dropping-particle&quot;:&quot;&quot;,&quot;non-dropping-particle&quot;:&quot;&quot;},{&quot;family&quot;:&quot;Mesirov&quot;,&quot;given&quot;:&quot;Jill P&quot;,&quot;parse-names&quot;:false,&quot;dropping-particle&quot;:&quot;&quot;,&quot;non-dropping-particle&quot;:&quot;&quot;},{&quot;family&quot;:&quot;Golub&quot;,&quot;given&quot;:&quot;Todd R&quot;,&quot;parse-names&quot;:false,&quot;dropping-particle&quot;:&quot;&quot;,&quot;non-dropping-particle&quot;:&quot;&quot;},{&quot;family&quot;:&quot;Tamayo&quot;,&quot;given&quot;:&quot;Pablo&quot;,&quot;parse-names&quot;:false,&quot;dropping-particle&quot;:&quot;&quot;,&quot;non-dropping-particle&quot;:&quot;&quot;},{&quot;family&quot;:&quot;Spiegelman&quot;,&quot;given&quot;:&quot;Bruce&quot;,&quot;parse-names&quot;:false,&quot;dropping-particle&quot;:&quot;&quot;,&quot;non-dropping-particle&quot;:&quot;&quot;},{&quot;family&quot;:&quot;Lander&quot;,&quot;given&quot;:&quot;Eric S&quot;,&quot;parse-names&quot;:false,&quot;dropping-particle&quot;:&quot;&quot;,&quot;non-dropping-particle&quot;:&quot;&quot;},{&quot;family&quot;:&quot;Hirschhorn&quot;,&quot;given&quot;:&quot;Joel N&quot;,&quot;parse-names&quot;:false,&quot;dropping-particle&quot;:&quot;&quot;,&quot;non-dropping-particle&quot;:&quot;&quot;},{&quot;family&quot;:&quot;Altshuler&quot;,&quot;given&quot;:&quot;David&quot;,&quot;parse-names&quot;:false,&quot;dropping-particle&quot;:&quot;&quot;,&quot;non-dropping-particle&quot;:&quot;&quot;},{&quot;family&quot;:&quot;Groop&quot;,&quot;given&quot;:&quot;Leif C&quot;,&quot;parse-names&quot;:false,&quot;dropping-particle&quot;:&quot;&quot;,&quot;non-dropping-particle&quot;:&quot;&quot;}],&quot;container-title&quot;:&quot;Nature Genetics&quot;,&quot;accessed&quot;:{&quot;date-parts&quot;:[[2022,8,2]]},&quot;DOI&quot;:&quot;10.1038/ng1180&quot;,&quot;ISSN&quot;:&quot;1061-4036&quot;,&quot;URL&quot;:&quot;http://www.nature.com/articles/ng1180&quot;,&quot;issued&quot;:{&quot;date-parts&quot;:[[2003,7,15]]},&quot;page&quot;:&quot;267-273&quot;,&quot;abstract&quot;:&quot;DNA microarrays can be used to identify gene expression changes characteristic of human disease. This is challenging, however, when relevant differences are subtle at the level of individual genes. We introduce an analytical strategy, Gene Set Enrichment Analysis, designed to detect modest but coordinate changes in the expression of groups of functionally related genes. Using this approach, we identify a set of genes involved in oxidative phosphorylation whose expression is coordinately decreased in human diabetic muscle. Expression of these genes is high at sites of insulin-mediated glucose disposal, activated by PGC-1α and correlated with total-body aerobic capacity. Our results associate this gene set with clinically important variation in human metabolism and illustrate the value of pathway relationships in the analysis of genomic profiling experiments.&quot;,&quot;publisher&quot;:&quot;Nature Publishing Group&quot;,&quot;issue&quot;:&quot;3&quot;,&quot;volume&quot;:&quot;34&quot;,&quot;container-title-short&quot;:&quot;Nat Genet&quot;},&quot;isTemporary&quot;:false},{&quot;id&quot;:&quot;dcc6d67c-6de6-3c93-9c1d-bc8c2c27ffd5&quot;,&quot;itemData&quot;:{&quot;type&quot;:&quot;article-journal&quot;,&quot;id&quot;:&quot;dcc6d67c-6de6-3c93-9c1d-bc8c2c27ffd5&quot;,&quot;title&quot;:&quot;Gene set enrichment analysis: A knowledge-based approach for interpreting genome-wide expression profiles&quot;,&quot;author&quot;:[{&quot;family&quot;:&quot;Subramanian&quot;,&quot;given&quot;:&quot;Aravind&quot;,&quot;parse-names&quot;:false,&quot;dropping-particle&quot;:&quot;&quot;,&quot;non-dropping-particle&quot;:&quot;&quot;},{&quot;family&quot;:&quot;Tamayo&quot;,&quot;given&quot;:&quot;Pablo&quot;,&quot;parse-names&quot;:false,&quot;dropping-particle&quot;:&quot;&quot;,&quot;non-dropping-particle&quot;:&quot;&quot;},{&quot;family&quot;:&quot;Mootha&quot;,&quot;given&quot;:&quot;Vamsi K.&quot;,&quot;parse-names&quot;:false,&quot;dropping-particle&quot;:&quot;&quot;,&quot;non-dropping-particle&quot;:&quot;&quot;},{&quot;family&quot;:&quot;Mukherjee&quot;,&quot;given&quot;:&quot;Sayan&quot;,&quot;parse-names&quot;:false,&quot;dropping-particle&quot;:&quot;&quot;,&quot;non-dropping-particle&quot;:&quot;&quot;},{&quot;family&quot;:&quot;Ebert&quot;,&quot;given&quot;:&quot;Benjamin L.&quot;,&quot;parse-names&quot;:false,&quot;dropping-particle&quot;:&quot;&quot;,&quot;non-dropping-particle&quot;:&quot;&quot;},{&quot;family&quot;:&quot;Gillette&quot;,&quot;given&quot;:&quot;Michael A.&quot;,&quot;parse-names&quot;:false,&quot;dropping-particle&quot;:&quot;&quot;,&quot;non-dropping-particle&quot;:&quot;&quot;},{&quot;family&quot;:&quot;Paulovich&quot;,&quot;given&quot;:&quot;Amanda&quot;,&quot;parse-names&quot;:false,&quot;dropping-particle&quot;:&quot;&quot;,&quot;non-dropping-particle&quot;:&quot;&quot;},{&quot;family&quot;:&quot;Pomeroy&quot;,&quot;given&quot;:&quot;Scott L.&quot;,&quot;parse-names&quot;:false,&quot;dropping-particle&quot;:&quot;&quot;,&quot;non-dropping-particle&quot;:&quot;&quot;},{&quot;family&quot;:&quot;Golub&quot;,&quot;given&quot;:&quot;Todd R.&quot;,&quot;parse-names&quot;:false,&quot;dropping-particle&quot;:&quot;&quot;,&quot;non-dropping-particle&quot;:&quot;&quot;},{&quot;family&quot;:&quot;Lander&quot;,&quot;given&quot;:&quot;Eric S.&quot;,&quot;parse-names&quot;:false,&quot;dropping-particle&quot;:&quot;&quot;,&quot;non-dropping-particle&quot;:&quot;&quot;},{&quot;family&quot;:&quot;Mesirov&quot;,&quot;given&quot;:&quot;Jill P.&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2,8,2]]},&quot;DOI&quot;:&quot;10.1073/PNAS.0506580102/SUPPL_FILE/06580FIG7.JPG&quot;,&quot;ISSN&quot;:&quot;00278424&quot;,&quot;PMID&quot;:&quot;16199517&quot;,&quot;URL&quot;:&quot;https://www.pnas.org/doi/abs/10.1073/pnas.0506580102&quot;,&quot;issued&quot;:{&quot;date-parts&quot;:[[2005,10,25]]},&quot;page&quot;:&quot;15545-15550&quot;,&quot;abstract&quot;:&quo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 © 2005 by The National Academy of Sciences of the USA.&quot;,&quot;publisher&quot;:&quot;Proceedings of the National Academy of Sciences&quot;,&quot;issue&quot;:&quot;43&quot;,&quot;volume&quot;:&quot;102&quot;},&quot;isTemporary&quot;:false}]},{&quot;citationID&quot;:&quot;MENDELEY_CITATION_63707b27-335e-4fe8-bfde-8b7bd5d78c2c&quot;,&quot;properties&quot;:{&quot;noteIndex&quot;:0},&quot;isEdited&quot;:false,&quot;manualOverride&quot;:{&quot;isManuallyOverridden&quot;:false,&quot;citeprocText&quot;:&quot;(9)&quot;,&quot;manualOverrideText&quot;:&quot;&quot;},&quot;citationTag&quot;:&quot;MENDELEY_CITATION_v3_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&quot;,&quot;citationItems&quot;:[{&quot;id&quot;:&quot;370c1244-3152-3a1c-af51-777b0ec86cfd&quot;,&quot;itemData&quot;:{&quot;type&quot;:&quot;article-journal&quot;,&quot;id&quot;:&quot;370c1244-3152-3a1c-af51-777b0ec86cfd&quot;,&quot;title&quot;:&quot;i-cisTarget 2015 update: generalized cis-regulatory enrichment analysis in human, mouse and fly&quot;,&quot;author&quot;:[{&quot;family&quot;:&quot;Imrichová&quot;,&quot;given&quot;:&quot;Hana&quot;,&quot;parse-names&quot;:false,&quot;dropping-particle&quot;:&quot;&quot;,&quot;non-dropping-particle&quot;:&quot;&quot;},{&quot;family&quot;:&quot;Hulselmans&quot;,&quot;given&quot;:&quot;Gert&quot;,&quot;parse-names&quot;:false,&quot;dropping-particle&quot;:&quot;&quot;,&quot;non-dropping-particle&quot;:&quot;&quot;},{&quot;family&quot;:&quot;Atak&quot;,&quot;given&quot;:&quot;Zeynep Kalender&quot;,&quot;parse-names&quot;:false,&quot;dropping-particle&quot;:&quot;&quot;,&quot;non-dropping-particle&quot;:&quot;&quot;},{&quot;family&quot;:&quot;Potier&quot;,&quot;given&quot;:&quot;Delphine&quot;,&quot;parse-names&quot;:false,&quot;dropping-particle&quot;:&quot;&quot;,&quot;non-dropping-particle&quot;:&quot;&quot;},{&quot;family&quot;:&quot;Aerts&quot;,&quot;given&quot;:&quot;Stein&quot;,&quot;parse-names&quot;:false,&quot;dropping-particle&quot;:&quot;&quot;,&quot;non-dropping-particle&quot;:&quot;&quot;}],&quot;container-title&quot;:&quot;Nucleic Acids Research&quot;,&quot;accessed&quot;:{&quot;date-parts&quot;:[[2022,7,18]]},&quot;DOI&quot;:&quot;10.1093/NAR/GKV395&quot;,&quot;ISSN&quot;:&quot;0305-1048&quot;,&quot;PMID&quot;:&quot;25925574&quot;,&quot;URL&quot;:&quot;https://academic.oup.com/nar/article/43/W1/W57/2467895&quot;,&quot;issued&quot;:{&quot;date-parts&quot;:[[2015,7,1]]},&quot;page&quot;:&quot;W57-W64&quot;,&quot;abstract&quot;:&quot;i-cisTarget is a web tool to predict regulators of a set of genomic regions, such as ChIP-seq peaks or co-regulated/similar enhancers. i-cisTarget can also be used to identify upstream regulators and their target enhancers starting from a set of co-expressed genes. Whereas the original version of i-cisTarget was focused on Drosophila data, the 2015 update also provides support for human and mouse data. i-cisTarget detects transcription factor motifs (position weight matrices) and experimental data tracks (e.g. from ENCODE, Roadmap Epigenomics) that are enriched in the input set of regions. As experimental data tracks we include transcription factor ChIP-seq data, histone modification ChIP-seq data and open chromatin data. The underlying processing method is based on a ranking-and-recovery procedure, allowing accurate determination of enrichment across heterogeneous datasets, while also discriminating direct from indirect target regions through a 'leading edge' analysis. We illustrate i-cisTarget on various Ewing sarcoma datasets to identify EWS-FLI1 targets starting from ChIP-seq, differential ATACseq, differential H3K27ac and differential gene expression data. Use of i-cisTarget is free and open to all, and there is no login requirement. Address: http://gbiomed.kuleuven.be/apps/lcb/i-cisTarget.&quot;,&quot;publisher&quot;:&quot;Oxford Academic&quot;,&quot;issue&quot;:&quot;W1&quot;,&quot;volume&quot;:&quot;43&quot;,&quot;container-title-short&quot;:&quot;Nucleic Acids Res&quot;},&quot;isTemporar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2A810-C86E-9D42-A866-18812A731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Meyers</dc:creator>
  <cp:keywords/>
  <dc:description/>
  <cp:lastModifiedBy>Sarah Meyers</cp:lastModifiedBy>
  <cp:revision>4</cp:revision>
  <dcterms:created xsi:type="dcterms:W3CDTF">2023-02-16T14:26:00Z</dcterms:created>
  <dcterms:modified xsi:type="dcterms:W3CDTF">2023-02-22T09:42:00Z</dcterms:modified>
</cp:coreProperties>
</file>