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375" w:rsidRPr="00264375" w:rsidRDefault="00264375" w:rsidP="00264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en-US"/>
        </w:rPr>
      </w:pPr>
      <w:r w:rsidRPr="00264375">
        <w:rPr>
          <w:rFonts w:ascii="Times New Roman" w:eastAsia="Times New Roman" w:hAnsi="Times New Roman" w:cs="Times New Roman"/>
          <w:sz w:val="24"/>
          <w:szCs w:val="20"/>
          <w:lang w:val="en-US"/>
        </w:rPr>
        <w:t>TABLES</w:t>
      </w:r>
      <w:bookmarkStart w:id="0" w:name="_GoBack"/>
      <w:bookmarkEnd w:id="0"/>
    </w:p>
    <w:p w:rsidR="00264375" w:rsidRPr="00264375" w:rsidRDefault="00264375" w:rsidP="00264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  <w:lang w:val="en-US"/>
        </w:rPr>
      </w:pPr>
      <w:r w:rsidRPr="00264375">
        <w:rPr>
          <w:rFonts w:ascii="Times New Roman" w:eastAsia="Calibri" w:hAnsi="Times New Roman" w:cs="Times New Roman"/>
          <w:b/>
          <w:szCs w:val="20"/>
          <w:lang w:val="zh-CN"/>
        </w:rPr>
        <w:t xml:space="preserve">Table </w:t>
      </w:r>
      <w:r w:rsidRPr="00264375">
        <w:rPr>
          <w:rFonts w:ascii="Times New Roman" w:eastAsia="Calibri" w:hAnsi="Times New Roman" w:cs="Times New Roman"/>
          <w:b/>
          <w:szCs w:val="20"/>
          <w:lang w:val="en-US"/>
        </w:rPr>
        <w:t>1</w:t>
      </w:r>
      <w:r w:rsidRPr="00264375">
        <w:rPr>
          <w:rFonts w:ascii="Times New Roman" w:eastAsia="Calibri" w:hAnsi="Times New Roman" w:cs="Times New Roman"/>
          <w:b/>
          <w:szCs w:val="20"/>
          <w:lang w:val="zh-CN"/>
        </w:rPr>
        <w:t xml:space="preserve">. </w:t>
      </w:r>
      <w:proofErr w:type="gramStart"/>
      <w:r w:rsidRPr="00264375">
        <w:rPr>
          <w:rFonts w:ascii="Times New Roman" w:eastAsia="Calibri" w:hAnsi="Times New Roman" w:cs="Times New Roman"/>
          <w:b/>
          <w:szCs w:val="20"/>
          <w:lang w:val="en-US"/>
        </w:rPr>
        <w:t xml:space="preserve">Drawbacks and Benefits on the use of synthetic and </w:t>
      </w:r>
      <w:proofErr w:type="spellStart"/>
      <w:r w:rsidRPr="00264375">
        <w:rPr>
          <w:rFonts w:ascii="Times New Roman" w:eastAsia="Calibri" w:hAnsi="Times New Roman" w:cs="Times New Roman"/>
          <w:b/>
          <w:szCs w:val="20"/>
          <w:lang w:val="en-US"/>
        </w:rPr>
        <w:t>nano</w:t>
      </w:r>
      <w:proofErr w:type="spellEnd"/>
      <w:r w:rsidRPr="00264375">
        <w:rPr>
          <w:rFonts w:ascii="Times New Roman" w:eastAsia="Calibri" w:hAnsi="Times New Roman" w:cs="Times New Roman"/>
          <w:b/>
          <w:szCs w:val="20"/>
          <w:lang w:val="en-US"/>
        </w:rPr>
        <w:t>-medicines</w:t>
      </w:r>
      <w:r w:rsidRPr="00264375">
        <w:rPr>
          <w:rFonts w:ascii="Times New Roman" w:eastAsia="Calibri" w:hAnsi="Times New Roman" w:cs="Times New Roman"/>
          <w:b/>
          <w:szCs w:val="20"/>
          <w:lang w:val="zh-CN"/>
        </w:rPr>
        <w:t xml:space="preserve"> on uterine fibroid</w:t>
      </w:r>
      <w:r w:rsidRPr="00264375">
        <w:rPr>
          <w:rFonts w:ascii="Times New Roman" w:eastAsia="Calibri" w:hAnsi="Times New Roman" w:cs="Times New Roman"/>
          <w:b/>
          <w:szCs w:val="20"/>
          <w:lang w:val="en-US"/>
        </w:rPr>
        <w:t>.</w:t>
      </w:r>
      <w:proofErr w:type="gramEnd"/>
    </w:p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  <w:lang w:val="en-US"/>
        </w:rPr>
      </w:pPr>
      <w:r w:rsidRPr="00264375">
        <w:rPr>
          <w:rFonts w:ascii="Calibri" w:eastAsia="Calibri" w:hAnsi="Calibri" w:cs="Calibri"/>
          <w:szCs w:val="20"/>
          <w:lang w:val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89.25pt;margin-top:.95pt;width:311.95pt;height:24.3pt;z-index:251663360" o:gfxdata="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" filled="f" stroked="f">
            <v:textbox>
              <w:txbxContent>
                <w:p w:rsidR="00264375" w:rsidRDefault="00264375" w:rsidP="0026437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SYNTHETIC DRUGS</w:t>
                  </w:r>
                </w:p>
              </w:txbxContent>
            </v:textbox>
          </v:shape>
        </w:pict>
      </w:r>
      <w:r w:rsidRPr="00264375">
        <w:rPr>
          <w:rFonts w:ascii="Calibri" w:eastAsia="Calibri" w:hAnsi="Calibri" w:cs="Calibri"/>
          <w:szCs w:val="20"/>
          <w:lang w:val="zh-CN"/>
        </w:rPr>
        <w:pict>
          <v:rect id="_x0000_s1032" style="position:absolute;left:0;text-align:left;margin-left:-4.3pt;margin-top:.95pt;width:461.75pt;height:25.95pt;z-index:251662336" o:gfxdata="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u2LADYAAAACgEAAA8AAAAAAAAAAQAgAAAAIgAAAGRycy9kb3ducmV2LnhtbFBLAQIUABQA&#10;AAAIAIdO4kBknFqP8AEAACIEAAAOAAAAAAAAAAEAIAAAACcBAABkcnMvZTJvRG9jLnhtbFBLBQYA&#10;AAAABgAGAFkBAACJBQAAAAA=&#10;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3587"/>
        <w:gridCol w:w="3137"/>
      </w:tblGrid>
      <w:tr w:rsidR="00264375" w:rsidRPr="00264375" w:rsidTr="003A274A">
        <w:tc>
          <w:tcPr>
            <w:tcW w:w="2518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RISKS</w:t>
            </w:r>
          </w:p>
        </w:tc>
        <w:tc>
          <w:tcPr>
            <w:tcW w:w="3587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BENEFITS</w:t>
            </w:r>
          </w:p>
        </w:tc>
        <w:tc>
          <w:tcPr>
            <w:tcW w:w="3137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REFERENCES</w:t>
            </w:r>
          </w:p>
        </w:tc>
      </w:tr>
      <w:tr w:rsidR="00264375" w:rsidRPr="00264375" w:rsidTr="003A274A">
        <w:tc>
          <w:tcPr>
            <w:tcW w:w="2518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Adverse side effects</w:t>
            </w:r>
          </w:p>
        </w:tc>
        <w:tc>
          <w:tcPr>
            <w:tcW w:w="3587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Reduced fibroid size and symptom improvement</w:t>
            </w:r>
          </w:p>
        </w:tc>
        <w:tc>
          <w:tcPr>
            <w:tcW w:w="3137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proofErr w:type="spellStart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Ravasia</w:t>
            </w:r>
            <w:proofErr w:type="spellEnd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 et al. (2017) ,</w:t>
            </w:r>
            <w:proofErr w:type="spellStart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Mavrelos</w:t>
            </w:r>
            <w:proofErr w:type="spellEnd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 et al. (2018)</w:t>
            </w:r>
          </w:p>
        </w:tc>
      </w:tr>
      <w:tr w:rsidR="00264375" w:rsidRPr="00264375" w:rsidTr="003A274A">
        <w:tc>
          <w:tcPr>
            <w:tcW w:w="2518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Drug interactions</w:t>
            </w:r>
          </w:p>
        </w:tc>
        <w:tc>
          <w:tcPr>
            <w:tcW w:w="3587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Non-invasive and relatively low risk treatment option</w:t>
            </w:r>
          </w:p>
        </w:tc>
        <w:tc>
          <w:tcPr>
            <w:tcW w:w="3137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proofErr w:type="spellStart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Ravasia</w:t>
            </w:r>
            <w:proofErr w:type="spellEnd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 et al. (2017)</w:t>
            </w:r>
          </w:p>
        </w:tc>
      </w:tr>
      <w:tr w:rsidR="00264375" w:rsidRPr="00264375" w:rsidTr="003A274A">
        <w:tc>
          <w:tcPr>
            <w:tcW w:w="2518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Hormonal imbalances</w:t>
            </w:r>
          </w:p>
        </w:tc>
        <w:tc>
          <w:tcPr>
            <w:tcW w:w="3587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Reduced menstrual bleeding and improvement in quality of life</w:t>
            </w:r>
          </w:p>
        </w:tc>
        <w:tc>
          <w:tcPr>
            <w:tcW w:w="3137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proofErr w:type="spellStart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Mavrelos</w:t>
            </w:r>
            <w:proofErr w:type="spellEnd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 et al. (2018)</w:t>
            </w:r>
          </w:p>
        </w:tc>
      </w:tr>
      <w:tr w:rsidR="00264375" w:rsidRPr="00264375" w:rsidTr="003A274A">
        <w:tc>
          <w:tcPr>
            <w:tcW w:w="2518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Calibri" w:eastAsia="Calibri" w:hAnsi="Calibri" w:cs="Calibri"/>
                <w:szCs w:val="20"/>
                <w:lang w:val="zh-CN"/>
              </w:rPr>
              <w:pict>
                <v:rect id="_x0000_s1030" style="position:absolute;left:0;text-align:left;margin-left:-4.6pt;margin-top:43.45pt;width:461.65pt;height:25.95pt;z-index:251660288;mso-position-horizontal-relative:text;mso-position-vertical-relative:text" o:gfxdata="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RbsyD2AAAAAoBAAAPAAAAAAAAAAEAIAAAACIAAABkcnMvZG93bnJldi54bWxQSwECFAAU&#10;AAAACACHTuJAfoCx5PEBAAAiBAAADgAAAAAAAAABACAAAAAnAQAAZHJzL2Uyb0RvYy54bWxQSwUG&#10;AAAAAAYABgBZAQAAigUAAAAA&#10;"/>
              </w:pict>
            </w:r>
            <w:r w:rsidRPr="00264375">
              <w:rPr>
                <w:rFonts w:ascii="Calibri" w:eastAsia="Calibri" w:hAnsi="Calibri" w:cs="Calibri"/>
                <w:szCs w:val="20"/>
                <w:lang w:val="zh-CN"/>
              </w:rPr>
              <w:pict>
                <v:shape id="_x0000_s1031" type="#_x0000_t202" style="position:absolute;left:0;text-align:left;margin-left:87.45pt;margin-top:41.4pt;width:311.95pt;height:24.3pt;z-index:251661312;mso-position-horizontal-relative:text;mso-position-vertical-relative:text" o:gfxdata="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" filled="f" stroked="f">
                  <v:textbox>
                    <w:txbxContent>
                      <w:p w:rsidR="00264375" w:rsidRDefault="00264375" w:rsidP="00264375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NANOMEDICINES</w:t>
                        </w:r>
                      </w:p>
                    </w:txbxContent>
                  </v:textbox>
                </v:shape>
              </w:pict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Long-term effects</w:t>
            </w:r>
          </w:p>
        </w:tc>
        <w:tc>
          <w:tcPr>
            <w:tcW w:w="3587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Reduced need for surgical intervention</w:t>
            </w:r>
          </w:p>
        </w:tc>
        <w:tc>
          <w:tcPr>
            <w:tcW w:w="3137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proofErr w:type="spellStart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Ravasia</w:t>
            </w:r>
            <w:proofErr w:type="spellEnd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 et al. (2017)</w:t>
            </w:r>
          </w:p>
        </w:tc>
      </w:tr>
    </w:tbl>
    <w:tbl>
      <w:tblPr>
        <w:tblpPr w:leftFromText="180" w:rightFromText="180" w:vertAnchor="text" w:horzAnchor="page" w:tblpX="1444" w:tblpY="4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3515"/>
        <w:gridCol w:w="3209"/>
      </w:tblGrid>
      <w:tr w:rsidR="00264375" w:rsidRPr="00264375" w:rsidTr="003A274A">
        <w:tc>
          <w:tcPr>
            <w:tcW w:w="2518" w:type="dxa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lang w:val="en-US"/>
              </w:rPr>
            </w:pPr>
            <w:r w:rsidRPr="00264375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RISKS</w:t>
            </w:r>
          </w:p>
        </w:tc>
        <w:tc>
          <w:tcPr>
            <w:tcW w:w="3515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SimSun" w:hAnsi="Times New Roman" w:cs="Times New Roman"/>
                <w:b/>
                <w:lang w:val="en-US"/>
              </w:rPr>
            </w:pPr>
            <w:r w:rsidRPr="00264375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BENEFITS</w:t>
            </w:r>
          </w:p>
        </w:tc>
        <w:tc>
          <w:tcPr>
            <w:tcW w:w="3209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SimSun" w:hAnsi="Times New Roman" w:cs="Times New Roman"/>
                <w:b/>
                <w:lang w:val="en-US"/>
              </w:rPr>
            </w:pPr>
            <w:r w:rsidRPr="00264375">
              <w:rPr>
                <w:rFonts w:ascii="Times New Roman" w:eastAsia="Calibri" w:hAnsi="Times New Roman" w:cs="Times New Roman"/>
                <w:b/>
                <w:szCs w:val="20"/>
                <w:lang w:val="en-US"/>
              </w:rPr>
              <w:t>REFERENCES</w:t>
            </w:r>
          </w:p>
        </w:tc>
      </w:tr>
      <w:tr w:rsidR="00264375" w:rsidRPr="00264375" w:rsidTr="003A274A">
        <w:trPr>
          <w:trHeight w:val="842"/>
        </w:trPr>
        <w:tc>
          <w:tcPr>
            <w:tcW w:w="2518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Complexity of development</w:t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</w:p>
        </w:tc>
        <w:tc>
          <w:tcPr>
            <w:tcW w:w="3515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Improved targeting and specificity, leading to higher efficacy and reduced toxicity</w:t>
            </w:r>
          </w:p>
        </w:tc>
        <w:tc>
          <w:tcPr>
            <w:tcW w:w="3209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Li et al. (2017),Peer et al. (2007)</w:t>
            </w:r>
          </w:p>
        </w:tc>
      </w:tr>
      <w:tr w:rsidR="00264375" w:rsidRPr="00264375" w:rsidTr="003A274A">
        <w:tc>
          <w:tcPr>
            <w:tcW w:w="2518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High cost</w:t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</w:p>
        </w:tc>
        <w:tc>
          <w:tcPr>
            <w:tcW w:w="3515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Potential for improved drug delivery, leading to improved efficacy and reduced side effects</w:t>
            </w:r>
          </w:p>
        </w:tc>
        <w:tc>
          <w:tcPr>
            <w:tcW w:w="3209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Li et al. (2017), </w:t>
            </w:r>
            <w:proofErr w:type="spellStart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Dhar</w:t>
            </w:r>
            <w:proofErr w:type="spellEnd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 &amp; </w:t>
            </w:r>
            <w:proofErr w:type="spellStart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Labhasetwar</w:t>
            </w:r>
            <w:proofErr w:type="spellEnd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 (2015)</w:t>
            </w:r>
          </w:p>
        </w:tc>
      </w:tr>
      <w:tr w:rsidR="00264375" w:rsidRPr="00264375" w:rsidTr="003A274A">
        <w:tc>
          <w:tcPr>
            <w:tcW w:w="2518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Regulatory hurdles</w:t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</w:p>
        </w:tc>
        <w:tc>
          <w:tcPr>
            <w:tcW w:w="3515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Ability to deliver drugs to previously untreatable sites in the body</w:t>
            </w:r>
          </w:p>
        </w:tc>
        <w:tc>
          <w:tcPr>
            <w:tcW w:w="3209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Li et al. (2017), Zhang et al. (2015)</w:t>
            </w:r>
          </w:p>
        </w:tc>
      </w:tr>
      <w:tr w:rsidR="00264375" w:rsidRPr="00264375" w:rsidTr="003A274A">
        <w:trPr>
          <w:trHeight w:val="798"/>
        </w:trPr>
        <w:tc>
          <w:tcPr>
            <w:tcW w:w="2518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Immune response</w:t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</w:p>
        </w:tc>
        <w:tc>
          <w:tcPr>
            <w:tcW w:w="3515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Increased stability of drugs, leading to improved efficacy and reduced toxicity</w:t>
            </w:r>
          </w:p>
        </w:tc>
        <w:tc>
          <w:tcPr>
            <w:tcW w:w="3209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Calibri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Shi et al. (2015)</w:t>
            </w:r>
          </w:p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Calibri"/>
                <w:bCs/>
                <w:szCs w:val="20"/>
                <w:lang w:val="en-US"/>
              </w:rPr>
            </w:pPr>
          </w:p>
        </w:tc>
      </w:tr>
      <w:tr w:rsidR="00264375" w:rsidRPr="00264375" w:rsidTr="003A274A">
        <w:trPr>
          <w:trHeight w:val="330"/>
        </w:trPr>
        <w:tc>
          <w:tcPr>
            <w:tcW w:w="2518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Calibri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Targeting specificity</w:t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</w:p>
        </w:tc>
        <w:tc>
          <w:tcPr>
            <w:tcW w:w="3515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Calibri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Potential for improved diagnosis and imaging</w:t>
            </w:r>
          </w:p>
        </w:tc>
        <w:tc>
          <w:tcPr>
            <w:tcW w:w="3209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Calibri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Peer et al. (2007), </w:t>
            </w:r>
            <w:proofErr w:type="spellStart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Dhar</w:t>
            </w:r>
            <w:proofErr w:type="spellEnd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 &amp; </w:t>
            </w:r>
            <w:proofErr w:type="spellStart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Labhasetwar</w:t>
            </w:r>
            <w:proofErr w:type="spellEnd"/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 xml:space="preserve"> (2015)</w:t>
            </w:r>
          </w:p>
        </w:tc>
      </w:tr>
      <w:tr w:rsidR="00264375" w:rsidRPr="00264375" w:rsidTr="003A274A">
        <w:trPr>
          <w:trHeight w:val="180"/>
        </w:trPr>
        <w:tc>
          <w:tcPr>
            <w:tcW w:w="2518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Calibri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Lack of long-term data</w:t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ab/>
            </w:r>
          </w:p>
        </w:tc>
        <w:tc>
          <w:tcPr>
            <w:tcW w:w="3515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Calibri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Potential for new and innovative treatment options</w:t>
            </w:r>
          </w:p>
        </w:tc>
        <w:tc>
          <w:tcPr>
            <w:tcW w:w="3209" w:type="dxa"/>
          </w:tcPr>
          <w:p w:rsidR="00264375" w:rsidRPr="00264375" w:rsidRDefault="00264375" w:rsidP="00264375">
            <w:pPr>
              <w:spacing w:after="160" w:line="240" w:lineRule="auto"/>
              <w:jc w:val="both"/>
              <w:rPr>
                <w:rFonts w:ascii="Times New Roman" w:eastAsia="Calibri" w:hAnsi="Times New Roman" w:cs="Calibri"/>
                <w:bCs/>
                <w:szCs w:val="20"/>
                <w:lang w:val="en-US"/>
              </w:rPr>
            </w:pPr>
            <w:r w:rsidRPr="00264375">
              <w:rPr>
                <w:rFonts w:ascii="Times New Roman" w:eastAsia="Calibri" w:hAnsi="Times New Roman" w:cs="Calibri"/>
                <w:bCs/>
                <w:szCs w:val="20"/>
                <w:lang w:val="en-US"/>
              </w:rPr>
              <w:t>Li et al. (2017), Zhang et al. (2015)</w:t>
            </w:r>
          </w:p>
        </w:tc>
      </w:tr>
    </w:tbl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  <w:lang w:val="zh-CN"/>
        </w:rPr>
      </w:pPr>
    </w:p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  <w:lang w:val="en-US"/>
        </w:rPr>
      </w:pPr>
    </w:p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  <w:lang w:val="zh-CN"/>
        </w:rPr>
      </w:pPr>
    </w:p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</w:rPr>
      </w:pPr>
    </w:p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</w:rPr>
      </w:pPr>
    </w:p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</w:rPr>
      </w:pPr>
    </w:p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</w:rPr>
      </w:pPr>
    </w:p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</w:rPr>
      </w:pPr>
    </w:p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</w:rPr>
      </w:pPr>
      <w:r w:rsidRPr="00264375">
        <w:rPr>
          <w:rFonts w:ascii="Times New Roman" w:eastAsia="Calibri" w:hAnsi="Times New Roman" w:cs="Times New Roman"/>
          <w:b/>
          <w:szCs w:val="20"/>
          <w:lang w:val="zh-CN"/>
        </w:rPr>
        <w:lastRenderedPageBreak/>
        <w:t xml:space="preserve">Table </w:t>
      </w:r>
      <w:r w:rsidRPr="00264375">
        <w:rPr>
          <w:rFonts w:ascii="Times New Roman" w:eastAsia="Calibri" w:hAnsi="Times New Roman" w:cs="Times New Roman"/>
          <w:b/>
          <w:szCs w:val="20"/>
          <w:lang w:val="en-US"/>
        </w:rPr>
        <w:t>2</w:t>
      </w:r>
      <w:r w:rsidRPr="00264375">
        <w:rPr>
          <w:rFonts w:ascii="Times New Roman" w:eastAsia="Calibri" w:hAnsi="Times New Roman" w:cs="Times New Roman"/>
          <w:b/>
          <w:szCs w:val="20"/>
          <w:lang w:val="zh-CN"/>
        </w:rPr>
        <w:t>. Phytochemicals and their impacts and possible mechanism of action on uterine fibroid</w:t>
      </w:r>
    </w:p>
    <w:tbl>
      <w:tblPr>
        <w:tblpPr w:leftFromText="180" w:rightFromText="180" w:vertAnchor="text" w:horzAnchor="margin" w:tblpY="190"/>
        <w:tblOverlap w:val="never"/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743"/>
        <w:gridCol w:w="1919"/>
        <w:gridCol w:w="2199"/>
      </w:tblGrid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Natural Compounds</w:t>
            </w:r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Mechanism of Action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Impact on uterine fibroid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Reference</w:t>
            </w:r>
          </w:p>
        </w:tc>
      </w:tr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Curcumin</w:t>
            </w:r>
          </w:p>
          <w:p w:rsidR="00264375" w:rsidRPr="00264375" w:rsidRDefault="00264375" w:rsidP="00264375">
            <w:pPr>
              <w:spacing w:after="0" w:line="240" w:lineRule="auto"/>
              <w:ind w:left="426"/>
              <w:jc w:val="both"/>
              <w:rPr>
                <w:rFonts w:ascii="Times New Roman" w:eastAsia="Calibri" w:hAnsi="Times New Roman" w:cs="Times New Roman"/>
                <w:lang w:val="zh-CN"/>
              </w:rPr>
            </w:pPr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Induce apoptosis by activating </w:t>
            </w:r>
            <w:r w:rsidRPr="00264375">
              <w:rPr>
                <w:rFonts w:ascii="Times New Roman" w:eastAsia="Times New Roman" w:hAnsi="Times New Roman" w:cs="Times New Roman"/>
                <w:lang w:val="zh-CN"/>
              </w:rPr>
              <w:t xml:space="preserve">Caspase -3 and Caspase-9 in fibroid cells. Decrease TGF-β-mediated extracellular matrix production. Inhibits </w:t>
            </w:r>
            <w:r w:rsidRPr="00264375">
              <w:rPr>
                <w:rFonts w:ascii="Times New Roman" w:eastAsia="Calibri" w:hAnsi="Times New Roman" w:cs="Times New Roman"/>
                <w:lang w:val="zh-CN"/>
              </w:rPr>
              <w:t>of NF-κB and ERK1/2 mediated inflammation.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Increase apoptosis in fibroid cells and antiproliferative impact. 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Agrawal et al. 2003; Mukhopadhyay et al. 2002, </w:t>
            </w:r>
            <w:proofErr w:type="spellStart"/>
            <w:r w:rsidRPr="00264375">
              <w:rPr>
                <w:rFonts w:ascii="Times New Roman" w:eastAsia="Calibri" w:hAnsi="Times New Roman" w:cs="Times New Roman"/>
                <w:lang w:val="en-US"/>
              </w:rPr>
              <w:t>Malik</w:t>
            </w:r>
            <w:proofErr w:type="spellEnd"/>
            <w:r w:rsidRPr="00264375">
              <w:rPr>
                <w:rFonts w:ascii="Times New Roman" w:eastAsia="Calibri" w:hAnsi="Times New Roman" w:cs="Times New Roman"/>
                <w:lang w:val="en-US"/>
              </w:rPr>
              <w:t xml:space="preserve"> M et al. 2009, </w:t>
            </w:r>
            <w:r w:rsidRPr="00264375">
              <w:rPr>
                <w:rFonts w:ascii="Times New Roman" w:eastAsia="Calibri" w:hAnsi="Times New Roman" w:cs="Times New Roman"/>
                <w:lang w:val="zh-CN"/>
              </w:rPr>
              <w:t>Olivera et al. 2012, Lim et al. 2016,</w:t>
            </w:r>
            <w:r w:rsidRPr="00264375">
              <w:rPr>
                <w:rFonts w:ascii="Times New Roman" w:eastAsia="Times New Roman" w:hAnsi="Times New Roman" w:cs="Times New Roman"/>
                <w:lang w:val="en-US"/>
              </w:rPr>
              <w:t xml:space="preserve"> Yu et al. (2019)</w:t>
            </w:r>
          </w:p>
        </w:tc>
      </w:tr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Deoxyelephantopin</w:t>
            </w:r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Activate both extrinsic and intrinsic pathways of apoptosis. Induce ROS mediated apoptosis.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Inhibit the growth and proliferation of tumar cells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Kabeer et. al. 2017</w:t>
            </w:r>
          </w:p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proofErr w:type="spellStart"/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Mehmood</w:t>
            </w:r>
            <w:proofErr w:type="spellEnd"/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et al. 2022, </w:t>
            </w:r>
            <w:proofErr w:type="spellStart"/>
            <w:r w:rsidRPr="00264375">
              <w:rPr>
                <w:rFonts w:ascii="Times New Roman" w:eastAsia="Calibri" w:hAnsi="Times New Roman" w:cs="Times New Roman"/>
                <w:lang w:val="en-US"/>
              </w:rPr>
              <w:t>Pandey</w:t>
            </w:r>
            <w:proofErr w:type="spellEnd"/>
            <w:r w:rsidRPr="00264375">
              <w:rPr>
                <w:rFonts w:ascii="Times New Roman" w:eastAsia="Calibri" w:hAnsi="Times New Roman" w:cs="Times New Roman"/>
                <w:lang w:val="en-US"/>
              </w:rPr>
              <w:t xml:space="preserve"> V et al 2020</w:t>
            </w:r>
          </w:p>
        </w:tc>
      </w:tr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Butein</w:t>
            </w:r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Down regulating the NF-κB /PI3K/AKT </w:t>
            </w:r>
            <w:r w:rsidRPr="00264375">
              <w:rPr>
                <w:rFonts w:ascii="Times New Roman" w:eastAsia="Calibri" w:hAnsi="Times New Roman" w:cs="Times New Roman"/>
                <w:lang w:val="en-US"/>
              </w:rPr>
              <w:t>signaling</w:t>
            </w: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 pathway.</w:t>
            </w:r>
            <w:r w:rsidRPr="00264375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 xml:space="preserve"> tyrosine</w:t>
            </w:r>
            <w:r w:rsidRPr="00264375">
              <w:rPr>
                <w:rFonts w:ascii="Times New Roman" w:eastAsia="Calibri" w:hAnsi="Times New Roman" w:cs="Times New Roman"/>
                <w:shd w:val="clear" w:color="auto" w:fill="FFFFFF"/>
                <w:lang w:val="zh-CN"/>
              </w:rPr>
              <w:t> kinase suppressor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Inhibit deposition of extracellular matrix and suppress inflammatory response.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SimSun" w:hAnsi="Times New Roman" w:cs="Times New Roman"/>
                <w:lang w:val="en-US"/>
              </w:rPr>
              <w:t>Khan N et al.2012; Moon D-O et al.2010; ,Islam MS et al., 2014</w:t>
            </w:r>
          </w:p>
        </w:tc>
      </w:tr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Anthocyanin</w:t>
            </w:r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reduced the mRNA expression level of fibronectin, collagen1A and versican in leiomyoma cells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Decrease tumor size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Islam et al. 2017;</w:t>
            </w:r>
          </w:p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proofErr w:type="spellStart"/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Norian</w:t>
            </w:r>
            <w:proofErr w:type="spellEnd"/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JM et al. 2009; </w:t>
            </w:r>
          </w:p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proofErr w:type="spellStart"/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Arici</w:t>
            </w:r>
            <w:proofErr w:type="spellEnd"/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A et al.2000</w:t>
            </w:r>
          </w:p>
        </w:tc>
      </w:tr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val="en-US"/>
              </w:rPr>
              <w:t xml:space="preserve">Methyl </w:t>
            </w:r>
            <w:proofErr w:type="spellStart"/>
            <w:r w:rsidRPr="00264375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val="en-US"/>
              </w:rPr>
              <w:t>Jasmonate</w:t>
            </w:r>
            <w:proofErr w:type="spellEnd"/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 xml:space="preserve">Induction of </w:t>
            </w:r>
            <w:proofErr w:type="spellStart"/>
            <w:r w:rsidRPr="00264375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>cytochrome</w:t>
            </w:r>
            <w:proofErr w:type="spellEnd"/>
            <w:r w:rsidRPr="00264375">
              <w:rPr>
                <w:rFonts w:ascii="Times New Roman" w:eastAsia="Calibri" w:hAnsi="Times New Roman" w:cs="Times New Roman"/>
                <w:shd w:val="clear" w:color="auto" w:fill="FFFFFF"/>
                <w:lang w:val="en-US"/>
              </w:rPr>
              <w:t xml:space="preserve"> C mediated apoptosis, </w:t>
            </w:r>
            <w:r w:rsidRPr="00264375">
              <w:rPr>
                <w:rFonts w:ascii="Times New Roman" w:eastAsia="SimSun" w:hAnsi="Times New Roman" w:cs="Times New Roman"/>
                <w:shd w:val="clear" w:color="auto" w:fill="FFFFFF"/>
                <w:lang w:val="en-US" w:eastAsia="zh-CN"/>
              </w:rPr>
              <w:t xml:space="preserve">reduces RNA expression of COL1A1, </w:t>
            </w:r>
            <w:proofErr w:type="spellStart"/>
            <w:r w:rsidRPr="00264375">
              <w:rPr>
                <w:rFonts w:ascii="Times New Roman" w:eastAsia="SimSun" w:hAnsi="Times New Roman" w:cs="Times New Roman"/>
                <w:shd w:val="clear" w:color="auto" w:fill="FFFFFF"/>
                <w:lang w:val="en-US" w:eastAsia="zh-CN"/>
              </w:rPr>
              <w:t>cyclin</w:t>
            </w:r>
            <w:proofErr w:type="spellEnd"/>
            <w:r w:rsidRPr="00264375">
              <w:rPr>
                <w:rFonts w:ascii="Times New Roman" w:eastAsia="SimSun" w:hAnsi="Times New Roman" w:cs="Times New Roman"/>
                <w:shd w:val="clear" w:color="auto" w:fill="FFFFFF"/>
                <w:lang w:val="en-US" w:eastAsia="zh-CN"/>
              </w:rPr>
              <w:t xml:space="preserve"> D1</w:t>
            </w:r>
            <w:proofErr w:type="gramStart"/>
            <w:r w:rsidRPr="00264375">
              <w:rPr>
                <w:rFonts w:ascii="Times New Roman" w:eastAsia="SimSun" w:hAnsi="Times New Roman" w:cs="Times New Roman"/>
                <w:shd w:val="clear" w:color="auto" w:fill="FFFFFF"/>
                <w:lang w:val="en-US" w:eastAsia="zh-CN"/>
              </w:rPr>
              <w:t>,beta</w:t>
            </w:r>
            <w:proofErr w:type="gramEnd"/>
            <w:r w:rsidRPr="00264375">
              <w:rPr>
                <w:rFonts w:ascii="Times New Roman" w:eastAsia="SimSun" w:hAnsi="Times New Roman" w:cs="Times New Roman"/>
                <w:shd w:val="clear" w:color="auto" w:fill="FFFFFF"/>
                <w:lang w:val="en-US" w:eastAsia="zh-CN"/>
              </w:rPr>
              <w:t xml:space="preserve"> -</w:t>
            </w:r>
            <w:proofErr w:type="spellStart"/>
            <w:r w:rsidRPr="00264375">
              <w:rPr>
                <w:rFonts w:ascii="Times New Roman" w:eastAsia="SimSun" w:hAnsi="Times New Roman" w:cs="Times New Roman"/>
                <w:shd w:val="clear" w:color="auto" w:fill="FFFFFF"/>
                <w:lang w:val="en-US" w:eastAsia="zh-CN"/>
              </w:rPr>
              <w:t>catenin</w:t>
            </w:r>
            <w:proofErr w:type="spellEnd"/>
            <w:r w:rsidRPr="00264375">
              <w:rPr>
                <w:rFonts w:ascii="Times New Roman" w:eastAsia="SimSun" w:hAnsi="Times New Roman" w:cs="Times New Roman"/>
                <w:shd w:val="clear" w:color="auto" w:fill="FFFFFF"/>
                <w:lang w:val="en-US" w:eastAsia="zh-CN"/>
              </w:rPr>
              <w:t xml:space="preserve">, </w:t>
            </w:r>
            <w:proofErr w:type="spellStart"/>
            <w:r w:rsidRPr="00264375">
              <w:rPr>
                <w:rFonts w:ascii="Times New Roman" w:eastAsia="SimSun" w:hAnsi="Times New Roman" w:cs="Times New Roman"/>
                <w:shd w:val="clear" w:color="auto" w:fill="FFFFFF"/>
                <w:lang w:val="en-US" w:eastAsia="zh-CN"/>
              </w:rPr>
              <w:t>fibronectin</w:t>
            </w:r>
            <w:proofErr w:type="spellEnd"/>
            <w:r w:rsidRPr="00264375">
              <w:rPr>
                <w:rFonts w:ascii="Times New Roman" w:eastAsia="SimSun" w:hAnsi="Times New Roman" w:cs="Times New Roman"/>
                <w:shd w:val="clear" w:color="auto" w:fill="FFFFFF"/>
                <w:lang w:val="en-US" w:eastAsia="zh-CN"/>
              </w:rPr>
              <w:t>, PCNA and EZH2.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Induce cell death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</w:pPr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Ali M. et al. 2020;</w:t>
            </w:r>
          </w:p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proofErr w:type="spellStart"/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Umukoro</w:t>
            </w:r>
            <w:proofErr w:type="spellEnd"/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 S et al. 2017; </w:t>
            </w:r>
            <w:proofErr w:type="spellStart"/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Marchesi</w:t>
            </w:r>
            <w:proofErr w:type="spellEnd"/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>, I. et al. 2016</w:t>
            </w:r>
          </w:p>
        </w:tc>
      </w:tr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shd w:val="clear" w:color="auto" w:fill="FFFFFF"/>
                <w:lang w:val="zh-CN"/>
              </w:rPr>
              <w:t>Resveratrol</w:t>
            </w:r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shd w:val="clear" w:color="auto" w:fill="FFFFFF"/>
                <w:lang w:val="zh-CN"/>
              </w:rPr>
              <w:t xml:space="preserve">Inhibit proliferation of fibroid cells through αvβ3 pathway, </w:t>
            </w: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induces ERK1/2 activation and inhibits PI3K-AKT signal pathway to induce anti-proliferation in uterine fibroid cells, 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Antiprolifeartive </w:t>
            </w:r>
          </w:p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effect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Chai et al. 2017; </w:t>
            </w:r>
            <w:r w:rsidRPr="00264375">
              <w:rPr>
                <w:rFonts w:ascii="Times New Roman" w:eastAsia="Calibri" w:hAnsi="Times New Roman" w:cs="Times New Roman"/>
                <w:lang w:val="en-US"/>
              </w:rPr>
              <w:t xml:space="preserve">Li L et al. 2018; </w:t>
            </w: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Ho et al. 2018; </w:t>
            </w:r>
            <w:r w:rsidRPr="00264375">
              <w:rPr>
                <w:rFonts w:ascii="Times New Roman" w:eastAsia="Times New Roman" w:hAnsi="Times New Roman" w:cs="Times New Roman"/>
                <w:shd w:val="clear" w:color="auto" w:fill="FFFFFF"/>
                <w:lang w:val="en-US"/>
              </w:rPr>
              <w:t xml:space="preserve">Chen HY et al. 2019; </w:t>
            </w:r>
          </w:p>
        </w:tc>
      </w:tr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hd w:val="clear" w:color="auto" w:fill="FFFFFF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Capsaicin</w:t>
            </w:r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shd w:val="clear" w:color="auto" w:fill="FFFFFF"/>
                <w:lang w:val="zh-CN"/>
              </w:rPr>
              <w:t xml:space="preserve">Induce apoptosis through </w:t>
            </w: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down regulating the p-ERK ½ expression, Modulate β-catenin </w:t>
            </w:r>
            <w:r w:rsidRPr="00264375">
              <w:rPr>
                <w:rFonts w:ascii="Times New Roman" w:eastAsia="Calibri" w:hAnsi="Times New Roman" w:cs="Times New Roman"/>
                <w:lang w:val="en-US"/>
              </w:rPr>
              <w:t>signaling</w:t>
            </w: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 pathway,  Inhibit TNF-α , PGE2 and NO production.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Induce cell death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SimSun" w:hAnsi="Times New Roman" w:cs="Times New Roman"/>
                <w:lang w:val="en-US"/>
              </w:rPr>
              <w:t xml:space="preserve">Park S-Y et al. 2014; Kim C-S et al. 2003; </w:t>
            </w:r>
            <w:proofErr w:type="spellStart"/>
            <w:r w:rsidRPr="00264375">
              <w:rPr>
                <w:rFonts w:ascii="Times New Roman" w:eastAsia="SimSun" w:hAnsi="Times New Roman" w:cs="Times New Roman"/>
                <w:lang w:val="en-US"/>
              </w:rPr>
              <w:t>Bitencourt</w:t>
            </w:r>
            <w:proofErr w:type="spellEnd"/>
            <w:r w:rsidRPr="00264375">
              <w:rPr>
                <w:rFonts w:ascii="Times New Roman" w:eastAsia="SimSun" w:hAnsi="Times New Roman" w:cs="Times New Roman"/>
                <w:lang w:val="en-US"/>
              </w:rPr>
              <w:t xml:space="preserve"> S et al. 2012</w:t>
            </w:r>
          </w:p>
        </w:tc>
      </w:tr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hd w:val="clear" w:color="auto" w:fill="FFFFFF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Fisetin</w:t>
            </w:r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shd w:val="clear" w:color="auto" w:fill="FFFFFF"/>
                <w:lang w:val="zh-CN"/>
              </w:rPr>
              <w:t xml:space="preserve">Inhibit </w:t>
            </w: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PI3K/AKT/mTOR </w:t>
            </w:r>
            <w:r w:rsidRPr="00264375">
              <w:rPr>
                <w:rFonts w:ascii="Times New Roman" w:eastAsia="Calibri" w:hAnsi="Times New Roman" w:cs="Times New Roman"/>
                <w:lang w:val="en-US"/>
              </w:rPr>
              <w:t xml:space="preserve">signaling pathway; Down regulate </w:t>
            </w:r>
            <w:r w:rsidRPr="00264375">
              <w:rPr>
                <w:rFonts w:ascii="Times New Roman" w:eastAsia="Calibri" w:hAnsi="Times New Roman" w:cs="Times New Roman"/>
                <w:lang w:val="zh-CN"/>
              </w:rPr>
              <w:t>NF-κB and MAPK pathways.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Anti-proliferative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proofErr w:type="spellStart"/>
            <w:r w:rsidRPr="00264375">
              <w:rPr>
                <w:rFonts w:ascii="Times New Roman" w:eastAsia="SimSun" w:hAnsi="Times New Roman" w:cs="Times New Roman"/>
                <w:lang w:val="en-US"/>
              </w:rPr>
              <w:t>Suh</w:t>
            </w:r>
            <w:proofErr w:type="spellEnd"/>
            <w:r w:rsidRPr="00264375">
              <w:rPr>
                <w:rFonts w:ascii="Times New Roman" w:eastAsia="SimSun" w:hAnsi="Times New Roman" w:cs="Times New Roman"/>
                <w:lang w:val="en-US"/>
              </w:rPr>
              <w:t xml:space="preserve"> Y et al.2010; Khan N et al. 2012; Zhang X-J et al. 2016</w:t>
            </w:r>
          </w:p>
        </w:tc>
      </w:tr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Kaempferol</w:t>
            </w:r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hd w:val="clear" w:color="auto" w:fill="FFFFFF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inhibit p-MEK1/2 and p-AKT expression; promotes apoptosis through inhibition of c-Fos expression and p38 MAPK phosphorylation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Induce cell death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en-US"/>
              </w:rPr>
            </w:pPr>
            <w:r w:rsidRPr="00264375">
              <w:rPr>
                <w:rFonts w:ascii="Times New Roman" w:eastAsia="SimSun" w:hAnsi="Times New Roman" w:cs="Times New Roman"/>
                <w:lang w:val="en-US"/>
              </w:rPr>
              <w:t>Yoon H-Yet al. 2013; Dang Q et al. 2015; Yao S et al. 2016</w:t>
            </w:r>
          </w:p>
        </w:tc>
      </w:tr>
      <w:tr w:rsidR="00264375" w:rsidRPr="00264375" w:rsidTr="003A274A">
        <w:trPr>
          <w:trHeight w:val="116"/>
        </w:trPr>
        <w:tc>
          <w:tcPr>
            <w:tcW w:w="875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b/>
                <w:lang w:val="zh-CN"/>
              </w:rPr>
              <w:t>Silibinin</w:t>
            </w:r>
          </w:p>
        </w:tc>
        <w:tc>
          <w:tcPr>
            <w:tcW w:w="196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reduced cell proliferation via downregulation of NF-κB activation induced through TNF-α, decreases the expression of vimentin, CTGF, α-SMA, collagen type I.</w:t>
            </w:r>
          </w:p>
        </w:tc>
        <w:tc>
          <w:tcPr>
            <w:tcW w:w="1007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zh-CN"/>
              </w:rPr>
            </w:pPr>
            <w:r w:rsidRPr="00264375">
              <w:rPr>
                <w:rFonts w:ascii="Times New Roman" w:eastAsia="Calibri" w:hAnsi="Times New Roman" w:cs="Times New Roman"/>
                <w:lang w:val="zh-CN"/>
              </w:rPr>
              <w:t>Anti-proliferative</w:t>
            </w:r>
          </w:p>
        </w:tc>
        <w:tc>
          <w:tcPr>
            <w:tcW w:w="1154" w:type="pct"/>
          </w:tcPr>
          <w:p w:rsidR="00264375" w:rsidRPr="00264375" w:rsidRDefault="00264375" w:rsidP="0026437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lang w:val="en-US"/>
              </w:rPr>
            </w:pPr>
            <w:r w:rsidRPr="00264375">
              <w:rPr>
                <w:rFonts w:ascii="Times New Roman" w:eastAsia="SimSun" w:hAnsi="Times New Roman" w:cs="Times New Roman"/>
                <w:lang w:val="en-US"/>
              </w:rPr>
              <w:t>Singh RP et al. 2008</w:t>
            </w:r>
            <w:r w:rsidRPr="00264375">
              <w:rPr>
                <w:rFonts w:ascii="Times New Roman" w:eastAsia="Calibri" w:hAnsi="Times New Roman" w:cs="Times New Roman"/>
                <w:lang w:val="zh-CN"/>
              </w:rPr>
              <w:t xml:space="preserve">; </w:t>
            </w:r>
            <w:proofErr w:type="spellStart"/>
            <w:r w:rsidRPr="00264375">
              <w:rPr>
                <w:rFonts w:ascii="Times New Roman" w:eastAsia="SimSun" w:hAnsi="Times New Roman" w:cs="Times New Roman"/>
                <w:lang w:val="en-US"/>
              </w:rPr>
              <w:t>Ravichandran</w:t>
            </w:r>
            <w:proofErr w:type="spellEnd"/>
            <w:r w:rsidRPr="00264375">
              <w:rPr>
                <w:rFonts w:ascii="Times New Roman" w:eastAsia="SimSun" w:hAnsi="Times New Roman" w:cs="Times New Roman"/>
                <w:lang w:val="en-US"/>
              </w:rPr>
              <w:t xml:space="preserve"> K et al .2010; Chen YH et al.2013</w:t>
            </w:r>
          </w:p>
        </w:tc>
      </w:tr>
    </w:tbl>
    <w:p w:rsidR="00264375" w:rsidRPr="00264375" w:rsidRDefault="00264375" w:rsidP="00264375">
      <w:pPr>
        <w:spacing w:after="160" w:line="360" w:lineRule="auto"/>
        <w:jc w:val="both"/>
        <w:rPr>
          <w:rFonts w:ascii="Times New Roman" w:eastAsia="Calibri" w:hAnsi="Times New Roman" w:cs="Times New Roman"/>
          <w:b/>
          <w:szCs w:val="20"/>
          <w:lang w:val="zh-CN"/>
        </w:rPr>
      </w:pPr>
    </w:p>
    <w:p w:rsidR="00285B3F" w:rsidRPr="00264375" w:rsidRDefault="00285B3F" w:rsidP="00264375"/>
    <w:sectPr w:rsidR="00285B3F" w:rsidRPr="00264375" w:rsidSect="002643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F36225"/>
    <w:rsid w:val="00264375"/>
    <w:rsid w:val="00285B3F"/>
    <w:rsid w:val="0034508A"/>
    <w:rsid w:val="003F3633"/>
    <w:rsid w:val="004769F9"/>
    <w:rsid w:val="006652FA"/>
    <w:rsid w:val="006C72ED"/>
    <w:rsid w:val="0076094C"/>
    <w:rsid w:val="007B508D"/>
    <w:rsid w:val="00A23237"/>
    <w:rsid w:val="00A923FE"/>
    <w:rsid w:val="00BC28A1"/>
    <w:rsid w:val="00CC14FF"/>
    <w:rsid w:val="00F36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8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22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362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PC</dc:creator>
  <cp:keywords/>
  <dc:description/>
  <cp:lastModifiedBy>HP PC</cp:lastModifiedBy>
  <cp:revision>7</cp:revision>
  <dcterms:created xsi:type="dcterms:W3CDTF">2022-11-11T07:16:00Z</dcterms:created>
  <dcterms:modified xsi:type="dcterms:W3CDTF">2023-02-08T10:34:00Z</dcterms:modified>
</cp:coreProperties>
</file>