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2DD3" w14:textId="77777777" w:rsidR="009616AC" w:rsidRPr="00D3778F" w:rsidRDefault="009616AC" w:rsidP="009616AC">
      <w:pPr>
        <w:spacing w:after="227" w:line="276" w:lineRule="auto"/>
        <w:ind w:left="16"/>
        <w:jc w:val="center"/>
        <w:rPr>
          <w:b/>
          <w:bCs/>
        </w:rPr>
      </w:pPr>
      <w:r>
        <w:rPr>
          <w:b/>
          <w:bCs/>
        </w:rPr>
        <w:t xml:space="preserve">Supplementary </w:t>
      </w:r>
      <w:r w:rsidRPr="00D3778F">
        <w:rPr>
          <w:b/>
          <w:bCs/>
        </w:rPr>
        <w:t>Table 1 : Variables Missing Rate</w:t>
      </w: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4957"/>
        <w:gridCol w:w="2409"/>
        <w:gridCol w:w="2097"/>
      </w:tblGrid>
      <w:tr w:rsidR="009616AC" w:rsidRPr="00D3778F" w14:paraId="3F64BAD7" w14:textId="77777777" w:rsidTr="00E86465">
        <w:tc>
          <w:tcPr>
            <w:tcW w:w="4957" w:type="dxa"/>
            <w:shd w:val="clear" w:color="auto" w:fill="96E5F2"/>
          </w:tcPr>
          <w:p w14:paraId="36C8AAFB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t>Variables</w:t>
            </w:r>
          </w:p>
        </w:tc>
        <w:tc>
          <w:tcPr>
            <w:tcW w:w="2409" w:type="dxa"/>
            <w:shd w:val="clear" w:color="auto" w:fill="96E5F2"/>
          </w:tcPr>
          <w:p w14:paraId="4B5422EB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t>Number of Missing Data</w:t>
            </w:r>
          </w:p>
        </w:tc>
        <w:tc>
          <w:tcPr>
            <w:tcW w:w="2097" w:type="dxa"/>
            <w:shd w:val="clear" w:color="auto" w:fill="96E5F2"/>
          </w:tcPr>
          <w:p w14:paraId="75CC7300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t>Missing Rate Percentage (%)</w:t>
            </w:r>
          </w:p>
        </w:tc>
      </w:tr>
      <w:tr w:rsidR="009616AC" w:rsidRPr="00D3778F" w14:paraId="1375D87D" w14:textId="77777777" w:rsidTr="00E86465">
        <w:tc>
          <w:tcPr>
            <w:tcW w:w="9463" w:type="dxa"/>
            <w:gridSpan w:val="3"/>
            <w:shd w:val="clear" w:color="auto" w:fill="E7E6E6" w:themeFill="background2"/>
          </w:tcPr>
          <w:p w14:paraId="16609D0E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t>Demographic</w:t>
            </w:r>
          </w:p>
        </w:tc>
      </w:tr>
      <w:tr w:rsidR="009616AC" w:rsidRPr="00D3778F" w14:paraId="68F568A6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2AFEE1F1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Age</w:t>
            </w:r>
          </w:p>
        </w:tc>
        <w:tc>
          <w:tcPr>
            <w:tcW w:w="2409" w:type="dxa"/>
          </w:tcPr>
          <w:p w14:paraId="0F2EACAD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</w:tcPr>
          <w:p w14:paraId="0CA31F53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7C8E9619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29BC9CAC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Race</w:t>
            </w:r>
          </w:p>
        </w:tc>
        <w:tc>
          <w:tcPr>
            <w:tcW w:w="2409" w:type="dxa"/>
          </w:tcPr>
          <w:p w14:paraId="43D32955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</w:tcPr>
          <w:p w14:paraId="16E57A39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68022236" w14:textId="77777777" w:rsidTr="00E86465">
        <w:trPr>
          <w:trHeight w:val="288"/>
        </w:trPr>
        <w:tc>
          <w:tcPr>
            <w:tcW w:w="9463" w:type="dxa"/>
            <w:gridSpan w:val="3"/>
            <w:shd w:val="clear" w:color="auto" w:fill="E7E6E6" w:themeFill="background2"/>
          </w:tcPr>
          <w:p w14:paraId="05214289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t>Status Before Event</w:t>
            </w:r>
          </w:p>
        </w:tc>
      </w:tr>
      <w:tr w:rsidR="009616AC" w:rsidRPr="00D3778F" w14:paraId="09587069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34E76469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Smoking status</w:t>
            </w:r>
          </w:p>
        </w:tc>
        <w:tc>
          <w:tcPr>
            <w:tcW w:w="2409" w:type="dxa"/>
          </w:tcPr>
          <w:p w14:paraId="2C03CE1D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588</w:t>
            </w:r>
          </w:p>
        </w:tc>
        <w:tc>
          <w:tcPr>
            <w:tcW w:w="2097" w:type="dxa"/>
          </w:tcPr>
          <w:p w14:paraId="2906EA54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3.83</w:t>
            </w:r>
          </w:p>
        </w:tc>
      </w:tr>
      <w:tr w:rsidR="009616AC" w:rsidRPr="00D3778F" w14:paraId="2C166866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20DD2218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History of Hypertension</w:t>
            </w:r>
          </w:p>
        </w:tc>
        <w:tc>
          <w:tcPr>
            <w:tcW w:w="2409" w:type="dxa"/>
          </w:tcPr>
          <w:p w14:paraId="5E71C42A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2036</w:t>
            </w:r>
          </w:p>
        </w:tc>
        <w:tc>
          <w:tcPr>
            <w:tcW w:w="2097" w:type="dxa"/>
          </w:tcPr>
          <w:p w14:paraId="4D7F6A1B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13.25</w:t>
            </w:r>
          </w:p>
        </w:tc>
      </w:tr>
      <w:tr w:rsidR="009616AC" w:rsidRPr="00D3778F" w14:paraId="3C5E00C8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72AFDBAE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History of Diabetes</w:t>
            </w:r>
          </w:p>
        </w:tc>
        <w:tc>
          <w:tcPr>
            <w:tcW w:w="2409" w:type="dxa"/>
          </w:tcPr>
          <w:p w14:paraId="5F8B9F1D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2219</w:t>
            </w:r>
          </w:p>
        </w:tc>
        <w:tc>
          <w:tcPr>
            <w:tcW w:w="2097" w:type="dxa"/>
          </w:tcPr>
          <w:p w14:paraId="0A6413F3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14.44</w:t>
            </w:r>
          </w:p>
        </w:tc>
      </w:tr>
      <w:tr w:rsidR="009616AC" w:rsidRPr="00D3778F" w14:paraId="6E5340B4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7D50D8A3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History of Myocardial Infarction</w:t>
            </w:r>
          </w:p>
        </w:tc>
        <w:tc>
          <w:tcPr>
            <w:tcW w:w="2409" w:type="dxa"/>
          </w:tcPr>
          <w:p w14:paraId="2193D935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2091</w:t>
            </w:r>
          </w:p>
        </w:tc>
        <w:tc>
          <w:tcPr>
            <w:tcW w:w="2097" w:type="dxa"/>
          </w:tcPr>
          <w:p w14:paraId="400080A0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13.61</w:t>
            </w:r>
          </w:p>
        </w:tc>
      </w:tr>
      <w:tr w:rsidR="009616AC" w:rsidRPr="00D3778F" w14:paraId="22527069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0AE63DA5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History of Chronic Angina</w:t>
            </w:r>
          </w:p>
        </w:tc>
        <w:tc>
          <w:tcPr>
            <w:tcW w:w="2409" w:type="dxa"/>
          </w:tcPr>
          <w:p w14:paraId="3DD786FB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2464</w:t>
            </w:r>
          </w:p>
        </w:tc>
        <w:tc>
          <w:tcPr>
            <w:tcW w:w="2097" w:type="dxa"/>
          </w:tcPr>
          <w:p w14:paraId="10623330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16.04</w:t>
            </w:r>
          </w:p>
        </w:tc>
      </w:tr>
      <w:tr w:rsidR="009616AC" w:rsidRPr="00D3778F" w14:paraId="3EFC08E1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4FAF39EB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History of Heart Failure</w:t>
            </w:r>
          </w:p>
        </w:tc>
        <w:tc>
          <w:tcPr>
            <w:tcW w:w="2409" w:type="dxa"/>
          </w:tcPr>
          <w:p w14:paraId="104DDB0B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1847</w:t>
            </w:r>
          </w:p>
        </w:tc>
        <w:tc>
          <w:tcPr>
            <w:tcW w:w="2097" w:type="dxa"/>
          </w:tcPr>
          <w:p w14:paraId="15D8F357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12.02</w:t>
            </w:r>
          </w:p>
        </w:tc>
      </w:tr>
      <w:tr w:rsidR="009616AC" w:rsidRPr="00D3778F" w14:paraId="1F0DEE76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65ED6306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History of Chronic Lung Disease</w:t>
            </w:r>
          </w:p>
        </w:tc>
        <w:tc>
          <w:tcPr>
            <w:tcW w:w="2409" w:type="dxa"/>
          </w:tcPr>
          <w:p w14:paraId="5EFCBB5D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1876</w:t>
            </w:r>
          </w:p>
        </w:tc>
        <w:tc>
          <w:tcPr>
            <w:tcW w:w="2097" w:type="dxa"/>
          </w:tcPr>
          <w:p w14:paraId="20ACC4FD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12.21</w:t>
            </w:r>
          </w:p>
        </w:tc>
      </w:tr>
      <w:tr w:rsidR="009616AC" w:rsidRPr="00D3778F" w14:paraId="3B846090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7481E275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History of Renal Disease</w:t>
            </w:r>
          </w:p>
        </w:tc>
        <w:tc>
          <w:tcPr>
            <w:tcW w:w="2409" w:type="dxa"/>
          </w:tcPr>
          <w:p w14:paraId="35D9882F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1851</w:t>
            </w:r>
          </w:p>
        </w:tc>
        <w:tc>
          <w:tcPr>
            <w:tcW w:w="2097" w:type="dxa"/>
          </w:tcPr>
          <w:p w14:paraId="754A3947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12.05</w:t>
            </w:r>
          </w:p>
        </w:tc>
      </w:tr>
      <w:tr w:rsidR="009616AC" w:rsidRPr="00D3778F" w14:paraId="1C048827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6079533F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History of Cerebrovascular Disease</w:t>
            </w:r>
          </w:p>
        </w:tc>
        <w:tc>
          <w:tcPr>
            <w:tcW w:w="2409" w:type="dxa"/>
          </w:tcPr>
          <w:p w14:paraId="297B770C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1822</w:t>
            </w:r>
          </w:p>
        </w:tc>
        <w:tc>
          <w:tcPr>
            <w:tcW w:w="2097" w:type="dxa"/>
          </w:tcPr>
          <w:p w14:paraId="0092D510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11.86</w:t>
            </w:r>
          </w:p>
        </w:tc>
      </w:tr>
      <w:tr w:rsidR="009616AC" w:rsidRPr="00D3778F" w14:paraId="14E57C88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74E802A1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Family History of Premature Cardiovascular Disease</w:t>
            </w:r>
          </w:p>
        </w:tc>
        <w:tc>
          <w:tcPr>
            <w:tcW w:w="2409" w:type="dxa"/>
          </w:tcPr>
          <w:p w14:paraId="03B9C441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3130</w:t>
            </w:r>
          </w:p>
        </w:tc>
        <w:tc>
          <w:tcPr>
            <w:tcW w:w="2097" w:type="dxa"/>
          </w:tcPr>
          <w:p w14:paraId="08AAA0BF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20.37</w:t>
            </w:r>
          </w:p>
        </w:tc>
      </w:tr>
      <w:tr w:rsidR="009616AC" w:rsidRPr="00D3778F" w14:paraId="3927414A" w14:textId="77777777" w:rsidTr="00E86465">
        <w:trPr>
          <w:trHeight w:val="288"/>
        </w:trPr>
        <w:tc>
          <w:tcPr>
            <w:tcW w:w="9463" w:type="dxa"/>
            <w:gridSpan w:val="3"/>
            <w:shd w:val="clear" w:color="auto" w:fill="E7E6E6" w:themeFill="background2"/>
          </w:tcPr>
          <w:p w14:paraId="42E72946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t>Clinical Presentation &amp; Examination</w:t>
            </w:r>
          </w:p>
        </w:tc>
      </w:tr>
      <w:tr w:rsidR="009616AC" w:rsidRPr="00D3778F" w14:paraId="71D4A3C0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32008C13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Heart Rate (bpm)</w:t>
            </w:r>
          </w:p>
        </w:tc>
        <w:tc>
          <w:tcPr>
            <w:tcW w:w="2409" w:type="dxa"/>
            <w:vAlign w:val="bottom"/>
          </w:tcPr>
          <w:p w14:paraId="5A0A86B9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554</w:t>
            </w:r>
          </w:p>
        </w:tc>
        <w:tc>
          <w:tcPr>
            <w:tcW w:w="2097" w:type="dxa"/>
            <w:vAlign w:val="bottom"/>
          </w:tcPr>
          <w:p w14:paraId="60DF4E88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3.61</w:t>
            </w:r>
          </w:p>
        </w:tc>
      </w:tr>
      <w:tr w:rsidR="009616AC" w:rsidRPr="00D3778F" w14:paraId="1825722B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059AEF9E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Systolic Blood Pressure (mmHg)</w:t>
            </w:r>
          </w:p>
        </w:tc>
        <w:tc>
          <w:tcPr>
            <w:tcW w:w="2409" w:type="dxa"/>
            <w:vAlign w:val="bottom"/>
          </w:tcPr>
          <w:p w14:paraId="23E74569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455</w:t>
            </w:r>
          </w:p>
        </w:tc>
        <w:tc>
          <w:tcPr>
            <w:tcW w:w="2097" w:type="dxa"/>
            <w:vAlign w:val="bottom"/>
          </w:tcPr>
          <w:p w14:paraId="7A5E8BC8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2.96</w:t>
            </w:r>
          </w:p>
        </w:tc>
      </w:tr>
      <w:tr w:rsidR="009616AC" w:rsidRPr="00D3778F" w14:paraId="7F36CD47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6F998E7F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Diastolic Blood Pressure (mmHg)</w:t>
            </w:r>
          </w:p>
        </w:tc>
        <w:tc>
          <w:tcPr>
            <w:tcW w:w="2409" w:type="dxa"/>
            <w:vAlign w:val="bottom"/>
          </w:tcPr>
          <w:p w14:paraId="70FC84C9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562</w:t>
            </w:r>
          </w:p>
        </w:tc>
        <w:tc>
          <w:tcPr>
            <w:tcW w:w="2097" w:type="dxa"/>
            <w:vAlign w:val="bottom"/>
          </w:tcPr>
          <w:p w14:paraId="227F0D88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3.66</w:t>
            </w:r>
          </w:p>
        </w:tc>
      </w:tr>
      <w:tr w:rsidR="009616AC" w:rsidRPr="00D3778F" w14:paraId="0DB14AE9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746E29CE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Killip Classifications</w:t>
            </w:r>
          </w:p>
        </w:tc>
        <w:tc>
          <w:tcPr>
            <w:tcW w:w="2409" w:type="dxa"/>
            <w:vAlign w:val="bottom"/>
          </w:tcPr>
          <w:p w14:paraId="4146BE58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677</w:t>
            </w:r>
          </w:p>
        </w:tc>
        <w:tc>
          <w:tcPr>
            <w:tcW w:w="2097" w:type="dxa"/>
            <w:vAlign w:val="bottom"/>
          </w:tcPr>
          <w:p w14:paraId="52010F35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4.41</w:t>
            </w:r>
          </w:p>
        </w:tc>
      </w:tr>
      <w:tr w:rsidR="009616AC" w:rsidRPr="00D3778F" w14:paraId="65C6C105" w14:textId="77777777" w:rsidTr="00E86465">
        <w:trPr>
          <w:trHeight w:val="288"/>
        </w:trPr>
        <w:tc>
          <w:tcPr>
            <w:tcW w:w="9463" w:type="dxa"/>
            <w:gridSpan w:val="3"/>
            <w:shd w:val="clear" w:color="auto" w:fill="E7E6E6" w:themeFill="background2"/>
          </w:tcPr>
          <w:p w14:paraId="65937A46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t>Baseline Investigation (values obtained within 48 hours from admission)</w:t>
            </w:r>
          </w:p>
        </w:tc>
      </w:tr>
      <w:tr w:rsidR="009616AC" w:rsidRPr="00D3778F" w14:paraId="1DE9F301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14E7C4BF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Total Cholesterol (mmol/L)</w:t>
            </w:r>
          </w:p>
        </w:tc>
        <w:tc>
          <w:tcPr>
            <w:tcW w:w="2409" w:type="dxa"/>
            <w:vAlign w:val="bottom"/>
          </w:tcPr>
          <w:p w14:paraId="1A738464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3221</w:t>
            </w:r>
          </w:p>
        </w:tc>
        <w:tc>
          <w:tcPr>
            <w:tcW w:w="2097" w:type="dxa"/>
            <w:vAlign w:val="bottom"/>
          </w:tcPr>
          <w:p w14:paraId="5CAAC239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20.96</w:t>
            </w:r>
          </w:p>
        </w:tc>
      </w:tr>
      <w:tr w:rsidR="009616AC" w:rsidRPr="00D3778F" w14:paraId="6DD2FEBA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331C2F3A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HDL (mmol/L)</w:t>
            </w:r>
          </w:p>
        </w:tc>
        <w:tc>
          <w:tcPr>
            <w:tcW w:w="2409" w:type="dxa"/>
            <w:vAlign w:val="bottom"/>
          </w:tcPr>
          <w:p w14:paraId="5B4C90F2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3594</w:t>
            </w:r>
          </w:p>
        </w:tc>
        <w:tc>
          <w:tcPr>
            <w:tcW w:w="2097" w:type="dxa"/>
            <w:vAlign w:val="bottom"/>
          </w:tcPr>
          <w:p w14:paraId="23617BB1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23.39</w:t>
            </w:r>
          </w:p>
        </w:tc>
      </w:tr>
      <w:tr w:rsidR="009616AC" w:rsidRPr="00D3778F" w14:paraId="4DE9532B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52832612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LDL (mmol/L)</w:t>
            </w:r>
          </w:p>
        </w:tc>
        <w:tc>
          <w:tcPr>
            <w:tcW w:w="2409" w:type="dxa"/>
            <w:vAlign w:val="bottom"/>
          </w:tcPr>
          <w:p w14:paraId="0C586E2A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3622</w:t>
            </w:r>
          </w:p>
        </w:tc>
        <w:tc>
          <w:tcPr>
            <w:tcW w:w="2097" w:type="dxa"/>
            <w:vAlign w:val="bottom"/>
          </w:tcPr>
          <w:p w14:paraId="3786EAC5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23.57</w:t>
            </w:r>
          </w:p>
        </w:tc>
      </w:tr>
      <w:tr w:rsidR="009616AC" w:rsidRPr="00D3778F" w14:paraId="57ADD47E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0B287D07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Triglyceride (mmol/L)</w:t>
            </w:r>
          </w:p>
        </w:tc>
        <w:tc>
          <w:tcPr>
            <w:tcW w:w="2409" w:type="dxa"/>
            <w:vAlign w:val="bottom"/>
          </w:tcPr>
          <w:p w14:paraId="2B51384E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3654</w:t>
            </w:r>
          </w:p>
        </w:tc>
        <w:tc>
          <w:tcPr>
            <w:tcW w:w="2097" w:type="dxa"/>
            <w:vAlign w:val="bottom"/>
          </w:tcPr>
          <w:p w14:paraId="65E9DC1B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23.78</w:t>
            </w:r>
          </w:p>
        </w:tc>
      </w:tr>
      <w:tr w:rsidR="009616AC" w:rsidRPr="00D3778F" w14:paraId="3836393E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42BDDA10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Fasting Blood Glucose (mmol/L)</w:t>
            </w:r>
          </w:p>
        </w:tc>
        <w:tc>
          <w:tcPr>
            <w:tcW w:w="2409" w:type="dxa"/>
            <w:vAlign w:val="bottom"/>
          </w:tcPr>
          <w:p w14:paraId="08636E0F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3416</w:t>
            </w:r>
          </w:p>
        </w:tc>
        <w:tc>
          <w:tcPr>
            <w:tcW w:w="2097" w:type="dxa"/>
            <w:vAlign w:val="bottom"/>
          </w:tcPr>
          <w:p w14:paraId="6981EB8C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22.23</w:t>
            </w:r>
          </w:p>
        </w:tc>
      </w:tr>
      <w:tr w:rsidR="009616AC" w:rsidRPr="00D3778F" w14:paraId="6E75E753" w14:textId="77777777" w:rsidTr="00E86465">
        <w:trPr>
          <w:trHeight w:val="288"/>
        </w:trPr>
        <w:tc>
          <w:tcPr>
            <w:tcW w:w="9463" w:type="dxa"/>
            <w:gridSpan w:val="3"/>
            <w:shd w:val="clear" w:color="auto" w:fill="E7E6E6" w:themeFill="background2"/>
          </w:tcPr>
          <w:p w14:paraId="133EE222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t>Electrocardiography (ECG)</w:t>
            </w:r>
          </w:p>
        </w:tc>
      </w:tr>
      <w:tr w:rsidR="009616AC" w:rsidRPr="00D3778F" w14:paraId="55BFCA4A" w14:textId="77777777" w:rsidTr="00E86465">
        <w:trPr>
          <w:trHeight w:val="288"/>
        </w:trPr>
        <w:tc>
          <w:tcPr>
            <w:tcW w:w="9463" w:type="dxa"/>
            <w:gridSpan w:val="3"/>
            <w:shd w:val="clear" w:color="auto" w:fill="E7E6E6" w:themeFill="background2"/>
            <w:vAlign w:val="center"/>
          </w:tcPr>
          <w:p w14:paraId="3C38451A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Abnormalities type</w:t>
            </w:r>
          </w:p>
        </w:tc>
      </w:tr>
      <w:tr w:rsidR="009616AC" w:rsidRPr="00D3778F" w14:paraId="42176BC7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39C05C8A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ST-segment Elevation ≥1mm in ≥ 2 Contiguous Limb Leads</w:t>
            </w:r>
          </w:p>
        </w:tc>
        <w:tc>
          <w:tcPr>
            <w:tcW w:w="2409" w:type="dxa"/>
            <w:vAlign w:val="center"/>
          </w:tcPr>
          <w:p w14:paraId="23AAE3F0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  <w:vAlign w:val="center"/>
          </w:tcPr>
          <w:p w14:paraId="6DF744CD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5A0FDAB6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178E7C26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ST-segment Elevation ≥ 2mm in ≥ 2 Contiguous Frontal Leads</w:t>
            </w:r>
          </w:p>
        </w:tc>
        <w:tc>
          <w:tcPr>
            <w:tcW w:w="2409" w:type="dxa"/>
            <w:vAlign w:val="center"/>
          </w:tcPr>
          <w:p w14:paraId="503D82E3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  <w:vAlign w:val="center"/>
          </w:tcPr>
          <w:p w14:paraId="62D32A6F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2451FCA7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2D4651A8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ST-segment Depression ≥ 0.5mm in ≥ 2 Contiguous Leads</w:t>
            </w:r>
          </w:p>
        </w:tc>
        <w:tc>
          <w:tcPr>
            <w:tcW w:w="2409" w:type="dxa"/>
            <w:vAlign w:val="center"/>
          </w:tcPr>
          <w:p w14:paraId="7DB77631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  <w:vAlign w:val="center"/>
          </w:tcPr>
          <w:p w14:paraId="023E1FAE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1458615C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78564D1C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T-wave inversion ≥1mm</w:t>
            </w:r>
          </w:p>
        </w:tc>
        <w:tc>
          <w:tcPr>
            <w:tcW w:w="2409" w:type="dxa"/>
            <w:vAlign w:val="center"/>
          </w:tcPr>
          <w:p w14:paraId="21D93617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  <w:vAlign w:val="center"/>
          </w:tcPr>
          <w:p w14:paraId="24FCE134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478A2098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1D9BB541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Bundle Branch Block (BBB)</w:t>
            </w:r>
          </w:p>
        </w:tc>
        <w:tc>
          <w:tcPr>
            <w:tcW w:w="2409" w:type="dxa"/>
            <w:vAlign w:val="center"/>
          </w:tcPr>
          <w:p w14:paraId="7985463E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  <w:vAlign w:val="center"/>
          </w:tcPr>
          <w:p w14:paraId="08E4AB3E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48E22CA0" w14:textId="77777777" w:rsidTr="00E86465">
        <w:trPr>
          <w:trHeight w:val="288"/>
        </w:trPr>
        <w:tc>
          <w:tcPr>
            <w:tcW w:w="9463" w:type="dxa"/>
            <w:gridSpan w:val="3"/>
            <w:shd w:val="clear" w:color="auto" w:fill="E7E6E6" w:themeFill="background2"/>
            <w:vAlign w:val="center"/>
          </w:tcPr>
          <w:p w14:paraId="19115478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Abnormality location</w:t>
            </w:r>
          </w:p>
        </w:tc>
      </w:tr>
      <w:tr w:rsidR="009616AC" w:rsidRPr="00D3778F" w14:paraId="04C3E4D0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27D6D656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Inferior Leads: II, III, aVF</w:t>
            </w:r>
          </w:p>
        </w:tc>
        <w:tc>
          <w:tcPr>
            <w:tcW w:w="2409" w:type="dxa"/>
            <w:vAlign w:val="bottom"/>
          </w:tcPr>
          <w:p w14:paraId="77E95D68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  <w:vAlign w:val="bottom"/>
          </w:tcPr>
          <w:p w14:paraId="4EB15983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6CB28EDE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6A2DBA74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Anterior Leads: V1 to V4</w:t>
            </w:r>
          </w:p>
        </w:tc>
        <w:tc>
          <w:tcPr>
            <w:tcW w:w="2409" w:type="dxa"/>
            <w:vAlign w:val="bottom"/>
          </w:tcPr>
          <w:p w14:paraId="7756EB80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  <w:vAlign w:val="bottom"/>
          </w:tcPr>
          <w:p w14:paraId="5C9574E6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2C8CA68C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191FC965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Lateral Leads: 1, aVL, V5 to V6</w:t>
            </w:r>
          </w:p>
        </w:tc>
        <w:tc>
          <w:tcPr>
            <w:tcW w:w="2409" w:type="dxa"/>
            <w:vAlign w:val="bottom"/>
          </w:tcPr>
          <w:p w14:paraId="737DED26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  <w:vAlign w:val="bottom"/>
          </w:tcPr>
          <w:p w14:paraId="40FFB341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473D3341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2ADE0BD9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True Posterior: V1, V2</w:t>
            </w:r>
          </w:p>
        </w:tc>
        <w:tc>
          <w:tcPr>
            <w:tcW w:w="2409" w:type="dxa"/>
            <w:vAlign w:val="bottom"/>
          </w:tcPr>
          <w:p w14:paraId="23794625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  <w:vAlign w:val="bottom"/>
          </w:tcPr>
          <w:p w14:paraId="7E84C9C3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04FD8DD3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11E4105E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Right Ventricle: ST Elevation in Lead V4R</w:t>
            </w:r>
          </w:p>
        </w:tc>
        <w:tc>
          <w:tcPr>
            <w:tcW w:w="2409" w:type="dxa"/>
            <w:vAlign w:val="bottom"/>
          </w:tcPr>
          <w:p w14:paraId="7554B21F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  <w:vAlign w:val="bottom"/>
          </w:tcPr>
          <w:p w14:paraId="4D425682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  <w:tr w:rsidR="009616AC" w:rsidRPr="00D3778F" w14:paraId="5DEE9DE0" w14:textId="77777777" w:rsidTr="00E86465">
        <w:trPr>
          <w:trHeight w:val="288"/>
        </w:trPr>
        <w:tc>
          <w:tcPr>
            <w:tcW w:w="9463" w:type="dxa"/>
            <w:gridSpan w:val="3"/>
            <w:shd w:val="clear" w:color="auto" w:fill="E7E6E6" w:themeFill="background2"/>
          </w:tcPr>
          <w:p w14:paraId="0E368DE7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t>Invasive Therapeutic Procedures</w:t>
            </w:r>
          </w:p>
        </w:tc>
      </w:tr>
      <w:tr w:rsidR="009616AC" w:rsidRPr="00D3778F" w14:paraId="7C3CAA17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262B74BE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Cardiac Catherization</w:t>
            </w:r>
          </w:p>
        </w:tc>
        <w:tc>
          <w:tcPr>
            <w:tcW w:w="2409" w:type="dxa"/>
            <w:vAlign w:val="bottom"/>
          </w:tcPr>
          <w:p w14:paraId="6C2A52BF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604</w:t>
            </w:r>
          </w:p>
        </w:tc>
        <w:tc>
          <w:tcPr>
            <w:tcW w:w="2097" w:type="dxa"/>
            <w:vAlign w:val="bottom"/>
          </w:tcPr>
          <w:p w14:paraId="2EB54C4B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3.93</w:t>
            </w:r>
          </w:p>
        </w:tc>
      </w:tr>
      <w:tr w:rsidR="009616AC" w:rsidRPr="00D3778F" w14:paraId="38D83D29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3E56342F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Percutaneous Coronary Intervention</w:t>
            </w:r>
          </w:p>
        </w:tc>
        <w:tc>
          <w:tcPr>
            <w:tcW w:w="2409" w:type="dxa"/>
            <w:vAlign w:val="bottom"/>
          </w:tcPr>
          <w:p w14:paraId="0C1CC46C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1261</w:t>
            </w:r>
          </w:p>
        </w:tc>
        <w:tc>
          <w:tcPr>
            <w:tcW w:w="2097" w:type="dxa"/>
            <w:vAlign w:val="bottom"/>
          </w:tcPr>
          <w:p w14:paraId="46A81270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8.21</w:t>
            </w:r>
          </w:p>
        </w:tc>
      </w:tr>
      <w:tr w:rsidR="009616AC" w:rsidRPr="00D3778F" w14:paraId="3E95BDD5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5AAF2C01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Fibrinolytic Status</w:t>
            </w:r>
          </w:p>
        </w:tc>
        <w:tc>
          <w:tcPr>
            <w:tcW w:w="2409" w:type="dxa"/>
            <w:vAlign w:val="bottom"/>
          </w:tcPr>
          <w:p w14:paraId="0D38019A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253</w:t>
            </w:r>
          </w:p>
        </w:tc>
        <w:tc>
          <w:tcPr>
            <w:tcW w:w="2097" w:type="dxa"/>
            <w:vAlign w:val="bottom"/>
          </w:tcPr>
          <w:p w14:paraId="38A21F40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1.65</w:t>
            </w:r>
          </w:p>
        </w:tc>
      </w:tr>
      <w:tr w:rsidR="009616AC" w:rsidRPr="00D3778F" w14:paraId="4F3EB3B8" w14:textId="77777777" w:rsidTr="00E86465">
        <w:trPr>
          <w:trHeight w:val="288"/>
        </w:trPr>
        <w:tc>
          <w:tcPr>
            <w:tcW w:w="9463" w:type="dxa"/>
            <w:gridSpan w:val="3"/>
            <w:shd w:val="clear" w:color="auto" w:fill="E7E6E6" w:themeFill="background2"/>
          </w:tcPr>
          <w:p w14:paraId="11A05738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lastRenderedPageBreak/>
              <w:t>Pharmacological Therapy</w:t>
            </w:r>
          </w:p>
        </w:tc>
      </w:tr>
      <w:tr w:rsidR="009616AC" w:rsidRPr="00D3778F" w14:paraId="4F40E292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33817269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Aspirin</w:t>
            </w:r>
          </w:p>
        </w:tc>
        <w:tc>
          <w:tcPr>
            <w:tcW w:w="2409" w:type="dxa"/>
            <w:vAlign w:val="bottom"/>
          </w:tcPr>
          <w:p w14:paraId="080EF473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337</w:t>
            </w:r>
          </w:p>
        </w:tc>
        <w:tc>
          <w:tcPr>
            <w:tcW w:w="2097" w:type="dxa"/>
            <w:vAlign w:val="bottom"/>
          </w:tcPr>
          <w:p w14:paraId="40C48C23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2.19</w:t>
            </w:r>
          </w:p>
        </w:tc>
      </w:tr>
      <w:tr w:rsidR="009616AC" w:rsidRPr="00D3778F" w14:paraId="68B73011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0740DC4D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GP Receptor Inhibitor</w:t>
            </w:r>
          </w:p>
        </w:tc>
        <w:tc>
          <w:tcPr>
            <w:tcW w:w="2409" w:type="dxa"/>
            <w:vAlign w:val="bottom"/>
          </w:tcPr>
          <w:p w14:paraId="5E50209B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2320</w:t>
            </w:r>
          </w:p>
        </w:tc>
        <w:tc>
          <w:tcPr>
            <w:tcW w:w="2097" w:type="dxa"/>
            <w:vAlign w:val="bottom"/>
          </w:tcPr>
          <w:p w14:paraId="42FFC1B6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15.10</w:t>
            </w:r>
          </w:p>
        </w:tc>
      </w:tr>
      <w:tr w:rsidR="009616AC" w:rsidRPr="00D3778F" w14:paraId="7482F240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56BBEAEB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Unfractioned Heparin</w:t>
            </w:r>
          </w:p>
        </w:tc>
        <w:tc>
          <w:tcPr>
            <w:tcW w:w="2409" w:type="dxa"/>
            <w:vAlign w:val="bottom"/>
          </w:tcPr>
          <w:p w14:paraId="0230250C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2187</w:t>
            </w:r>
          </w:p>
        </w:tc>
        <w:tc>
          <w:tcPr>
            <w:tcW w:w="2097" w:type="dxa"/>
            <w:vAlign w:val="bottom"/>
          </w:tcPr>
          <w:p w14:paraId="0C09F183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14.23</w:t>
            </w:r>
          </w:p>
        </w:tc>
      </w:tr>
      <w:tr w:rsidR="009616AC" w:rsidRPr="00D3778F" w14:paraId="4B8013B0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5E9472E8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LMWH</w:t>
            </w:r>
          </w:p>
        </w:tc>
        <w:tc>
          <w:tcPr>
            <w:tcW w:w="2409" w:type="dxa"/>
            <w:vAlign w:val="bottom"/>
          </w:tcPr>
          <w:p w14:paraId="00090DF8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2066</w:t>
            </w:r>
          </w:p>
        </w:tc>
        <w:tc>
          <w:tcPr>
            <w:tcW w:w="2097" w:type="dxa"/>
            <w:vAlign w:val="bottom"/>
          </w:tcPr>
          <w:p w14:paraId="766994D8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13.45</w:t>
            </w:r>
          </w:p>
        </w:tc>
      </w:tr>
      <w:tr w:rsidR="009616AC" w:rsidRPr="00D3778F" w14:paraId="4B48E46D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0B8019BD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Beta-blocker</w:t>
            </w:r>
          </w:p>
        </w:tc>
        <w:tc>
          <w:tcPr>
            <w:tcW w:w="2409" w:type="dxa"/>
            <w:vAlign w:val="bottom"/>
          </w:tcPr>
          <w:p w14:paraId="4C68101F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1603</w:t>
            </w:r>
          </w:p>
        </w:tc>
        <w:tc>
          <w:tcPr>
            <w:tcW w:w="2097" w:type="dxa"/>
            <w:vAlign w:val="bottom"/>
          </w:tcPr>
          <w:p w14:paraId="4F3F5266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10.43</w:t>
            </w:r>
          </w:p>
        </w:tc>
      </w:tr>
      <w:tr w:rsidR="009616AC" w:rsidRPr="00D3778F" w14:paraId="084EC7F6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46700D7A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ACE Inhibitor</w:t>
            </w:r>
          </w:p>
        </w:tc>
        <w:tc>
          <w:tcPr>
            <w:tcW w:w="2409" w:type="dxa"/>
            <w:vAlign w:val="bottom"/>
          </w:tcPr>
          <w:p w14:paraId="53C1E007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1687</w:t>
            </w:r>
          </w:p>
        </w:tc>
        <w:tc>
          <w:tcPr>
            <w:tcW w:w="2097" w:type="dxa"/>
            <w:vAlign w:val="bottom"/>
          </w:tcPr>
          <w:p w14:paraId="4FBC5D29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10.98</w:t>
            </w:r>
          </w:p>
        </w:tc>
      </w:tr>
      <w:tr w:rsidR="009616AC" w:rsidRPr="00D3778F" w14:paraId="2464894B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5159E894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Angiotensin II Receptor Blocker</w:t>
            </w:r>
          </w:p>
        </w:tc>
        <w:tc>
          <w:tcPr>
            <w:tcW w:w="2409" w:type="dxa"/>
            <w:vAlign w:val="bottom"/>
          </w:tcPr>
          <w:p w14:paraId="013C6929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2335</w:t>
            </w:r>
          </w:p>
        </w:tc>
        <w:tc>
          <w:tcPr>
            <w:tcW w:w="2097" w:type="dxa"/>
            <w:vAlign w:val="bottom"/>
          </w:tcPr>
          <w:p w14:paraId="059AF2E2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15.20</w:t>
            </w:r>
          </w:p>
        </w:tc>
      </w:tr>
      <w:tr w:rsidR="009616AC" w:rsidRPr="00D3778F" w14:paraId="5AEE615F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3FF3C245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Statin</w:t>
            </w:r>
          </w:p>
        </w:tc>
        <w:tc>
          <w:tcPr>
            <w:tcW w:w="2409" w:type="dxa"/>
            <w:vAlign w:val="bottom"/>
          </w:tcPr>
          <w:p w14:paraId="05709837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489</w:t>
            </w:r>
          </w:p>
        </w:tc>
        <w:tc>
          <w:tcPr>
            <w:tcW w:w="2097" w:type="dxa"/>
            <w:vAlign w:val="bottom"/>
          </w:tcPr>
          <w:p w14:paraId="4B8C282F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3.18</w:t>
            </w:r>
          </w:p>
        </w:tc>
      </w:tr>
      <w:tr w:rsidR="009616AC" w:rsidRPr="00D3778F" w14:paraId="504BD0E9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061A729A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Other lipid lowering agent</w:t>
            </w:r>
          </w:p>
        </w:tc>
        <w:tc>
          <w:tcPr>
            <w:tcW w:w="2409" w:type="dxa"/>
            <w:vAlign w:val="bottom"/>
          </w:tcPr>
          <w:p w14:paraId="3FAB1F70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2283</w:t>
            </w:r>
          </w:p>
        </w:tc>
        <w:tc>
          <w:tcPr>
            <w:tcW w:w="2097" w:type="dxa"/>
            <w:vAlign w:val="bottom"/>
          </w:tcPr>
          <w:p w14:paraId="22E1ECF2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14.86</w:t>
            </w:r>
          </w:p>
        </w:tc>
      </w:tr>
      <w:tr w:rsidR="009616AC" w:rsidRPr="00D3778F" w14:paraId="555A76B9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079A620D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Diuretics</w:t>
            </w:r>
          </w:p>
        </w:tc>
        <w:tc>
          <w:tcPr>
            <w:tcW w:w="2409" w:type="dxa"/>
            <w:vAlign w:val="bottom"/>
          </w:tcPr>
          <w:p w14:paraId="48B0334F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2011</w:t>
            </w:r>
          </w:p>
        </w:tc>
        <w:tc>
          <w:tcPr>
            <w:tcW w:w="2097" w:type="dxa"/>
            <w:vAlign w:val="bottom"/>
          </w:tcPr>
          <w:p w14:paraId="2AAD4C72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13.09</w:t>
            </w:r>
          </w:p>
        </w:tc>
      </w:tr>
      <w:tr w:rsidR="009616AC" w:rsidRPr="00D3778F" w14:paraId="45C0A2A9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0A8971B9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Calcium antagonist</w:t>
            </w:r>
          </w:p>
        </w:tc>
        <w:tc>
          <w:tcPr>
            <w:tcW w:w="2409" w:type="dxa"/>
            <w:vAlign w:val="bottom"/>
          </w:tcPr>
          <w:p w14:paraId="55DC89DE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2317</w:t>
            </w:r>
          </w:p>
        </w:tc>
        <w:tc>
          <w:tcPr>
            <w:tcW w:w="2097" w:type="dxa"/>
            <w:vAlign w:val="bottom"/>
          </w:tcPr>
          <w:p w14:paraId="08A1E451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15.08</w:t>
            </w:r>
          </w:p>
        </w:tc>
      </w:tr>
      <w:tr w:rsidR="009616AC" w:rsidRPr="00D3778F" w14:paraId="36A63BD9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0A2CFFD2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Oral Hyperglycemia</w:t>
            </w:r>
          </w:p>
        </w:tc>
        <w:tc>
          <w:tcPr>
            <w:tcW w:w="2409" w:type="dxa"/>
            <w:vAlign w:val="bottom"/>
          </w:tcPr>
          <w:p w14:paraId="7B5EC745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2160</w:t>
            </w:r>
          </w:p>
        </w:tc>
        <w:tc>
          <w:tcPr>
            <w:tcW w:w="2097" w:type="dxa"/>
            <w:vAlign w:val="bottom"/>
          </w:tcPr>
          <w:p w14:paraId="7E0F93CE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14.06</w:t>
            </w:r>
          </w:p>
        </w:tc>
      </w:tr>
      <w:tr w:rsidR="009616AC" w:rsidRPr="00D3778F" w14:paraId="585B68E1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2252D0F8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Insulin</w:t>
            </w:r>
          </w:p>
        </w:tc>
        <w:tc>
          <w:tcPr>
            <w:tcW w:w="2409" w:type="dxa"/>
            <w:vAlign w:val="bottom"/>
          </w:tcPr>
          <w:p w14:paraId="5E278B77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1952</w:t>
            </w:r>
          </w:p>
        </w:tc>
        <w:tc>
          <w:tcPr>
            <w:tcW w:w="2097" w:type="dxa"/>
            <w:vAlign w:val="bottom"/>
          </w:tcPr>
          <w:p w14:paraId="2E1E381C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12.70</w:t>
            </w:r>
          </w:p>
        </w:tc>
      </w:tr>
      <w:tr w:rsidR="009616AC" w:rsidRPr="00D3778F" w14:paraId="00E4D923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45D3705B" w14:textId="77777777" w:rsidR="009616AC" w:rsidRPr="00D3778F" w:rsidRDefault="009616AC" w:rsidP="00E86465">
            <w:pPr>
              <w:spacing w:after="0" w:line="276" w:lineRule="auto"/>
              <w:ind w:left="16"/>
              <w:rPr>
                <w:lang w:val="en-US"/>
              </w:rPr>
            </w:pPr>
            <w:r w:rsidRPr="00D3778F">
              <w:rPr>
                <w:lang w:val="en-US"/>
              </w:rPr>
              <w:t>Anti-arrhythmic Agent</w:t>
            </w:r>
          </w:p>
        </w:tc>
        <w:tc>
          <w:tcPr>
            <w:tcW w:w="2409" w:type="dxa"/>
            <w:vAlign w:val="bottom"/>
          </w:tcPr>
          <w:p w14:paraId="5B8A2D1F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2343</w:t>
            </w:r>
          </w:p>
        </w:tc>
        <w:tc>
          <w:tcPr>
            <w:tcW w:w="2097" w:type="dxa"/>
            <w:vAlign w:val="bottom"/>
          </w:tcPr>
          <w:p w14:paraId="5EF1E4D6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15.25</w:t>
            </w:r>
          </w:p>
        </w:tc>
      </w:tr>
      <w:tr w:rsidR="009616AC" w:rsidRPr="00D3778F" w14:paraId="27D60695" w14:textId="77777777" w:rsidTr="00E86465">
        <w:trPr>
          <w:trHeight w:val="288"/>
        </w:trPr>
        <w:tc>
          <w:tcPr>
            <w:tcW w:w="9463" w:type="dxa"/>
            <w:gridSpan w:val="3"/>
            <w:shd w:val="clear" w:color="auto" w:fill="E7E6E6" w:themeFill="background2"/>
          </w:tcPr>
          <w:p w14:paraId="666ABCB3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b/>
                <w:bCs/>
                <w:lang w:val="en-US"/>
              </w:rPr>
            </w:pPr>
            <w:r w:rsidRPr="00D3778F">
              <w:rPr>
                <w:b/>
                <w:bCs/>
                <w:lang w:val="en-US"/>
              </w:rPr>
              <w:t>Outcomes</w:t>
            </w:r>
          </w:p>
        </w:tc>
      </w:tr>
      <w:tr w:rsidR="009616AC" w:rsidRPr="00D3778F" w14:paraId="4D7BB17D" w14:textId="77777777" w:rsidTr="00E86465">
        <w:trPr>
          <w:trHeight w:val="288"/>
        </w:trPr>
        <w:tc>
          <w:tcPr>
            <w:tcW w:w="4957" w:type="dxa"/>
            <w:vAlign w:val="center"/>
          </w:tcPr>
          <w:p w14:paraId="58C7421E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Patient Outcome</w:t>
            </w:r>
          </w:p>
        </w:tc>
        <w:tc>
          <w:tcPr>
            <w:tcW w:w="2409" w:type="dxa"/>
          </w:tcPr>
          <w:p w14:paraId="6F405761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</w:t>
            </w:r>
          </w:p>
        </w:tc>
        <w:tc>
          <w:tcPr>
            <w:tcW w:w="2097" w:type="dxa"/>
          </w:tcPr>
          <w:p w14:paraId="12652651" w14:textId="77777777" w:rsidR="009616AC" w:rsidRPr="00D3778F" w:rsidRDefault="009616AC" w:rsidP="00E86465">
            <w:pPr>
              <w:spacing w:after="0" w:line="276" w:lineRule="auto"/>
              <w:ind w:left="16"/>
              <w:jc w:val="center"/>
              <w:rPr>
                <w:lang w:val="en-US"/>
              </w:rPr>
            </w:pPr>
            <w:r w:rsidRPr="00D3778F">
              <w:rPr>
                <w:lang w:val="en-US"/>
              </w:rPr>
              <w:t>0.00</w:t>
            </w:r>
          </w:p>
        </w:tc>
      </w:tr>
    </w:tbl>
    <w:p w14:paraId="1D54EDDE" w14:textId="77777777" w:rsidR="009616AC" w:rsidRDefault="009616AC" w:rsidP="009616AC">
      <w:pPr>
        <w:spacing w:after="227" w:line="276" w:lineRule="auto"/>
        <w:ind w:left="16"/>
      </w:pPr>
    </w:p>
    <w:p w14:paraId="67127C80" w14:textId="77777777" w:rsidR="00C30A25" w:rsidRDefault="00C30A25"/>
    <w:sectPr w:rsidR="00C30A25" w:rsidSect="00D21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35097"/>
    <w:multiLevelType w:val="multilevel"/>
    <w:tmpl w:val="EFBCAB70"/>
    <w:lvl w:ilvl="0">
      <w:start w:val="1"/>
      <w:numFmt w:val="decimal"/>
      <w:pStyle w:val="Heading1"/>
      <w:suff w:val="space"/>
      <w:lvlText w:val="CHAPTER %1: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964"/>
        </w:tabs>
        <w:ind w:left="431" w:hanging="431"/>
      </w:pPr>
      <w:rPr>
        <w:rFonts w:ascii="Times New Roman" w:hAnsi="Times New Roman" w:cs="Times New Roman" w:hint="default"/>
        <w:b w:val="0"/>
        <w:i/>
        <w:color w:val="000000" w:themeColor="text1"/>
        <w:sz w:val="24"/>
      </w:rPr>
    </w:lvl>
    <w:lvl w:ilvl="5">
      <w:start w:val="1"/>
      <w:numFmt w:val="lowerRoman"/>
      <w:lvlText w:val="%6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  <w:lvl w:ilvl="6">
      <w:start w:val="1"/>
      <w:numFmt w:val="lowerRoman"/>
      <w:lvlText w:val="%7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  <w:lvl w:ilvl="7">
      <w:start w:val="1"/>
      <w:numFmt w:val="lowerRoman"/>
      <w:lvlText w:val="%8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  <w:lvl w:ilvl="8">
      <w:start w:val="1"/>
      <w:numFmt w:val="lowerRoman"/>
      <w:lvlText w:val="%9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</w:abstractNum>
  <w:num w:numId="1" w16cid:durableId="240529615">
    <w:abstractNumId w:val="0"/>
  </w:num>
  <w:num w:numId="2" w16cid:durableId="796802410">
    <w:abstractNumId w:val="0"/>
  </w:num>
  <w:num w:numId="3" w16cid:durableId="955525852">
    <w:abstractNumId w:val="0"/>
  </w:num>
  <w:num w:numId="4" w16cid:durableId="1365865643">
    <w:abstractNumId w:val="0"/>
  </w:num>
  <w:num w:numId="5" w16cid:durableId="1817990794">
    <w:abstractNumId w:val="0"/>
  </w:num>
  <w:num w:numId="6" w16cid:durableId="166018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AC"/>
    <w:rsid w:val="001874D1"/>
    <w:rsid w:val="003E533D"/>
    <w:rsid w:val="005F6418"/>
    <w:rsid w:val="009616AC"/>
    <w:rsid w:val="00C30A25"/>
    <w:rsid w:val="00D2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EE871"/>
  <w15:chartTrackingRefBased/>
  <w15:docId w15:val="{D5E74872-B203-47E5-AE0F-1CB1666F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4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AC"/>
    <w:pPr>
      <w:spacing w:after="312" w:line="260" w:lineRule="auto"/>
      <w:ind w:left="31" w:hanging="10"/>
    </w:pPr>
    <w:rPr>
      <w:rFonts w:ascii="Calibri" w:eastAsia="Calibri" w:hAnsi="Calibri" w:cs="Calibri"/>
      <w:color w:val="000000"/>
      <w:kern w:val="0"/>
      <w:sz w:val="20"/>
      <w:lang w:eastAsia="en-GB"/>
      <w14:ligatures w14:val="none"/>
    </w:rPr>
  </w:style>
  <w:style w:type="paragraph" w:styleId="Heading1">
    <w:name w:val="heading 1"/>
    <w:aliases w:val="h1"/>
    <w:basedOn w:val="Normal"/>
    <w:next w:val="Normal"/>
    <w:link w:val="Heading1Char"/>
    <w:qFormat/>
    <w:rsid w:val="003E533D"/>
    <w:pPr>
      <w:keepNext/>
      <w:keepLines/>
      <w:pageBreakBefore/>
      <w:numPr>
        <w:numId w:val="6"/>
      </w:numPr>
      <w:spacing w:before="100" w:beforeAutospacing="1" w:after="100" w:afterAutospacing="1" w:line="480" w:lineRule="auto"/>
      <w:jc w:val="center"/>
      <w:outlineLvl w:val="0"/>
    </w:pPr>
    <w:rPr>
      <w:rFonts w:asciiTheme="majorBidi" w:eastAsiaTheme="majorEastAsia" w:hAnsiTheme="majorBidi" w:cstheme="majorBidi"/>
      <w:b/>
      <w:bCs/>
      <w:caps/>
      <w:color w:val="auto"/>
      <w:kern w:val="2"/>
      <w:sz w:val="24"/>
      <w:szCs w:val="28"/>
      <w:lang w:val="en-US" w:eastAsia="en-US"/>
      <w14:ligatures w14:val="standardContextual"/>
    </w:rPr>
  </w:style>
  <w:style w:type="paragraph" w:styleId="Heading2">
    <w:name w:val="heading 2"/>
    <w:aliases w:val="h2"/>
    <w:basedOn w:val="Normal"/>
    <w:next w:val="Normal"/>
    <w:link w:val="Heading2Char"/>
    <w:unhideWhenUsed/>
    <w:qFormat/>
    <w:rsid w:val="003E533D"/>
    <w:pPr>
      <w:keepNext/>
      <w:keepLines/>
      <w:numPr>
        <w:ilvl w:val="1"/>
        <w:numId w:val="6"/>
      </w:numPr>
      <w:spacing w:after="0" w:line="480" w:lineRule="auto"/>
      <w:jc w:val="both"/>
      <w:outlineLvl w:val="1"/>
    </w:pPr>
    <w:rPr>
      <w:rFonts w:asciiTheme="majorBidi" w:eastAsiaTheme="majorEastAsia" w:hAnsiTheme="majorBidi" w:cstheme="majorBidi"/>
      <w:b/>
      <w:bCs/>
      <w:color w:val="auto"/>
      <w:kern w:val="2"/>
      <w:sz w:val="24"/>
      <w:szCs w:val="26"/>
      <w:lang w:val="en-US" w:eastAsia="en-US"/>
      <w14:ligatures w14:val="standardContextual"/>
    </w:rPr>
  </w:style>
  <w:style w:type="paragraph" w:styleId="Heading3">
    <w:name w:val="heading 3"/>
    <w:aliases w:val="h3"/>
    <w:basedOn w:val="Normal"/>
    <w:next w:val="Normal"/>
    <w:link w:val="Heading3Char"/>
    <w:unhideWhenUsed/>
    <w:qFormat/>
    <w:rsid w:val="003E533D"/>
    <w:pPr>
      <w:keepNext/>
      <w:keepLines/>
      <w:numPr>
        <w:ilvl w:val="2"/>
        <w:numId w:val="6"/>
      </w:numPr>
      <w:spacing w:after="0" w:line="480" w:lineRule="auto"/>
      <w:jc w:val="both"/>
      <w:outlineLvl w:val="2"/>
    </w:pPr>
    <w:rPr>
      <w:rFonts w:asciiTheme="majorBidi" w:eastAsiaTheme="majorEastAsia" w:hAnsiTheme="majorBidi" w:cstheme="majorBidi"/>
      <w:b/>
      <w:bCs/>
      <w:color w:val="auto"/>
      <w:kern w:val="2"/>
      <w:sz w:val="24"/>
      <w:lang w:val="en-US" w:eastAsia="en-US"/>
      <w14:ligatures w14:val="standardContextual"/>
    </w:rPr>
  </w:style>
  <w:style w:type="paragraph" w:styleId="Heading4">
    <w:name w:val="heading 4"/>
    <w:aliases w:val="h4"/>
    <w:basedOn w:val="Normal"/>
    <w:next w:val="Normal"/>
    <w:link w:val="Heading4Char"/>
    <w:unhideWhenUsed/>
    <w:qFormat/>
    <w:rsid w:val="003E533D"/>
    <w:pPr>
      <w:keepNext/>
      <w:keepLines/>
      <w:numPr>
        <w:ilvl w:val="3"/>
        <w:numId w:val="6"/>
      </w:numPr>
      <w:spacing w:after="0" w:line="480" w:lineRule="auto"/>
      <w:jc w:val="both"/>
      <w:outlineLvl w:val="3"/>
    </w:pPr>
    <w:rPr>
      <w:rFonts w:asciiTheme="majorBidi" w:eastAsiaTheme="majorEastAsia" w:hAnsiTheme="majorBidi" w:cstheme="majorBidi"/>
      <w:b/>
      <w:bCs/>
      <w:iCs/>
      <w:color w:val="auto"/>
      <w:kern w:val="2"/>
      <w:sz w:val="24"/>
      <w:lang w:val="en-US" w:eastAsia="en-US"/>
      <w14:ligatures w14:val="standardContextual"/>
    </w:rPr>
  </w:style>
  <w:style w:type="paragraph" w:styleId="Heading5">
    <w:name w:val="heading 5"/>
    <w:aliases w:val="h5"/>
    <w:basedOn w:val="Normal"/>
    <w:next w:val="Normal"/>
    <w:link w:val="Heading5Char"/>
    <w:unhideWhenUsed/>
    <w:qFormat/>
    <w:rsid w:val="003E533D"/>
    <w:pPr>
      <w:keepNext/>
      <w:keepLines/>
      <w:numPr>
        <w:ilvl w:val="4"/>
        <w:numId w:val="6"/>
      </w:numPr>
      <w:spacing w:after="0" w:line="480" w:lineRule="auto"/>
      <w:jc w:val="both"/>
      <w:outlineLvl w:val="4"/>
    </w:pPr>
    <w:rPr>
      <w:rFonts w:asciiTheme="majorBidi" w:eastAsiaTheme="majorEastAsia" w:hAnsiTheme="majorBidi" w:cstheme="majorBidi"/>
      <w:b/>
      <w:i/>
      <w:color w:val="auto"/>
      <w:kern w:val="2"/>
      <w:sz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3E533D"/>
    <w:rPr>
      <w:rFonts w:asciiTheme="majorBidi" w:eastAsiaTheme="majorEastAsia" w:hAnsiTheme="majorBidi" w:cstheme="majorBidi"/>
      <w:b/>
      <w:bCs/>
      <w:caps/>
      <w:sz w:val="24"/>
      <w:szCs w:val="28"/>
      <w:lang w:val="en-US"/>
    </w:rPr>
  </w:style>
  <w:style w:type="character" w:customStyle="1" w:styleId="Heading2Char">
    <w:name w:val="Heading 2 Char"/>
    <w:aliases w:val="h2 Char"/>
    <w:basedOn w:val="DefaultParagraphFont"/>
    <w:link w:val="Heading2"/>
    <w:rsid w:val="003E533D"/>
    <w:rPr>
      <w:rFonts w:asciiTheme="majorBidi" w:eastAsiaTheme="majorEastAsia" w:hAnsiTheme="majorBidi" w:cstheme="majorBidi"/>
      <w:b/>
      <w:bCs/>
      <w:sz w:val="24"/>
      <w:szCs w:val="26"/>
      <w:lang w:val="en-US"/>
    </w:rPr>
  </w:style>
  <w:style w:type="character" w:customStyle="1" w:styleId="Heading3Char">
    <w:name w:val="Heading 3 Char"/>
    <w:aliases w:val="h3 Char"/>
    <w:basedOn w:val="DefaultParagraphFont"/>
    <w:link w:val="Heading3"/>
    <w:rsid w:val="003E533D"/>
    <w:rPr>
      <w:rFonts w:asciiTheme="majorBidi" w:eastAsiaTheme="majorEastAsia" w:hAnsiTheme="majorBidi" w:cstheme="majorBidi"/>
      <w:b/>
      <w:bCs/>
      <w:sz w:val="24"/>
      <w:szCs w:val="22"/>
      <w:lang w:val="en-US"/>
    </w:rPr>
  </w:style>
  <w:style w:type="character" w:customStyle="1" w:styleId="Heading4Char">
    <w:name w:val="Heading 4 Char"/>
    <w:aliases w:val="h4 Char"/>
    <w:basedOn w:val="DefaultParagraphFont"/>
    <w:link w:val="Heading4"/>
    <w:rsid w:val="003E533D"/>
    <w:rPr>
      <w:rFonts w:asciiTheme="majorBidi" w:eastAsiaTheme="majorEastAsia" w:hAnsiTheme="majorBidi" w:cstheme="majorBidi"/>
      <w:b/>
      <w:bCs/>
      <w:iCs/>
      <w:sz w:val="24"/>
      <w:szCs w:val="22"/>
      <w:lang w:val="en-US"/>
    </w:rPr>
  </w:style>
  <w:style w:type="character" w:customStyle="1" w:styleId="Heading5Char">
    <w:name w:val="Heading 5 Char"/>
    <w:aliases w:val="h5 Char"/>
    <w:basedOn w:val="DefaultParagraphFont"/>
    <w:link w:val="Heading5"/>
    <w:rsid w:val="003E533D"/>
    <w:rPr>
      <w:rFonts w:asciiTheme="majorBidi" w:eastAsiaTheme="majorEastAsia" w:hAnsiTheme="majorBidi" w:cstheme="majorBidi"/>
      <w:b/>
      <w:i/>
      <w:sz w:val="24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E533D"/>
    <w:pPr>
      <w:tabs>
        <w:tab w:val="right" w:leader="dot" w:pos="8495"/>
      </w:tabs>
      <w:spacing w:after="0" w:line="480" w:lineRule="auto"/>
      <w:ind w:left="0" w:firstLine="0"/>
      <w:jc w:val="both"/>
    </w:pPr>
    <w:rPr>
      <w:rFonts w:ascii="Times New Roman" w:eastAsiaTheme="minorEastAsia" w:hAnsi="Times New Roman" w:cstheme="minorBidi"/>
      <w:noProof/>
      <w:color w:val="auto"/>
      <w:kern w:val="2"/>
      <w:sz w:val="24"/>
      <w:lang w:val="en-US" w:eastAsia="en-US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E533D"/>
    <w:pPr>
      <w:tabs>
        <w:tab w:val="left" w:pos="1803"/>
        <w:tab w:val="right" w:leader="dot" w:pos="8495"/>
      </w:tabs>
      <w:spacing w:before="480" w:after="0" w:line="480" w:lineRule="auto"/>
      <w:ind w:left="0" w:firstLine="0"/>
      <w:jc w:val="both"/>
    </w:pPr>
    <w:rPr>
      <w:rFonts w:ascii="Times New Roman" w:eastAsiaTheme="minorEastAsia" w:hAnsi="Times New Roman" w:cstheme="minorBidi"/>
      <w:b/>
      <w:caps/>
      <w:color w:val="auto"/>
      <w:kern w:val="2"/>
      <w:sz w:val="24"/>
      <w:lang w:val="en-US" w:eastAsia="en-US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E533D"/>
    <w:pPr>
      <w:tabs>
        <w:tab w:val="left" w:pos="0"/>
        <w:tab w:val="left" w:pos="1304"/>
        <w:tab w:val="right" w:leader="dot" w:pos="8495"/>
      </w:tabs>
      <w:spacing w:after="0" w:line="480" w:lineRule="auto"/>
      <w:ind w:left="567" w:hanging="567"/>
      <w:jc w:val="both"/>
    </w:pPr>
    <w:rPr>
      <w:rFonts w:ascii="Times New Roman" w:eastAsiaTheme="minorEastAsia" w:hAnsi="Times New Roman" w:cstheme="minorBidi"/>
      <w:noProof/>
      <w:color w:val="auto"/>
      <w:kern w:val="2"/>
      <w:sz w:val="24"/>
      <w:lang w:val="en-US" w:eastAsia="en-US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3E533D"/>
    <w:pPr>
      <w:tabs>
        <w:tab w:val="left" w:pos="1760"/>
        <w:tab w:val="right" w:leader="dot" w:pos="8495"/>
      </w:tabs>
      <w:spacing w:after="0" w:line="480" w:lineRule="auto"/>
      <w:ind w:left="1361" w:hanging="794"/>
      <w:jc w:val="both"/>
    </w:pPr>
    <w:rPr>
      <w:rFonts w:asciiTheme="majorBidi" w:eastAsiaTheme="minorEastAsia" w:hAnsiTheme="majorBidi" w:cstheme="minorBidi"/>
      <w:noProof/>
      <w:color w:val="auto"/>
      <w:kern w:val="2"/>
      <w:sz w:val="24"/>
      <w:lang w:val="en-US" w:eastAsia="en-US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E533D"/>
    <w:pPr>
      <w:tabs>
        <w:tab w:val="left" w:pos="2921"/>
        <w:tab w:val="right" w:leader="dot" w:pos="8495"/>
      </w:tabs>
      <w:spacing w:after="0" w:line="480" w:lineRule="auto"/>
      <w:ind w:left="2269" w:hanging="851"/>
      <w:jc w:val="both"/>
    </w:pPr>
    <w:rPr>
      <w:rFonts w:asciiTheme="majorBidi" w:eastAsiaTheme="minorEastAsia" w:hAnsiTheme="majorBidi" w:cstheme="minorBidi"/>
      <w:color w:val="auto"/>
      <w:kern w:val="2"/>
      <w:sz w:val="24"/>
      <w:lang w:val="en-US" w:eastAsia="en-US"/>
      <w14:ligatures w14:val="standardContextual"/>
    </w:rPr>
  </w:style>
  <w:style w:type="paragraph" w:styleId="TOC6">
    <w:name w:val="toc 6"/>
    <w:basedOn w:val="Normal"/>
    <w:next w:val="Normal"/>
    <w:autoRedefine/>
    <w:uiPriority w:val="4"/>
    <w:unhideWhenUsed/>
    <w:rsid w:val="003E533D"/>
    <w:pPr>
      <w:tabs>
        <w:tab w:val="left" w:pos="2527"/>
        <w:tab w:val="right" w:leader="dot" w:pos="8495"/>
      </w:tabs>
      <w:spacing w:after="0" w:line="480" w:lineRule="auto"/>
      <w:ind w:left="2269" w:hanging="851"/>
      <w:jc w:val="both"/>
    </w:pPr>
    <w:rPr>
      <w:rFonts w:asciiTheme="majorBidi" w:eastAsiaTheme="minorEastAsia" w:hAnsiTheme="majorBidi" w:cstheme="minorBidi"/>
      <w:color w:val="auto"/>
      <w:kern w:val="2"/>
      <w:sz w:val="24"/>
      <w:lang w:val="en-US" w:eastAsia="en-US"/>
      <w14:ligatures w14:val="standardContextua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533D"/>
    <w:pPr>
      <w:spacing w:line="276" w:lineRule="auto"/>
      <w:outlineLvl w:val="9"/>
    </w:pPr>
    <w:rPr>
      <w:rFonts w:asciiTheme="majorHAnsi" w:hAnsiTheme="majorHAnsi"/>
      <w:color w:val="2F5496" w:themeColor="accent1" w:themeShade="BF"/>
    </w:rPr>
  </w:style>
  <w:style w:type="table" w:styleId="TableGrid">
    <w:name w:val="Table Grid"/>
    <w:basedOn w:val="TableNormal"/>
    <w:uiPriority w:val="39"/>
    <w:rsid w:val="009616AC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Putri Nur Fatin</dc:creator>
  <cp:keywords/>
  <dc:description/>
  <cp:lastModifiedBy>Putri Nur Fatin</cp:lastModifiedBy>
  <cp:revision>1</cp:revision>
  <dcterms:created xsi:type="dcterms:W3CDTF">2023-02-16T01:07:00Z</dcterms:created>
  <dcterms:modified xsi:type="dcterms:W3CDTF">2023-02-16T01:08:00Z</dcterms:modified>
</cp:coreProperties>
</file>