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6AE8F" w14:textId="77777777" w:rsidR="00B51EA4" w:rsidRDefault="00B51EA4" w:rsidP="00B51EA4">
      <w:pPr>
        <w:spacing w:before="360" w:after="240" w:line="300" w:lineRule="auto"/>
        <w:jc w:val="both"/>
        <w:rPr>
          <w:b/>
          <w:i/>
          <w:lang w:val="en-GB"/>
        </w:rPr>
      </w:pPr>
      <w:r>
        <w:rPr>
          <w:b/>
          <w:i/>
          <w:lang w:val="en-GB"/>
        </w:rPr>
        <w:t>Tables</w:t>
      </w:r>
    </w:p>
    <w:p w14:paraId="44F35D7F" w14:textId="77777777" w:rsidR="00B51EA4" w:rsidRPr="00AC4A2A" w:rsidRDefault="00B51EA4" w:rsidP="00B51EA4">
      <w:pPr>
        <w:keepNext/>
        <w:keepLines/>
        <w:spacing w:before="360" w:line="300" w:lineRule="auto"/>
        <w:ind w:firstLine="567"/>
        <w:jc w:val="center"/>
        <w:rPr>
          <w:lang w:val="en-US"/>
        </w:rPr>
      </w:pPr>
      <w:r w:rsidRPr="00AC4A2A">
        <w:rPr>
          <w:b/>
          <w:lang w:val="en-US"/>
        </w:rPr>
        <w:t>Table 1</w:t>
      </w:r>
      <w:r w:rsidRPr="00AC4A2A">
        <w:rPr>
          <w:lang w:val="en-US"/>
        </w:rPr>
        <w:t>: Impact of the inflationary shock on households’ purchasing power (</w:t>
      </w:r>
      <w:r w:rsidRPr="00AC4A2A">
        <w:rPr>
          <w:i/>
          <w:lang w:val="en-US"/>
        </w:rPr>
        <w:t>bn euros</w:t>
      </w:r>
      <w:r w:rsidRPr="00AC4A2A">
        <w:rPr>
          <w:lang w:val="en-US"/>
        </w:rPr>
        <w:t xml:space="preserve">) </w:t>
      </w:r>
    </w:p>
    <w:p w14:paraId="475697CB" w14:textId="77777777" w:rsidR="00B51EA4" w:rsidRPr="00AC4A2A" w:rsidRDefault="00B51EA4" w:rsidP="00B51EA4">
      <w:pPr>
        <w:keepNext/>
        <w:keepLines/>
        <w:spacing w:line="300" w:lineRule="auto"/>
        <w:ind w:firstLine="567"/>
        <w:jc w:val="center"/>
        <w:rPr>
          <w:noProof/>
          <w:lang w:val="en-US" w:eastAsia="en-GB"/>
        </w:rPr>
      </w:pPr>
      <w:r w:rsidRPr="006E5FF0">
        <w:rPr>
          <w:noProof/>
          <w:lang w:val="en-GB" w:eastAsia="en-GB"/>
        </w:rPr>
        <w:drawing>
          <wp:inline distT="0" distB="0" distL="0" distR="0" wp14:anchorId="2FAFB47D" wp14:editId="02ABFDE6">
            <wp:extent cx="5643302" cy="124877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30" cy="126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A2B99" w14:textId="77777777" w:rsidR="00B51EA4" w:rsidRPr="00AC4A2A" w:rsidRDefault="00B51EA4" w:rsidP="00B51EA4">
      <w:pPr>
        <w:keepNext/>
        <w:keepLines/>
        <w:ind w:right="2834" w:firstLine="1134"/>
        <w:jc w:val="center"/>
        <w:rPr>
          <w:sz w:val="20"/>
          <w:szCs w:val="20"/>
          <w:lang w:val="en-US"/>
        </w:rPr>
      </w:pPr>
      <w:r w:rsidRPr="00AC4A2A">
        <w:rPr>
          <w:i/>
          <w:sz w:val="20"/>
          <w:szCs w:val="20"/>
          <w:lang w:val="en-US"/>
        </w:rPr>
        <w:t>Source</w:t>
      </w:r>
      <w:r w:rsidRPr="00AC4A2A">
        <w:rPr>
          <w:sz w:val="20"/>
          <w:szCs w:val="20"/>
          <w:lang w:val="en-US"/>
        </w:rPr>
        <w:t xml:space="preserve">: our calculations on data from Istat, Banca d’Italia and BIMic. </w:t>
      </w:r>
    </w:p>
    <w:p w14:paraId="01377928" w14:textId="77777777" w:rsidR="00B51EA4" w:rsidRDefault="00B51EA4" w:rsidP="00B51EA4">
      <w:pPr>
        <w:keepNext/>
        <w:keepLines/>
        <w:spacing w:after="480"/>
        <w:ind w:left="1134" w:right="56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Note: “one-off allowances” include the 200- and 150-euros bonuses; “other measures affecting take-home pay” include the reduction of social security contributions paid by employees and the partial advance to 2022 of pension indexation.</w:t>
      </w:r>
    </w:p>
    <w:p w14:paraId="482FAE93" w14:textId="77777777" w:rsidR="00B51EA4" w:rsidRDefault="00B51EA4" w:rsidP="00B51EA4">
      <w:pPr>
        <w:keepNext/>
        <w:keepLines/>
        <w:spacing w:before="360" w:line="300" w:lineRule="auto"/>
        <w:ind w:firstLine="567"/>
        <w:jc w:val="center"/>
        <w:rPr>
          <w:noProof/>
          <w:lang w:val="en-GB" w:eastAsia="en-GB"/>
        </w:rPr>
      </w:pPr>
      <w:r>
        <w:rPr>
          <w:b/>
          <w:lang w:val="en-US"/>
        </w:rPr>
        <w:t>Table 2</w:t>
      </w:r>
      <w:r w:rsidRPr="00AC4A2A">
        <w:rPr>
          <w:lang w:val="en-US"/>
        </w:rPr>
        <w:t>: Impact</w:t>
      </w:r>
      <w:r>
        <w:rPr>
          <w:lang w:val="en-US"/>
        </w:rPr>
        <w:t>s</w:t>
      </w:r>
      <w:r w:rsidRPr="00AC4A2A">
        <w:rPr>
          <w:lang w:val="en-US"/>
        </w:rPr>
        <w:t xml:space="preserve"> on </w:t>
      </w:r>
      <w:r>
        <w:rPr>
          <w:lang w:val="en-US"/>
        </w:rPr>
        <w:t xml:space="preserve">average </w:t>
      </w:r>
      <w:r w:rsidRPr="00AC4A2A">
        <w:rPr>
          <w:lang w:val="en-US"/>
        </w:rPr>
        <w:t>households’ purchasing power (</w:t>
      </w:r>
      <w:r w:rsidRPr="00AC4A2A">
        <w:rPr>
          <w:i/>
          <w:lang w:val="en-US"/>
        </w:rPr>
        <w:t>euros</w:t>
      </w:r>
      <w:r w:rsidRPr="00AC4A2A">
        <w:rPr>
          <w:lang w:val="en-US"/>
        </w:rPr>
        <w:t xml:space="preserve">) </w:t>
      </w:r>
    </w:p>
    <w:p w14:paraId="68491C56" w14:textId="77777777" w:rsidR="00B51EA4" w:rsidRPr="00AC4A2A" w:rsidRDefault="00B51EA4" w:rsidP="00B51EA4">
      <w:pPr>
        <w:keepNext/>
        <w:keepLines/>
        <w:spacing w:line="300" w:lineRule="auto"/>
        <w:jc w:val="center"/>
        <w:rPr>
          <w:lang w:val="en-US"/>
        </w:rPr>
      </w:pPr>
      <w:r w:rsidRPr="006E5FF0">
        <w:rPr>
          <w:noProof/>
          <w:lang w:val="en-GB" w:eastAsia="en-GB"/>
        </w:rPr>
        <w:drawing>
          <wp:inline distT="0" distB="0" distL="0" distR="0" wp14:anchorId="1B3815E8" wp14:editId="51AD2559">
            <wp:extent cx="6120130" cy="139976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0F9DD" w14:textId="77777777" w:rsidR="00B51EA4" w:rsidRDefault="00B51EA4" w:rsidP="00B51EA4">
      <w:pPr>
        <w:keepNext/>
        <w:keepLines/>
        <w:ind w:left="-142" w:right="2834" w:firstLine="142"/>
        <w:rPr>
          <w:sz w:val="20"/>
          <w:szCs w:val="20"/>
          <w:lang w:val="en-US"/>
        </w:rPr>
      </w:pPr>
      <w:r w:rsidRPr="00AC4A2A">
        <w:rPr>
          <w:i/>
          <w:sz w:val="20"/>
          <w:szCs w:val="20"/>
          <w:lang w:val="en-US"/>
        </w:rPr>
        <w:t>Source</w:t>
      </w:r>
      <w:r w:rsidRPr="00AC4A2A">
        <w:rPr>
          <w:sz w:val="20"/>
          <w:szCs w:val="20"/>
          <w:lang w:val="en-US"/>
        </w:rPr>
        <w:t xml:space="preserve">: our calculations on data from Istat, Banca d’Italia and BIMic. </w:t>
      </w:r>
    </w:p>
    <w:p w14:paraId="1EAC09AF" w14:textId="7A7E9D6C" w:rsidR="00E1715D" w:rsidRPr="00B51EA4" w:rsidRDefault="00B51EA4" w:rsidP="00B51EA4">
      <w:pPr>
        <w:spacing w:before="360" w:after="240" w:line="300" w:lineRule="auto"/>
        <w:jc w:val="both"/>
        <w:rPr>
          <w:b/>
          <w:i/>
          <w:lang w:val="en-US"/>
        </w:rPr>
      </w:pPr>
      <w:r>
        <w:rPr>
          <w:sz w:val="20"/>
          <w:szCs w:val="20"/>
          <w:lang w:val="en-US"/>
        </w:rPr>
        <w:t>Note: “one-off allowances” include the 200- and 150-euros bonuses; “other measures affecting take-home pay” include the reduction of social security contributions paid by employees and the partial advance to 2022 of pension indexation.</w:t>
      </w:r>
    </w:p>
    <w:sectPr w:rsidR="00E1715D" w:rsidRPr="00B51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A4"/>
    <w:rsid w:val="001942F0"/>
    <w:rsid w:val="002C0857"/>
    <w:rsid w:val="003F01F8"/>
    <w:rsid w:val="00884728"/>
    <w:rsid w:val="008E2845"/>
    <w:rsid w:val="00B51EA4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6B044"/>
  <w15:chartTrackingRefBased/>
  <w15:docId w15:val="{0E501CFD-92F4-4842-A730-8BBB84D3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EA4"/>
    <w:pPr>
      <w:spacing w:after="0" w:line="240" w:lineRule="auto"/>
    </w:pPr>
    <w:rPr>
      <w:rFonts w:ascii="Times New Roman" w:hAnsi="Times New Roman" w:cs="Times New Roman"/>
      <w:sz w:val="24"/>
      <w:szCs w:val="24"/>
      <w:lang w:val="it-IT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Springer Nature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2023-03-06T07:52:00Z</dcterms:created>
  <dcterms:modified xsi:type="dcterms:W3CDTF">2023-03-06T07:52:00Z</dcterms:modified>
</cp:coreProperties>
</file>