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EC7E4" w14:textId="77777777" w:rsidR="00FA254B" w:rsidRPr="00B6278F" w:rsidRDefault="00FA254B" w:rsidP="00FA254B">
      <w:pPr>
        <w:spacing w:before="120" w:after="120" w:line="360" w:lineRule="auto"/>
        <w:ind w:firstLine="708"/>
        <w:jc w:val="both"/>
        <w:rPr>
          <w:b/>
          <w:lang w:val="en-US"/>
        </w:rPr>
      </w:pPr>
      <w:r w:rsidRPr="00B6278F">
        <w:rPr>
          <w:b/>
          <w:lang w:val="en-US"/>
        </w:rPr>
        <w:t>Appendix</w:t>
      </w:r>
    </w:p>
    <w:p w14:paraId="2B776074" w14:textId="77777777" w:rsidR="00FA254B" w:rsidRPr="00AC4A2A" w:rsidRDefault="00FA254B" w:rsidP="00FA254B">
      <w:pPr>
        <w:spacing w:before="120" w:after="120" w:line="360" w:lineRule="auto"/>
        <w:ind w:firstLine="708"/>
        <w:jc w:val="both"/>
        <w:rPr>
          <w:lang w:val="en-US"/>
        </w:rPr>
      </w:pPr>
      <w:r>
        <w:rPr>
          <w:lang w:val="en-US"/>
        </w:rPr>
        <w:t xml:space="preserve">The measures categorized in the four groups reported in Section 2 </w:t>
      </w:r>
      <w:r w:rsidRPr="00AC4A2A">
        <w:rPr>
          <w:lang w:val="en-US"/>
        </w:rPr>
        <w:t xml:space="preserve">are </w:t>
      </w:r>
      <w:r>
        <w:rPr>
          <w:lang w:val="en-US"/>
        </w:rPr>
        <w:t xml:space="preserve">included in </w:t>
      </w:r>
      <w:r w:rsidRPr="00AC4A2A">
        <w:rPr>
          <w:lang w:val="en-US"/>
        </w:rPr>
        <w:t>the following</w:t>
      </w:r>
      <w:r>
        <w:rPr>
          <w:lang w:val="en-US"/>
        </w:rPr>
        <w:t xml:space="preserve"> legislative acts:</w:t>
      </w:r>
    </w:p>
    <w:p w14:paraId="1DBC07D4" w14:textId="77777777" w:rsidR="00FA254B" w:rsidRPr="002D4492" w:rsidRDefault="00FA254B" w:rsidP="00FA254B">
      <w:pPr>
        <w:pStyle w:val="ListParagraph"/>
        <w:numPr>
          <w:ilvl w:val="0"/>
          <w:numId w:val="1"/>
        </w:numPr>
        <w:spacing w:before="120" w:after="120" w:line="360" w:lineRule="auto"/>
        <w:contextualSpacing w:val="0"/>
        <w:rPr>
          <w:lang w:val="en-US"/>
        </w:rPr>
      </w:pPr>
      <w:r w:rsidRPr="002D4492">
        <w:rPr>
          <w:lang w:val="en-US"/>
        </w:rPr>
        <w:t>The D</w:t>
      </w:r>
      <w:r>
        <w:rPr>
          <w:lang w:val="en-US"/>
        </w:rPr>
        <w:t>ecree Law (D.L.)</w:t>
      </w:r>
      <w:r w:rsidRPr="002D4492">
        <w:rPr>
          <w:lang w:val="en-US"/>
        </w:rPr>
        <w:t xml:space="preserve"> 99/2021 eliminated general </w:t>
      </w:r>
      <w:r>
        <w:rPr>
          <w:lang w:val="en-US"/>
        </w:rPr>
        <w:t xml:space="preserve">system </w:t>
      </w:r>
      <w:r w:rsidRPr="002D4492">
        <w:rPr>
          <w:lang w:val="en-US"/>
        </w:rPr>
        <w:t>charges pa</w:t>
      </w:r>
      <w:r>
        <w:rPr>
          <w:lang w:val="en-US"/>
        </w:rPr>
        <w:t>i</w:t>
      </w:r>
      <w:r w:rsidRPr="002D4492">
        <w:rPr>
          <w:lang w:val="en-US"/>
        </w:rPr>
        <w:t xml:space="preserve">d by electricity users for the third quarter of 2021, lowering to 9.9 per cent from above 20 per cent the increase in tariffs on the regulated electricity market compared to three months earlier. The D.L. 130/2021 </w:t>
      </w:r>
      <w:r>
        <w:rPr>
          <w:lang w:val="en-US"/>
        </w:rPr>
        <w:t xml:space="preserve">extended </w:t>
      </w:r>
      <w:r w:rsidRPr="002D4492">
        <w:rPr>
          <w:lang w:val="en-US"/>
        </w:rPr>
        <w:t xml:space="preserve">to the fourth quarter of 2021 the reduction in general </w:t>
      </w:r>
      <w:r>
        <w:rPr>
          <w:lang w:val="en-US"/>
        </w:rPr>
        <w:t xml:space="preserve">system </w:t>
      </w:r>
      <w:r w:rsidRPr="002D4492">
        <w:rPr>
          <w:lang w:val="en-US"/>
        </w:rPr>
        <w:t xml:space="preserve">charges for electricity users and extended it to gas users; for these consumers it also dictated the application of a reduced value added tax (VAT) rate (at 5 per cent). This implied a smaller increase than </w:t>
      </w:r>
      <w:r>
        <w:rPr>
          <w:lang w:val="en-US"/>
        </w:rPr>
        <w:t>there</w:t>
      </w:r>
      <w:r w:rsidRPr="002D4492">
        <w:rPr>
          <w:lang w:val="en-US"/>
        </w:rPr>
        <w:t xml:space="preserve"> would have </w:t>
      </w:r>
      <w:r>
        <w:rPr>
          <w:lang w:val="en-US"/>
        </w:rPr>
        <w:t xml:space="preserve">been </w:t>
      </w:r>
      <w:r w:rsidRPr="002D4492">
        <w:rPr>
          <w:lang w:val="en-US"/>
        </w:rPr>
        <w:t xml:space="preserve">without the Government intervention for both electricity tariffs (29.8 percent instead of 45 per cent) and gas tariffs (14.4 per cent instead of 30) in the corresponding regulated markets. The same decree also </w:t>
      </w:r>
      <w:r w:rsidRPr="006F3C38">
        <w:rPr>
          <w:lang w:val="en-US"/>
        </w:rPr>
        <w:t>strengthened</w:t>
      </w:r>
      <w:r w:rsidRPr="002D4492">
        <w:rPr>
          <w:lang w:val="en-US"/>
        </w:rPr>
        <w:t xml:space="preserve"> the </w:t>
      </w:r>
      <w:r>
        <w:rPr>
          <w:lang w:val="en-US"/>
        </w:rPr>
        <w:t xml:space="preserve">standard </w:t>
      </w:r>
      <w:r w:rsidRPr="002D4492">
        <w:rPr>
          <w:lang w:val="en-US"/>
        </w:rPr>
        <w:t>electricity and gas social bonuses, intended for the most economic fragile families</w:t>
      </w:r>
      <w:r>
        <w:rPr>
          <w:lang w:val="en-US"/>
        </w:rPr>
        <w:t>,</w:t>
      </w:r>
      <w:r w:rsidRPr="002D4492">
        <w:rPr>
          <w:lang w:val="en-US"/>
        </w:rPr>
        <w:t xml:space="preserve"> by raising their amount (see below).</w:t>
      </w:r>
    </w:p>
    <w:p w14:paraId="518500A5" w14:textId="77777777" w:rsidR="00FA254B" w:rsidRPr="002D4492" w:rsidRDefault="00FA254B" w:rsidP="00FA254B">
      <w:pPr>
        <w:pStyle w:val="ListParagraph"/>
        <w:numPr>
          <w:ilvl w:val="0"/>
          <w:numId w:val="1"/>
        </w:numPr>
        <w:spacing w:before="120" w:after="120" w:line="360" w:lineRule="auto"/>
        <w:contextualSpacing w:val="0"/>
        <w:rPr>
          <w:lang w:val="en-US"/>
        </w:rPr>
      </w:pPr>
      <w:r w:rsidRPr="002D4492">
        <w:rPr>
          <w:lang w:val="en-US"/>
        </w:rPr>
        <w:t xml:space="preserve">The Budget law for 2022 and the D.L. 17/2022 extended the measures planned for 2021 to the first two quarters of 2022. As a consequence, in the regulated markets in the first quarter the increase in electricity tariffs was attenuated by about 10 percentage points, to 55 per cent, and that of gas tariffs by 17.5 points, to 41.8 per cent. The D.L. 21/2022 also allowed, starting from the second quarter, the modification of a tariff component that effectively implied the repeal of the general </w:t>
      </w:r>
      <w:r>
        <w:rPr>
          <w:lang w:val="en-US"/>
        </w:rPr>
        <w:t xml:space="preserve">system </w:t>
      </w:r>
      <w:r w:rsidRPr="002D4492">
        <w:rPr>
          <w:lang w:val="en-US"/>
        </w:rPr>
        <w:t xml:space="preserve">charges payed by gas users. Overall, such measures </w:t>
      </w:r>
      <w:r>
        <w:rPr>
          <w:lang w:val="en-US"/>
        </w:rPr>
        <w:t>implied</w:t>
      </w:r>
      <w:r w:rsidRPr="002D4492">
        <w:rPr>
          <w:lang w:val="en-US"/>
        </w:rPr>
        <w:t xml:space="preserve"> a reduction in electricity and gas bills (estimated at around 10 per cent), the first after almost a year and a half of continued increases. The Budget law also envisaged a cut (by 0.8 percentage points) of the rate of social security contributions </w:t>
      </w:r>
      <w:r>
        <w:rPr>
          <w:lang w:val="en-US"/>
        </w:rPr>
        <w:t xml:space="preserve">paid by employees </w:t>
      </w:r>
      <w:r w:rsidRPr="002D4492">
        <w:rPr>
          <w:lang w:val="en-US"/>
        </w:rPr>
        <w:t>whose annual wage was below 35,000 euros</w:t>
      </w:r>
      <w:r>
        <w:rPr>
          <w:lang w:val="en-US"/>
        </w:rPr>
        <w:t>.</w:t>
      </w:r>
      <w:r>
        <w:rPr>
          <w:rStyle w:val="FootnoteReference"/>
          <w:lang w:val="en-US"/>
        </w:rPr>
        <w:footnoteReference w:id="1"/>
      </w:r>
      <w:r w:rsidRPr="002D4492">
        <w:rPr>
          <w:lang w:val="en-US"/>
        </w:rPr>
        <w:t xml:space="preserve"> </w:t>
      </w:r>
    </w:p>
    <w:p w14:paraId="76768F5B" w14:textId="77777777" w:rsidR="00FA254B" w:rsidRPr="002D4492" w:rsidRDefault="00FA254B" w:rsidP="00FA254B">
      <w:pPr>
        <w:pStyle w:val="ListParagraph"/>
        <w:numPr>
          <w:ilvl w:val="0"/>
          <w:numId w:val="1"/>
        </w:numPr>
        <w:spacing w:before="120" w:after="120" w:line="360" w:lineRule="auto"/>
        <w:contextualSpacing w:val="0"/>
        <w:rPr>
          <w:lang w:val="en-US"/>
        </w:rPr>
      </w:pPr>
      <w:r w:rsidRPr="002D4492">
        <w:rPr>
          <w:lang w:val="en-US"/>
        </w:rPr>
        <w:t xml:space="preserve">The D.L. 21/2022, followed by other 11 decrees, </w:t>
      </w:r>
      <w:r>
        <w:rPr>
          <w:lang w:val="en-US"/>
        </w:rPr>
        <w:t>provided for</w:t>
      </w:r>
      <w:r w:rsidRPr="002D4492">
        <w:rPr>
          <w:lang w:val="en-US"/>
        </w:rPr>
        <w:t xml:space="preserve"> a cut in excise duties on fuels in place from the 23</w:t>
      </w:r>
      <w:r w:rsidRPr="002D4492">
        <w:rPr>
          <w:vertAlign w:val="superscript"/>
          <w:lang w:val="en-US"/>
        </w:rPr>
        <w:t>rd</w:t>
      </w:r>
      <w:r w:rsidRPr="002D4492">
        <w:rPr>
          <w:lang w:val="en-US"/>
        </w:rPr>
        <w:t xml:space="preserve"> of March until the end of the year (0.25 euros per liter, corresponding to 0.305 including VAT), which is estimated to reduce inflation in each </w:t>
      </w:r>
      <w:r w:rsidRPr="002D4492">
        <w:rPr>
          <w:lang w:val="en-US"/>
        </w:rPr>
        <w:lastRenderedPageBreak/>
        <w:t>quarter by about half a percentage point. The number of households eligible for social bonuses was also temporarily expanded.</w:t>
      </w:r>
      <w:r w:rsidRPr="002D4492">
        <w:rPr>
          <w:rStyle w:val="FootnoteReference"/>
          <w:lang w:val="en-US"/>
        </w:rPr>
        <w:footnoteReference w:id="2"/>
      </w:r>
      <w:r w:rsidRPr="002D4492">
        <w:rPr>
          <w:lang w:val="en-US"/>
        </w:rPr>
        <w:t xml:space="preserve"> Such bonuses, although implying a direct discount on the energy bills, until March 2022 were not considered by Istat in the compilation of the harmonized price index (being instead accounted for as public transfers in the disposable income of households). Since April 2022</w:t>
      </w:r>
      <w:r>
        <w:rPr>
          <w:lang w:val="en-US"/>
        </w:rPr>
        <w:t>,</w:t>
      </w:r>
      <w:r w:rsidRPr="002D4492">
        <w:rPr>
          <w:lang w:val="en-US"/>
        </w:rPr>
        <w:t xml:space="preserve"> Istat considered the discount on the bill as an effective reduction of </w:t>
      </w:r>
      <w:r>
        <w:rPr>
          <w:lang w:val="en-US"/>
        </w:rPr>
        <w:t xml:space="preserve">the </w:t>
      </w:r>
      <w:r w:rsidRPr="002D4492">
        <w:rPr>
          <w:lang w:val="en-US"/>
        </w:rPr>
        <w:t>price, with</w:t>
      </w:r>
      <w:r>
        <w:rPr>
          <w:lang w:val="en-US"/>
        </w:rPr>
        <w:t xml:space="preserve"> a</w:t>
      </w:r>
      <w:r w:rsidRPr="002D4492">
        <w:rPr>
          <w:lang w:val="en-US"/>
        </w:rPr>
        <w:t xml:space="preserve"> significant impact on </w:t>
      </w:r>
      <w:r>
        <w:rPr>
          <w:lang w:val="en-US"/>
        </w:rPr>
        <w:t>headline</w:t>
      </w:r>
      <w:r w:rsidRPr="002D4492">
        <w:rPr>
          <w:lang w:val="en-US"/>
        </w:rPr>
        <w:t xml:space="preserve"> inflation</w:t>
      </w:r>
      <w:r>
        <w:rPr>
          <w:lang w:val="en-US"/>
        </w:rPr>
        <w:t>. This decision was motivated by two reasons: first,</w:t>
      </w:r>
      <w:r w:rsidRPr="002D4492">
        <w:rPr>
          <w:lang w:val="en-US"/>
        </w:rPr>
        <w:t xml:space="preserve"> the introduction of an automatic procedure for granting the bonus (it is the social security institute, INPS, that communicates the names of the eligible families to the various electricity and gas suppliers which then directly apply the discount on the bill)</w:t>
      </w:r>
      <w:r>
        <w:rPr>
          <w:lang w:val="en-US"/>
        </w:rPr>
        <w:t>; second,</w:t>
      </w:r>
      <w:r w:rsidRPr="002D4492">
        <w:rPr>
          <w:lang w:val="en-US"/>
        </w:rPr>
        <w:t xml:space="preserve"> the availability, from April on, of precise estimates on the number of beneficiaries (about 3 million households for the electricity bonus and 2 million for the gas bonus). As a result, the increase in energy prices was revised downward to 40.0 per cent year-on-year, from 42.8 in the preliminary estimate; the growth of the general index was corrected downwards to 6.3 per cent (from 6.6).</w:t>
      </w:r>
    </w:p>
    <w:p w14:paraId="3D6698F5" w14:textId="77777777" w:rsidR="00FA254B" w:rsidRPr="002D4492" w:rsidRDefault="00FA254B" w:rsidP="00FA254B">
      <w:pPr>
        <w:pStyle w:val="ListParagraph"/>
        <w:numPr>
          <w:ilvl w:val="0"/>
          <w:numId w:val="1"/>
        </w:numPr>
        <w:spacing w:line="360" w:lineRule="auto"/>
        <w:contextualSpacing w:val="0"/>
        <w:rPr>
          <w:lang w:val="en-US"/>
        </w:rPr>
      </w:pPr>
      <w:r w:rsidRPr="002D4492">
        <w:rPr>
          <w:lang w:val="en-US"/>
        </w:rPr>
        <w:t xml:space="preserve">In May, the Government issued the so-called “Aid” decree (D.L. 50/2022), which provided, among other measures, a one-off 200 euro bonus targeted to employees, self-employed and retired workers with gross incomes up to 35,000 euro, and also to unemployed, </w:t>
      </w:r>
      <w:r>
        <w:rPr>
          <w:lang w:val="en-US"/>
        </w:rPr>
        <w:t xml:space="preserve">to </w:t>
      </w:r>
      <w:r w:rsidRPr="002D4492">
        <w:rPr>
          <w:lang w:val="en-US"/>
        </w:rPr>
        <w:t xml:space="preserve">seasonal workers, </w:t>
      </w:r>
      <w:r>
        <w:rPr>
          <w:lang w:val="en-US"/>
        </w:rPr>
        <w:t xml:space="preserve">to </w:t>
      </w:r>
      <w:r w:rsidRPr="002D4492">
        <w:rPr>
          <w:lang w:val="en-US"/>
        </w:rPr>
        <w:t xml:space="preserve">home-carers and </w:t>
      </w:r>
      <w:r>
        <w:rPr>
          <w:lang w:val="en-US"/>
        </w:rPr>
        <w:t>to minimum income scheme</w:t>
      </w:r>
      <w:r w:rsidRPr="002D4492">
        <w:rPr>
          <w:lang w:val="en-US"/>
        </w:rPr>
        <w:t xml:space="preserve"> beneficiaries</w:t>
      </w:r>
      <w:r>
        <w:rPr>
          <w:lang w:val="en-US"/>
        </w:rPr>
        <w:t xml:space="preserve"> (in total 31 million recipients). Another one-off allowance amounting to 150 euros was provided </w:t>
      </w:r>
      <w:r w:rsidRPr="002D4492">
        <w:rPr>
          <w:lang w:val="en-US"/>
        </w:rPr>
        <w:t>by the D.L. 144/2022 (“Aid-ter” decree)</w:t>
      </w:r>
      <w:r>
        <w:rPr>
          <w:lang w:val="en-US"/>
        </w:rPr>
        <w:t>, conditional to a lower income limit (20,000 euro; about 22 million recipients)</w:t>
      </w:r>
      <w:r w:rsidRPr="002D4492">
        <w:rPr>
          <w:lang w:val="en-US"/>
        </w:rPr>
        <w:t xml:space="preserve">. </w:t>
      </w:r>
    </w:p>
    <w:p w14:paraId="2406D56F" w14:textId="77777777" w:rsidR="00FA254B" w:rsidRPr="002D4492" w:rsidRDefault="00FA254B" w:rsidP="00FA254B">
      <w:pPr>
        <w:pStyle w:val="ListParagraph"/>
        <w:numPr>
          <w:ilvl w:val="0"/>
          <w:numId w:val="1"/>
        </w:numPr>
        <w:spacing w:line="360" w:lineRule="auto"/>
        <w:contextualSpacing w:val="0"/>
        <w:rPr>
          <w:lang w:val="en-US"/>
        </w:rPr>
      </w:pPr>
      <w:r w:rsidRPr="002D4492">
        <w:rPr>
          <w:lang w:val="en-US"/>
        </w:rPr>
        <w:t xml:space="preserve">In June, the D.L. 80/22 extended to the third quarter the measures affecting electricity and gas tariffs, including the social bonuses. The Government intervention </w:t>
      </w:r>
      <w:r>
        <w:rPr>
          <w:lang w:val="en-US"/>
        </w:rPr>
        <w:t xml:space="preserve">was instrumental in </w:t>
      </w:r>
      <w:r w:rsidRPr="002D4492">
        <w:rPr>
          <w:lang w:val="en-US"/>
        </w:rPr>
        <w:t>attenuat</w:t>
      </w:r>
      <w:r>
        <w:rPr>
          <w:lang w:val="en-US"/>
        </w:rPr>
        <w:t>ing</w:t>
      </w:r>
      <w:r w:rsidRPr="002D4492">
        <w:rPr>
          <w:lang w:val="en-US"/>
        </w:rPr>
        <w:t xml:space="preserve"> the rise in the electricity tariffs in the regulated market (0.4 per cent</w:t>
      </w:r>
      <w:r>
        <w:rPr>
          <w:lang w:val="en-US"/>
        </w:rPr>
        <w:t xml:space="preserve"> instead of 15 per cent</w:t>
      </w:r>
      <w:r w:rsidRPr="002D4492">
        <w:rPr>
          <w:lang w:val="en-US"/>
        </w:rPr>
        <w:t>) and left unchanged those for gas (that would have otherwise increased by 45 per cent).</w:t>
      </w:r>
      <w:r>
        <w:rPr>
          <w:lang w:val="en-US"/>
        </w:rPr>
        <w:t xml:space="preserve"> </w:t>
      </w:r>
    </w:p>
    <w:p w14:paraId="3536C26A" w14:textId="77777777" w:rsidR="00FA254B" w:rsidRPr="002D4492" w:rsidRDefault="00FA254B" w:rsidP="00FA254B">
      <w:pPr>
        <w:pStyle w:val="ListParagraph"/>
        <w:numPr>
          <w:ilvl w:val="0"/>
          <w:numId w:val="1"/>
        </w:numPr>
        <w:spacing w:line="360" w:lineRule="auto"/>
        <w:contextualSpacing w:val="0"/>
        <w:rPr>
          <w:lang w:val="en-US"/>
        </w:rPr>
      </w:pPr>
      <w:r w:rsidRPr="002D4492">
        <w:rPr>
          <w:lang w:val="en-US"/>
        </w:rPr>
        <w:t xml:space="preserve">In August, the so-called “Aid-bis” decree (D.L. 115/2022) raised the extent of the social security contribution cut from 0.8 to 2.0 percentage points for the second half of 2022. It </w:t>
      </w:r>
      <w:r w:rsidRPr="002D4492">
        <w:rPr>
          <w:lang w:val="en-US"/>
        </w:rPr>
        <w:lastRenderedPageBreak/>
        <w:t>also provided for an anticipation of part of the revaluation of the pensions (by 2%) from January 2023 to October 2022 (even if on a selective basis).</w:t>
      </w:r>
      <w:r w:rsidRPr="002D4492">
        <w:rPr>
          <w:rStyle w:val="FootnoteReference"/>
          <w:lang w:val="en-US"/>
        </w:rPr>
        <w:footnoteReference w:id="3"/>
      </w:r>
      <w:r w:rsidRPr="002D4492">
        <w:rPr>
          <w:lang w:val="en-US"/>
        </w:rPr>
        <w:t xml:space="preserve"> Finally, it extended to the fourth quarter the measures for the abatement of the tariffs, including the social bonuses. As a result, the increase in electricity tariffs was attenuated by 41 percentage points, to 59 per cent; in October, gas bills, also thanks to a new methodology for tariffs setting implemented by ARERA (the Italian Regulatory Authority for Energy, Networks and Environment),</w:t>
      </w:r>
      <w:r w:rsidRPr="002D4492">
        <w:rPr>
          <w:rStyle w:val="FootnoteReference"/>
          <w:lang w:val="en-US"/>
        </w:rPr>
        <w:footnoteReference w:id="4"/>
      </w:r>
      <w:r w:rsidRPr="002D4492">
        <w:rPr>
          <w:lang w:val="en-US"/>
        </w:rPr>
        <w:t xml:space="preserve"> decreased by 12.9 per cent.</w:t>
      </w:r>
    </w:p>
    <w:p w14:paraId="10CD341A" w14:textId="77777777" w:rsidR="00FA254B" w:rsidRPr="00B6278F" w:rsidRDefault="00FA254B" w:rsidP="00FA254B">
      <w:pPr>
        <w:spacing w:before="360" w:after="240" w:line="300" w:lineRule="auto"/>
        <w:jc w:val="both"/>
        <w:rPr>
          <w:b/>
          <w:i/>
          <w:lang w:val="en-US"/>
        </w:rPr>
      </w:pPr>
    </w:p>
    <w:p w14:paraId="2B5489E3" w14:textId="2CD65E39" w:rsidR="00FA254B" w:rsidRDefault="00FA254B" w:rsidP="00FA254B">
      <w:pPr>
        <w:rPr>
          <w:b/>
          <w:i/>
          <w:lang w:val="en-GB"/>
        </w:rPr>
      </w:pPr>
    </w:p>
    <w:sectPr w:rsidR="00FA25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9A200" w14:textId="77777777" w:rsidR="0075269D" w:rsidRDefault="0075269D" w:rsidP="00FA254B">
      <w:r>
        <w:separator/>
      </w:r>
    </w:p>
  </w:endnote>
  <w:endnote w:type="continuationSeparator" w:id="0">
    <w:p w14:paraId="46B8EA54" w14:textId="77777777" w:rsidR="0075269D" w:rsidRDefault="0075269D" w:rsidP="00FA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75DBE" w14:textId="77777777" w:rsidR="0075269D" w:rsidRDefault="0075269D" w:rsidP="00FA254B">
      <w:r>
        <w:separator/>
      </w:r>
    </w:p>
  </w:footnote>
  <w:footnote w:type="continuationSeparator" w:id="0">
    <w:p w14:paraId="6B365A51" w14:textId="77777777" w:rsidR="0075269D" w:rsidRDefault="0075269D" w:rsidP="00FA254B">
      <w:r>
        <w:continuationSeparator/>
      </w:r>
    </w:p>
  </w:footnote>
  <w:footnote w:id="1">
    <w:p w14:paraId="06CFA24B" w14:textId="77777777" w:rsidR="00FA254B" w:rsidRPr="002508F1" w:rsidRDefault="00FA254B" w:rsidP="00FA254B">
      <w:pPr>
        <w:pStyle w:val="FootnoteText"/>
        <w:jc w:val="both"/>
        <w:rPr>
          <w:lang w:val="en-US"/>
        </w:rPr>
      </w:pPr>
      <w:r>
        <w:rPr>
          <w:rStyle w:val="FootnoteReference"/>
        </w:rPr>
        <w:footnoteRef/>
      </w:r>
      <w:r w:rsidRPr="002508F1">
        <w:rPr>
          <w:lang w:val="en-US"/>
        </w:rPr>
        <w:t xml:space="preserve"> </w:t>
      </w:r>
      <w:r>
        <w:rPr>
          <w:lang w:val="en-US"/>
        </w:rPr>
        <w:t>This measures automatically raises the taxable income for the recipients, which in turns leads to an increase in the personal income tax (PIT). Therefore, the net-of-taxes effect is smaller than the gross effect and takes into account the progressivity embedded in the Italian PIT design. Our model allows to simulate accurately these effects.</w:t>
      </w:r>
    </w:p>
  </w:footnote>
  <w:footnote w:id="2">
    <w:p w14:paraId="6691B8D0" w14:textId="77777777" w:rsidR="00FA254B" w:rsidRPr="003118B9" w:rsidRDefault="00FA254B" w:rsidP="00FA254B">
      <w:pPr>
        <w:pStyle w:val="FootnoteText"/>
        <w:jc w:val="both"/>
        <w:rPr>
          <w:lang w:val="en-US"/>
        </w:rPr>
      </w:pPr>
      <w:r w:rsidRPr="002A052E">
        <w:rPr>
          <w:rStyle w:val="FootnoteReference"/>
          <w:rFonts w:eastAsiaTheme="minorHAnsi"/>
          <w:sz w:val="24"/>
          <w:szCs w:val="24"/>
          <w:lang w:eastAsia="ja-JP"/>
        </w:rPr>
        <w:footnoteRef/>
      </w:r>
      <w:r w:rsidRPr="009D7F40">
        <w:rPr>
          <w:rStyle w:val="FootnoteReference"/>
          <w:rFonts w:eastAsiaTheme="minorHAnsi"/>
          <w:sz w:val="24"/>
          <w:szCs w:val="24"/>
          <w:lang w:val="en-US" w:eastAsia="ja-JP"/>
        </w:rPr>
        <w:t xml:space="preserve"> </w:t>
      </w:r>
      <w:r>
        <w:rPr>
          <w:lang w:val="en-US"/>
        </w:rPr>
        <w:t>The ISEE threshold was</w:t>
      </w:r>
      <w:r w:rsidRPr="003118B9">
        <w:rPr>
          <w:lang w:val="en-US"/>
        </w:rPr>
        <w:t xml:space="preserve"> raised f</w:t>
      </w:r>
      <w:r>
        <w:rPr>
          <w:lang w:val="en-US"/>
        </w:rPr>
        <w:t>rom 8,265 to 12,000 euros, retroactively since</w:t>
      </w:r>
      <w:r w:rsidRPr="003118B9">
        <w:rPr>
          <w:lang w:val="en-US"/>
        </w:rPr>
        <w:t xml:space="preserve"> the first quarter and until the end of the year.</w:t>
      </w:r>
    </w:p>
  </w:footnote>
  <w:footnote w:id="3">
    <w:p w14:paraId="7F6BEBC9" w14:textId="77777777" w:rsidR="00FA254B" w:rsidRPr="006E7A50" w:rsidRDefault="00FA254B" w:rsidP="00FA254B">
      <w:pPr>
        <w:pStyle w:val="FootnoteText"/>
        <w:jc w:val="both"/>
        <w:rPr>
          <w:lang w:val="en-US"/>
        </w:rPr>
      </w:pPr>
      <w:r w:rsidRPr="006E7A50">
        <w:rPr>
          <w:rStyle w:val="FootnoteReference"/>
        </w:rPr>
        <w:footnoteRef/>
      </w:r>
      <w:r w:rsidRPr="006E7A50">
        <w:rPr>
          <w:lang w:val="en-US"/>
        </w:rPr>
        <w:t xml:space="preserve"> </w:t>
      </w:r>
      <w:r>
        <w:rPr>
          <w:lang w:val="en-US"/>
        </w:rPr>
        <w:t>In general, t</w:t>
      </w:r>
      <w:r w:rsidRPr="006E7A50">
        <w:rPr>
          <w:lang w:val="en-US"/>
        </w:rPr>
        <w:t xml:space="preserve">he revaluation </w:t>
      </w:r>
      <w:r>
        <w:rPr>
          <w:lang w:val="en-US"/>
        </w:rPr>
        <w:t xml:space="preserve">mechanism operates on the basis of </w:t>
      </w:r>
      <w:r w:rsidRPr="006E7A50">
        <w:rPr>
          <w:lang w:val="en-US"/>
        </w:rPr>
        <w:t>the consumer price index for white and blue collar workers</w:t>
      </w:r>
      <w:r>
        <w:rPr>
          <w:lang w:val="en-US"/>
        </w:rPr>
        <w:t xml:space="preserve"> (excluding </w:t>
      </w:r>
      <w:r w:rsidRPr="006E7A50">
        <w:rPr>
          <w:lang w:val="en-US"/>
        </w:rPr>
        <w:t>tobacco products</w:t>
      </w:r>
      <w:r>
        <w:rPr>
          <w:lang w:val="en-US"/>
        </w:rPr>
        <w:t>)</w:t>
      </w:r>
      <w:r w:rsidRPr="006E7A50">
        <w:rPr>
          <w:lang w:val="en-US"/>
        </w:rPr>
        <w:t xml:space="preserve">, </w:t>
      </w:r>
      <w:r>
        <w:rPr>
          <w:lang w:val="en-US"/>
        </w:rPr>
        <w:t>released</w:t>
      </w:r>
      <w:r w:rsidRPr="006E7A50">
        <w:rPr>
          <w:lang w:val="en-US"/>
        </w:rPr>
        <w:t xml:space="preserve"> </w:t>
      </w:r>
      <w:r>
        <w:rPr>
          <w:lang w:val="en-US"/>
        </w:rPr>
        <w:t xml:space="preserve">yearly </w:t>
      </w:r>
      <w:r w:rsidRPr="006E7A50">
        <w:rPr>
          <w:lang w:val="en-US"/>
        </w:rPr>
        <w:t>by Istat</w:t>
      </w:r>
      <w:r>
        <w:rPr>
          <w:lang w:val="en-US"/>
        </w:rPr>
        <w:t>. The indexation</w:t>
      </w:r>
      <w:r w:rsidRPr="006E7A50">
        <w:rPr>
          <w:lang w:val="en-US"/>
        </w:rPr>
        <w:t xml:space="preserve"> is full for retirees with pension income up to approximately 2,100 euros per month and </w:t>
      </w:r>
      <w:r>
        <w:rPr>
          <w:lang w:val="en-US"/>
        </w:rPr>
        <w:t>gradually smaller</w:t>
      </w:r>
      <w:r w:rsidRPr="006E7A50">
        <w:rPr>
          <w:lang w:val="en-US"/>
        </w:rPr>
        <w:t xml:space="preserve"> for higher-income retirees</w:t>
      </w:r>
      <w:r>
        <w:rPr>
          <w:lang w:val="en-US"/>
        </w:rPr>
        <w:t xml:space="preserve"> as their pension rises</w:t>
      </w:r>
      <w:r w:rsidRPr="006E7A50">
        <w:rPr>
          <w:lang w:val="en-US"/>
        </w:rPr>
        <w:t xml:space="preserve">. </w:t>
      </w:r>
      <w:r>
        <w:rPr>
          <w:lang w:val="en-US"/>
        </w:rPr>
        <w:t xml:space="preserve">The partial anticipation enacted in the last months of 2022 only applies to retirees with annual pension income lower than 35,000 euros.  As noted for the cut of the rate of social security contributions (see footnote 3), even the revaluation of the pensions increases taxable income and we fully account for this in the model. </w:t>
      </w:r>
    </w:p>
  </w:footnote>
  <w:footnote w:id="4">
    <w:p w14:paraId="6A417142" w14:textId="77777777" w:rsidR="00FA254B" w:rsidRPr="00CD48A5" w:rsidRDefault="00FA254B" w:rsidP="00FA254B">
      <w:pPr>
        <w:pStyle w:val="FootnoteText"/>
        <w:jc w:val="both"/>
        <w:rPr>
          <w:lang w:val="en-US"/>
        </w:rPr>
      </w:pPr>
      <w:r>
        <w:rPr>
          <w:rStyle w:val="FootnoteReference"/>
        </w:rPr>
        <w:footnoteRef/>
      </w:r>
      <w:r w:rsidRPr="00CD48A5">
        <w:rPr>
          <w:lang w:val="en-US"/>
        </w:rPr>
        <w:t xml:space="preserve"> See the Press Release “Gas: uncertainty and high prices call for new procedures for updating the cost of the commodity for users on protection regime offers</w:t>
      </w:r>
      <w:r>
        <w:rPr>
          <w:lang w:val="en-US"/>
        </w:rPr>
        <w:t xml:space="preserve">”, 29 July 2022, available at </w:t>
      </w:r>
      <w:r w:rsidRPr="00CD48A5">
        <w:rPr>
          <w:lang w:val="en-US"/>
        </w:rPr>
        <w:t>https://www.arera.it/it/inglese/attivita.htm</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603CF2"/>
    <w:multiLevelType w:val="hybridMultilevel"/>
    <w:tmpl w:val="B9E899A4"/>
    <w:lvl w:ilvl="0" w:tplc="0409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4B"/>
    <w:rsid w:val="001942F0"/>
    <w:rsid w:val="002C0857"/>
    <w:rsid w:val="003F01F8"/>
    <w:rsid w:val="0075269D"/>
    <w:rsid w:val="007B0346"/>
    <w:rsid w:val="00884728"/>
    <w:rsid w:val="008E2845"/>
    <w:rsid w:val="00D00B5E"/>
    <w:rsid w:val="00F17957"/>
    <w:rsid w:val="00FA254B"/>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7C84"/>
  <w15:chartTrackingRefBased/>
  <w15:docId w15:val="{AF340694-B938-4DC0-BAB3-4949A527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4B"/>
    <w:pPr>
      <w:spacing w:after="0" w:line="240" w:lineRule="auto"/>
    </w:pPr>
    <w:rPr>
      <w:rFonts w:ascii="Times New Roman" w:hAnsi="Times New Roman" w:cs="Times New Roman"/>
      <w:sz w:val="24"/>
      <w:szCs w:val="24"/>
      <w:lang w:val="it-IT"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254B"/>
    <w:pPr>
      <w:spacing w:after="200" w:line="276" w:lineRule="auto"/>
      <w:ind w:left="720"/>
      <w:contextualSpacing/>
      <w:jc w:val="both"/>
    </w:pPr>
    <w:rPr>
      <w:rFonts w:eastAsia="Calibri"/>
      <w:szCs w:val="22"/>
      <w:lang w:eastAsia="en-US"/>
    </w:rPr>
  </w:style>
  <w:style w:type="paragraph" w:styleId="FootnoteText">
    <w:name w:val="footnote text"/>
    <w:basedOn w:val="Normal"/>
    <w:link w:val="FootnoteTextChar"/>
    <w:uiPriority w:val="99"/>
    <w:unhideWhenUsed/>
    <w:rsid w:val="00FA254B"/>
    <w:rPr>
      <w:rFonts w:eastAsia="Times New Roman"/>
      <w:sz w:val="20"/>
      <w:szCs w:val="20"/>
      <w:lang w:eastAsia="it-IT"/>
    </w:rPr>
  </w:style>
  <w:style w:type="character" w:customStyle="1" w:styleId="FootnoteTextChar">
    <w:name w:val="Footnote Text Char"/>
    <w:basedOn w:val="DefaultParagraphFont"/>
    <w:link w:val="FootnoteText"/>
    <w:uiPriority w:val="99"/>
    <w:rsid w:val="00FA254B"/>
    <w:rPr>
      <w:rFonts w:ascii="Times New Roman" w:eastAsia="Times New Roman" w:hAnsi="Times New Roman" w:cs="Times New Roman"/>
      <w:sz w:val="20"/>
      <w:szCs w:val="20"/>
      <w:lang w:val="it-IT" w:eastAsia="it-IT"/>
    </w:rPr>
  </w:style>
  <w:style w:type="character" w:styleId="FootnoteReference">
    <w:name w:val="footnote reference"/>
    <w:basedOn w:val="DefaultParagraphFont"/>
    <w:uiPriority w:val="99"/>
    <w:unhideWhenUsed/>
    <w:rsid w:val="00FA254B"/>
    <w:rPr>
      <w:vertAlign w:val="superscript"/>
    </w:rPr>
  </w:style>
  <w:style w:type="character" w:customStyle="1" w:styleId="ListParagraphChar">
    <w:name w:val="List Paragraph Char"/>
    <w:basedOn w:val="DefaultParagraphFont"/>
    <w:link w:val="ListParagraph"/>
    <w:uiPriority w:val="34"/>
    <w:locked/>
    <w:rsid w:val="00FA254B"/>
    <w:rPr>
      <w:rFonts w:ascii="Times New Roman" w:eastAsia="Calibri" w:hAnsi="Times New Roman" w:cs="Times New Roman"/>
      <w:sz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4365</Characters>
  <Application>Microsoft Office Word</Application>
  <DocSecurity>0</DocSecurity>
  <Lines>36</Lines>
  <Paragraphs>10</Paragraphs>
  <ScaleCrop>false</ScaleCrop>
  <Company>Springer Nature</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2</cp:revision>
  <dcterms:created xsi:type="dcterms:W3CDTF">2023-03-06T07:47:00Z</dcterms:created>
  <dcterms:modified xsi:type="dcterms:W3CDTF">2023-03-06T07:52:00Z</dcterms:modified>
</cp:coreProperties>
</file>