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42B24" w14:textId="77777777" w:rsidR="005C0C87" w:rsidRDefault="005C0C87" w:rsidP="005C0C87">
      <w:pPr>
        <w:pStyle w:val="Heading1"/>
        <w:rPr>
          <w:b/>
          <w:sz w:val="28"/>
          <w:szCs w:val="28"/>
        </w:rPr>
      </w:pPr>
      <w:r>
        <w:rPr>
          <w:b/>
          <w:sz w:val="28"/>
          <w:szCs w:val="28"/>
        </w:rPr>
        <w:t>SUPPLEMENTARY FIGURE LEGENDS</w:t>
      </w:r>
    </w:p>
    <w:p w14:paraId="77C7CA5C" w14:textId="77777777" w:rsidR="005C0C87" w:rsidRDefault="005C0C87" w:rsidP="005C0C87">
      <w:pPr>
        <w:rPr>
          <w:b/>
          <w:sz w:val="22"/>
          <w:szCs w:val="22"/>
        </w:rPr>
      </w:pPr>
      <w:r>
        <w:rPr>
          <w:b/>
          <w:sz w:val="22"/>
          <w:szCs w:val="22"/>
        </w:rPr>
        <w:t>Supplementary Figure 1: Development of Gcoupler package.</w:t>
      </w:r>
    </w:p>
    <w:p w14:paraId="46AB13CC" w14:textId="77777777" w:rsidR="005C0C87" w:rsidRDefault="005C0C87" w:rsidP="005C0C87">
      <w:pPr>
        <w:rPr>
          <w:b/>
          <w:sz w:val="22"/>
          <w:szCs w:val="22"/>
        </w:rPr>
      </w:pPr>
    </w:p>
    <w:p w14:paraId="2C235400" w14:textId="77777777" w:rsidR="005C0C87" w:rsidRDefault="005C0C87" w:rsidP="005C0C87">
      <w:r>
        <w:rPr>
          <w:b/>
          <w:sz w:val="22"/>
          <w:szCs w:val="22"/>
        </w:rPr>
        <w:t>(a)</w:t>
      </w:r>
      <w:r>
        <w:rPr>
          <w:sz w:val="22"/>
          <w:szCs w:val="22"/>
        </w:rPr>
        <w:t xml:space="preserve"> Flowchart depicting the entire workflow used to compute and compare the runtime using AutoDock and Gcoupler. Of note, the three major modules of Gcoupler, i.e., Synthesizer, Authenticator, and Generator, are indicated alongside their key processes. </w:t>
      </w:r>
      <w:r>
        <w:rPr>
          <w:b/>
          <w:sz w:val="22"/>
          <w:szCs w:val="22"/>
        </w:rPr>
        <w:t>(b)</w:t>
      </w:r>
      <w:r>
        <w:rPr>
          <w:sz w:val="22"/>
          <w:szCs w:val="22"/>
        </w:rPr>
        <w:t xml:space="preserve"> Ribbon diagram depicting the structure of ADRA1A predicted structure using Alphafold (ID: AF-P35348). </w:t>
      </w:r>
      <w:r>
        <w:rPr>
          <w:b/>
          <w:sz w:val="22"/>
          <w:szCs w:val="22"/>
        </w:rPr>
        <w:t>(c)</w:t>
      </w:r>
      <w:r>
        <w:rPr>
          <w:sz w:val="22"/>
          <w:szCs w:val="22"/>
        </w:rPr>
        <w:t xml:space="preserve"> Boxplot depicting the performance metrics of the 10-fold cross-validation of the training data obtained using Gcoupler. </w:t>
      </w:r>
      <w:r>
        <w:rPr>
          <w:b/>
          <w:sz w:val="22"/>
          <w:szCs w:val="22"/>
        </w:rPr>
        <w:t>(d)</w:t>
      </w:r>
      <w:r>
        <w:rPr>
          <w:sz w:val="22"/>
          <w:szCs w:val="22"/>
        </w:rPr>
        <w:t xml:space="preserve"> Boxplot depicting the performance metrics of the 10-fold cross-validation of the testing data obtained using Gcoupler. </w:t>
      </w:r>
      <w:r>
        <w:rPr>
          <w:b/>
          <w:sz w:val="22"/>
          <w:szCs w:val="22"/>
        </w:rPr>
        <w:t>(e)</w:t>
      </w:r>
      <w:r>
        <w:rPr>
          <w:sz w:val="22"/>
          <w:szCs w:val="22"/>
        </w:rPr>
        <w:t xml:space="preserve"> Scatterplot depicting the relationship between AutoDock computed binding energies and Gcoupler computed prediction probabilities of the experimentally validated ligands of ADRA1A protein. </w:t>
      </w:r>
      <w:r>
        <w:rPr>
          <w:b/>
          <w:sz w:val="22"/>
          <w:szCs w:val="22"/>
        </w:rPr>
        <w:t>(f)</w:t>
      </w:r>
      <w:r>
        <w:rPr>
          <w:sz w:val="22"/>
          <w:szCs w:val="22"/>
        </w:rPr>
        <w:t xml:space="preserve"> Heatmap depicting the RMSD values obtained by comparing all the GPCR-Gα-protein interfaces of the available human GPCRs from the protein databank. </w:t>
      </w:r>
      <w:r>
        <w:rPr>
          <w:b/>
          <w:sz w:val="22"/>
          <w:szCs w:val="22"/>
        </w:rPr>
        <w:t>(g)</w:t>
      </w:r>
      <w:r>
        <w:rPr>
          <w:sz w:val="22"/>
          <w:szCs w:val="22"/>
        </w:rPr>
        <w:t xml:space="preserve"> Heatmap depicting the RMSD values obtained by comparing the selected human GPCRs available in the protein databank. </w:t>
      </w:r>
    </w:p>
    <w:p w14:paraId="625A4423" w14:textId="77777777" w:rsidR="005C0C87" w:rsidRDefault="005C0C87" w:rsidP="005C0C87">
      <w:pPr>
        <w:rPr>
          <w:b/>
          <w:sz w:val="22"/>
          <w:szCs w:val="22"/>
        </w:rPr>
      </w:pPr>
    </w:p>
    <w:p w14:paraId="3BF4DF23" w14:textId="77777777" w:rsidR="005C0C87" w:rsidRDefault="005C0C87" w:rsidP="005C0C87">
      <w:pPr>
        <w:rPr>
          <w:b/>
          <w:sz w:val="22"/>
          <w:szCs w:val="22"/>
        </w:rPr>
      </w:pPr>
      <w:r>
        <w:rPr>
          <w:b/>
          <w:sz w:val="22"/>
          <w:szCs w:val="22"/>
        </w:rPr>
        <w:t xml:space="preserve">Supplementary Figure 2: Ste2 protein cavities prediction using Gcoupler </w:t>
      </w:r>
    </w:p>
    <w:p w14:paraId="3C21152F" w14:textId="77777777" w:rsidR="005C0C87" w:rsidRDefault="005C0C87" w:rsidP="005C0C87">
      <w:pPr>
        <w:rPr>
          <w:b/>
          <w:sz w:val="22"/>
          <w:szCs w:val="22"/>
        </w:rPr>
      </w:pPr>
    </w:p>
    <w:p w14:paraId="5C369340" w14:textId="77777777" w:rsidR="005C0C87" w:rsidRDefault="005C0C87" w:rsidP="005C0C87">
      <w:pPr>
        <w:rPr>
          <w:sz w:val="22"/>
          <w:szCs w:val="22"/>
        </w:rPr>
      </w:pPr>
      <w:r>
        <w:rPr>
          <w:b/>
          <w:sz w:val="22"/>
          <w:szCs w:val="22"/>
        </w:rPr>
        <w:t>(a)</w:t>
      </w:r>
      <w:r>
        <w:rPr>
          <w:sz w:val="22"/>
          <w:szCs w:val="22"/>
        </w:rPr>
        <w:t xml:space="preserve"> Flowchart depicting the key steps used for the molecular dynamics simulation of the Ste2p using CHARMM-GUI and GROMACS software. </w:t>
      </w:r>
      <w:r>
        <w:rPr>
          <w:b/>
          <w:sz w:val="22"/>
          <w:szCs w:val="22"/>
        </w:rPr>
        <w:t>(b)</w:t>
      </w:r>
      <w:r>
        <w:rPr>
          <w:sz w:val="22"/>
          <w:szCs w:val="22"/>
        </w:rPr>
        <w:t xml:space="preserve"> Line plot depicting the changes in the density (kg/m³) along the z-axis of the three-dimensional Ste2p structure. </w:t>
      </w:r>
      <w:r>
        <w:rPr>
          <w:b/>
          <w:sz w:val="22"/>
          <w:szCs w:val="22"/>
        </w:rPr>
        <w:t>(c)</w:t>
      </w:r>
      <w:r>
        <w:rPr>
          <w:sz w:val="22"/>
          <w:szCs w:val="22"/>
        </w:rPr>
        <w:t xml:space="preserve"> Line plot depicting the decline in the potential (kJ/mol) over molecular dynamics simulation time in picoseconds (ps). </w:t>
      </w:r>
      <w:r>
        <w:rPr>
          <w:b/>
          <w:sz w:val="22"/>
          <w:szCs w:val="22"/>
        </w:rPr>
        <w:t>(d)</w:t>
      </w:r>
      <w:r>
        <w:rPr>
          <w:sz w:val="22"/>
          <w:szCs w:val="22"/>
        </w:rPr>
        <w:t xml:space="preserve"> Line plot depicting the changes in the density (kg/m³) of the overall system over molecular dynamics simulation time in picoseconds (ps). </w:t>
      </w:r>
      <w:r>
        <w:rPr>
          <w:b/>
          <w:sz w:val="22"/>
          <w:szCs w:val="22"/>
        </w:rPr>
        <w:t>(e)</w:t>
      </w:r>
      <w:r>
        <w:rPr>
          <w:sz w:val="22"/>
          <w:szCs w:val="22"/>
        </w:rPr>
        <w:t xml:space="preserve"> Line plots depicting the changes in the pressure (in bars) and temperature (in Kelvin) of the overall system during molecular dynamics simulation of Ste2 protein. </w:t>
      </w:r>
      <w:r>
        <w:rPr>
          <w:b/>
          <w:sz w:val="22"/>
          <w:szCs w:val="22"/>
        </w:rPr>
        <w:t>(f)</w:t>
      </w:r>
      <w:r>
        <w:rPr>
          <w:sz w:val="22"/>
          <w:szCs w:val="22"/>
        </w:rPr>
        <w:t xml:space="preserve"> Line plot depicting the Root Mean Square Deviation (RMSD) changes of the Ste2 protein during molecular dynamics simulation. Note the RMSD values are indicated in nanometers (nm). </w:t>
      </w:r>
      <w:r>
        <w:rPr>
          <w:b/>
          <w:sz w:val="22"/>
          <w:szCs w:val="22"/>
        </w:rPr>
        <w:t>(g)</w:t>
      </w:r>
      <w:r>
        <w:rPr>
          <w:sz w:val="22"/>
          <w:szCs w:val="22"/>
        </w:rPr>
        <w:t xml:space="preserve"> Ramachandran plot depicting the location of simulated Ste2 protein residues in the favorable and unfavorable regions. </w:t>
      </w:r>
      <w:r>
        <w:rPr>
          <w:b/>
          <w:sz w:val="22"/>
          <w:szCs w:val="22"/>
        </w:rPr>
        <w:t>(h)</w:t>
      </w:r>
      <w:r>
        <w:rPr>
          <w:sz w:val="22"/>
          <w:szCs w:val="22"/>
        </w:rPr>
        <w:t xml:space="preserve"> Barplot depicting the predicted cavities' volumes (Å). </w:t>
      </w:r>
      <w:r>
        <w:rPr>
          <w:b/>
          <w:sz w:val="22"/>
          <w:szCs w:val="22"/>
        </w:rPr>
        <w:t>(i)</w:t>
      </w:r>
      <w:r>
        <w:rPr>
          <w:sz w:val="22"/>
          <w:szCs w:val="22"/>
        </w:rPr>
        <w:t xml:space="preserve"> Scatterplot depicting the relationship between the cavity volume and surface area in the indicated cavities of the Ste2 protein. </w:t>
      </w:r>
      <w:r>
        <w:rPr>
          <w:b/>
          <w:sz w:val="22"/>
          <w:szCs w:val="22"/>
        </w:rPr>
        <w:t xml:space="preserve">(j) </w:t>
      </w:r>
      <w:r>
        <w:rPr>
          <w:sz w:val="22"/>
          <w:szCs w:val="22"/>
        </w:rPr>
        <w:t xml:space="preserve">Heatmap depicting the percentage of amino acids of the indicated cavities residing in the EC (extracellular), IC (intracellular), and TM </w:t>
      </w:r>
      <w:r>
        <w:rPr>
          <w:sz w:val="22"/>
          <w:szCs w:val="22"/>
        </w:rPr>
        <w:lastRenderedPageBreak/>
        <w:t xml:space="preserve">(transmembrane) region of the Ste2 protein. </w:t>
      </w:r>
      <w:r>
        <w:rPr>
          <w:b/>
          <w:sz w:val="22"/>
          <w:szCs w:val="22"/>
        </w:rPr>
        <w:t xml:space="preserve">(k) </w:t>
      </w:r>
      <w:r>
        <w:rPr>
          <w:sz w:val="22"/>
          <w:szCs w:val="22"/>
        </w:rPr>
        <w:t xml:space="preserve">Scatterplot depicting the predicted drug score of the indicated cavities of the Ste2 protein. </w:t>
      </w:r>
      <w:r>
        <w:rPr>
          <w:b/>
          <w:sz w:val="22"/>
          <w:szCs w:val="22"/>
        </w:rPr>
        <w:t>(l)</w:t>
      </w:r>
      <w:r>
        <w:rPr>
          <w:sz w:val="22"/>
          <w:szCs w:val="22"/>
        </w:rPr>
        <w:t xml:space="preserve"> Snake plot depicting the conservation of Ste2 protein at the amino acid levels. Of note, Ste2 proteins from 15-related yeast species were used for computing the conservation score. </w:t>
      </w:r>
      <w:r>
        <w:rPr>
          <w:b/>
          <w:sz w:val="22"/>
          <w:szCs w:val="22"/>
        </w:rPr>
        <w:t xml:space="preserve">(m) </w:t>
      </w:r>
      <w:r>
        <w:rPr>
          <w:sz w:val="22"/>
          <w:szCs w:val="22"/>
        </w:rPr>
        <w:t xml:space="preserve">Snake plot depicting the key amino acids of the Ste2 protein alongside their location within the indicated functional cavities. </w:t>
      </w:r>
      <w:r>
        <w:rPr>
          <w:b/>
          <w:sz w:val="22"/>
          <w:szCs w:val="22"/>
        </w:rPr>
        <w:t>(n)</w:t>
      </w:r>
      <w:r>
        <w:rPr>
          <w:sz w:val="22"/>
          <w:szCs w:val="22"/>
        </w:rPr>
        <w:t xml:space="preserve"> Heatmap illustrating the relative enrichment of the indicated functional groups (RNH2: primary amine, R2NH: secondary amine, R3N: tertiary amine, ROPO3: monophosphate, ROH: alcohol, RCHO: aldehyde, RCOR: ketone, RCOOH: carboxylic acid, RCOOR: ester, ROR: ether, RCCH: terminal alkyne, RCN: nitrile) among the Gcoupler-based </w:t>
      </w:r>
      <w:r>
        <w:rPr>
          <w:i/>
          <w:sz w:val="22"/>
          <w:szCs w:val="22"/>
        </w:rPr>
        <w:t>de novo</w:t>
      </w:r>
      <w:r>
        <w:rPr>
          <w:sz w:val="22"/>
          <w:szCs w:val="22"/>
        </w:rPr>
        <w:t xml:space="preserve"> synthesized binders of Ste2p receptor across IC4 and IC5. </w:t>
      </w:r>
      <w:r>
        <w:rPr>
          <w:b/>
          <w:sz w:val="22"/>
          <w:szCs w:val="22"/>
        </w:rPr>
        <w:t>(o)</w:t>
      </w:r>
      <w:r>
        <w:rPr>
          <w:sz w:val="22"/>
          <w:szCs w:val="22"/>
        </w:rPr>
        <w:t xml:space="preserve"> Venn diagrams depicting the number of yeast metabolites from YMDB predicted to bind to the Ste2p-Gpa1p interface, predicted using Gcoupler and AutoDock. Of note, IC4 and IC5 represent intracellular cavities 4 and 5 of the Ste2 protein, respectively. </w:t>
      </w:r>
    </w:p>
    <w:p w14:paraId="34BBDCA9" w14:textId="77777777" w:rsidR="005C0C87" w:rsidRDefault="005C0C87" w:rsidP="005C0C87">
      <w:pPr>
        <w:rPr>
          <w:b/>
          <w:sz w:val="22"/>
          <w:szCs w:val="22"/>
        </w:rPr>
      </w:pPr>
    </w:p>
    <w:p w14:paraId="260D1424" w14:textId="77777777" w:rsidR="005C0C87" w:rsidRDefault="005C0C87" w:rsidP="005C0C87">
      <w:pPr>
        <w:rPr>
          <w:b/>
          <w:sz w:val="22"/>
          <w:szCs w:val="22"/>
        </w:rPr>
      </w:pPr>
      <w:r>
        <w:rPr>
          <w:b/>
          <w:sz w:val="22"/>
          <w:szCs w:val="22"/>
        </w:rPr>
        <w:t xml:space="preserve">Supplementary Figure 3: Gcoupler predicted the high-affinity endogenous intracellular allosteric modulators of Ste2 protein. </w:t>
      </w:r>
    </w:p>
    <w:p w14:paraId="5ECA6D43" w14:textId="77777777" w:rsidR="005C0C87" w:rsidRDefault="005C0C87" w:rsidP="005C0C87">
      <w:pPr>
        <w:rPr>
          <w:b/>
          <w:sz w:val="22"/>
          <w:szCs w:val="22"/>
        </w:rPr>
      </w:pPr>
    </w:p>
    <w:p w14:paraId="16CE886C" w14:textId="77777777" w:rsidR="005C0C87" w:rsidRDefault="005C0C87" w:rsidP="005C0C87">
      <w:pPr>
        <w:rPr>
          <w:sz w:val="22"/>
          <w:szCs w:val="22"/>
        </w:rPr>
      </w:pPr>
      <w:r>
        <w:rPr>
          <w:b/>
          <w:sz w:val="22"/>
          <w:szCs w:val="22"/>
        </w:rPr>
        <w:t>(a)</w:t>
      </w:r>
      <w:r>
        <w:rPr>
          <w:sz w:val="22"/>
          <w:szCs w:val="22"/>
        </w:rPr>
        <w:t xml:space="preserve"> Principal Component Analysis depicting chemical heterogeneity of synthetic compounds synthesized using Gcoupler across intracellular cavities (IC4 and IC5). Notably, the compounds were segregated into High-Affinity Binders (HAB) and Low-Affinity Binders (LAB) by the Authenticator module of the Gcoupler. </w:t>
      </w:r>
      <w:r>
        <w:rPr>
          <w:b/>
          <w:sz w:val="22"/>
          <w:szCs w:val="22"/>
        </w:rPr>
        <w:t>(b)</w:t>
      </w:r>
      <w:r>
        <w:rPr>
          <w:sz w:val="22"/>
          <w:szCs w:val="22"/>
        </w:rPr>
        <w:t xml:space="preserve"> Heatmap depicting the chemical similarity of the </w:t>
      </w:r>
      <w:r>
        <w:rPr>
          <w:i/>
          <w:sz w:val="22"/>
          <w:szCs w:val="22"/>
        </w:rPr>
        <w:t>de novo</w:t>
      </w:r>
      <w:r>
        <w:rPr>
          <w:sz w:val="22"/>
          <w:szCs w:val="22"/>
        </w:rPr>
        <w:t xml:space="preserve"> synthesized HAB (dark green) and LAB (light green) across intracellular cavities (IC4 and IC5) of the Ste2 protein. Tanimoto similarities were computed using Atomic fingerprints. </w:t>
      </w:r>
      <w:r>
        <w:rPr>
          <w:b/>
          <w:sz w:val="22"/>
          <w:szCs w:val="22"/>
        </w:rPr>
        <w:t>(c)</w:t>
      </w:r>
      <w:r>
        <w:rPr>
          <w:sz w:val="22"/>
          <w:szCs w:val="22"/>
        </w:rPr>
        <w:t xml:space="preserve"> Box plots depicting the model's performances across the 10-fold cross-validation. The upper and lower box plots depict the performance metrics of models trained using the </w:t>
      </w:r>
      <w:r>
        <w:rPr>
          <w:i/>
          <w:sz w:val="22"/>
          <w:szCs w:val="22"/>
        </w:rPr>
        <w:t>de novo</w:t>
      </w:r>
      <w:r>
        <w:rPr>
          <w:sz w:val="22"/>
          <w:szCs w:val="22"/>
        </w:rPr>
        <w:t xml:space="preserve"> ligands for intracellular cavities (IC4 and IC5), respectively, of the Ste2 protein. </w:t>
      </w:r>
      <w:r>
        <w:rPr>
          <w:b/>
          <w:sz w:val="22"/>
          <w:szCs w:val="22"/>
        </w:rPr>
        <w:t>(d)</w:t>
      </w:r>
      <w:r>
        <w:rPr>
          <w:sz w:val="22"/>
          <w:szCs w:val="22"/>
        </w:rPr>
        <w:t xml:space="preserve"> Principal Component Analysis depicting chemical heterogeneity of endogenous yeast metabolites predicted to bind to the intracellular cavities (IC4 and IC5) of the Ste2 protein. Notably, the compounds were segregated into High-Affinity Metabolites (HAM) and Low-Affinity Metabolites (LAM) by the Generator module of the Gcoupler. </w:t>
      </w:r>
      <w:r>
        <w:rPr>
          <w:b/>
          <w:sz w:val="22"/>
          <w:szCs w:val="22"/>
        </w:rPr>
        <w:t>(e)</w:t>
      </w:r>
      <w:r>
        <w:rPr>
          <w:sz w:val="22"/>
          <w:szCs w:val="22"/>
        </w:rPr>
        <w:t xml:space="preserve"> Percentage stacked barplot depicting the relative enrichment of the indicated functional groups of the High-Affinity Metabolites (HAM) and Low-Affinity Metabolites (LAM) across intracellular cavities (IC4 and IC5) of the Ste2 protein.</w:t>
      </w:r>
    </w:p>
    <w:p w14:paraId="0C544BFD" w14:textId="77777777" w:rsidR="005C0C87" w:rsidRDefault="005C0C87" w:rsidP="005C0C87">
      <w:pPr>
        <w:rPr>
          <w:sz w:val="22"/>
          <w:szCs w:val="22"/>
        </w:rPr>
      </w:pPr>
    </w:p>
    <w:p w14:paraId="18F3D798" w14:textId="77777777" w:rsidR="005C0C87" w:rsidRDefault="005C0C87" w:rsidP="005C0C87">
      <w:pPr>
        <w:rPr>
          <w:b/>
          <w:sz w:val="22"/>
          <w:szCs w:val="22"/>
        </w:rPr>
      </w:pPr>
      <w:r>
        <w:rPr>
          <w:b/>
          <w:sz w:val="22"/>
          <w:szCs w:val="22"/>
        </w:rPr>
        <w:t xml:space="preserve">Supplementary Figure 4: Untargeted metabolomics and genetic screening suggest an interlink between metabolites and Ste2p-mediated Programmed Cell Death. </w:t>
      </w:r>
    </w:p>
    <w:p w14:paraId="5DA29BE9" w14:textId="77777777" w:rsidR="005C0C87" w:rsidRDefault="005C0C87" w:rsidP="005C0C87">
      <w:pPr>
        <w:rPr>
          <w:b/>
          <w:sz w:val="22"/>
          <w:szCs w:val="22"/>
        </w:rPr>
      </w:pPr>
    </w:p>
    <w:p w14:paraId="4244349A" w14:textId="77777777" w:rsidR="005C0C87" w:rsidRDefault="005C0C87" w:rsidP="005C0C87">
      <w:pPr>
        <w:rPr>
          <w:sz w:val="22"/>
          <w:szCs w:val="22"/>
        </w:rPr>
      </w:pPr>
      <w:r>
        <w:rPr>
          <w:b/>
          <w:sz w:val="22"/>
          <w:szCs w:val="22"/>
        </w:rPr>
        <w:t>(a)</w:t>
      </w:r>
      <w:r>
        <w:rPr>
          <w:sz w:val="22"/>
          <w:szCs w:val="22"/>
        </w:rPr>
        <w:t xml:space="preserve"> Venn diagram depicting the percentage overlaps of the mating-related genes reported in the literature and those used in the screening. The </w:t>
      </w:r>
      <w:r>
        <w:rPr>
          <w:i/>
          <w:sz w:val="22"/>
          <w:szCs w:val="22"/>
        </w:rPr>
        <w:t>STE2</w:t>
      </w:r>
      <w:r>
        <w:rPr>
          <w:sz w:val="22"/>
          <w:szCs w:val="22"/>
        </w:rPr>
        <w:t xml:space="preserve"> was the only common gene. </w:t>
      </w:r>
      <w:r>
        <w:rPr>
          <w:b/>
          <w:sz w:val="22"/>
          <w:szCs w:val="22"/>
        </w:rPr>
        <w:t>(b)</w:t>
      </w:r>
      <w:r>
        <w:rPr>
          <w:sz w:val="22"/>
          <w:szCs w:val="22"/>
        </w:rPr>
        <w:t xml:space="preserve"> Heatmap depicting the growth curve profiles of the wild-type, single metabolic mutants, and </w:t>
      </w:r>
      <w:r>
        <w:rPr>
          <w:i/>
          <w:sz w:val="22"/>
          <w:szCs w:val="22"/>
        </w:rPr>
        <w:t>ste2Δ</w:t>
      </w:r>
      <w:r>
        <w:rPr>
          <w:sz w:val="22"/>
          <w:szCs w:val="22"/>
        </w:rPr>
        <w:t xml:space="preserve"> under optimal growth conditions. </w:t>
      </w:r>
      <w:r>
        <w:rPr>
          <w:b/>
          <w:sz w:val="22"/>
          <w:szCs w:val="22"/>
        </w:rPr>
        <w:t>(c)</w:t>
      </w:r>
      <w:r>
        <w:rPr>
          <w:sz w:val="22"/>
          <w:szCs w:val="22"/>
        </w:rPr>
        <w:t xml:space="preserve"> Boxplot depicting the increase in the propidium iodide fluorescence upon the increasing concentration of α-factor treatment. Heat-Killed (HK), untreated, and vehicle (DMSO-treated) were used as controls, whereas the increasing concentration of α-factor survived wild-type cells was used as test conditions. Mann Whitney U test was used to calculate statistical significance. Asterisks indicate statistical significance, whereas ns represents non-significance. </w:t>
      </w:r>
      <w:r>
        <w:rPr>
          <w:b/>
          <w:sz w:val="22"/>
          <w:szCs w:val="22"/>
        </w:rPr>
        <w:t>(d)</w:t>
      </w:r>
      <w:r>
        <w:rPr>
          <w:sz w:val="22"/>
          <w:szCs w:val="22"/>
        </w:rPr>
        <w:t xml:space="preserve"> Principal Component Analysis depicting the segregation of indicated samples based on their metabolomics profiles along the PC1, PC2, and PC3. </w:t>
      </w:r>
      <w:r>
        <w:rPr>
          <w:b/>
          <w:sz w:val="22"/>
          <w:szCs w:val="22"/>
        </w:rPr>
        <w:t xml:space="preserve">(e) </w:t>
      </w:r>
      <w:r>
        <w:rPr>
          <w:sz w:val="22"/>
          <w:szCs w:val="22"/>
        </w:rPr>
        <w:t xml:space="preserve">Correlation plot depicting Pearson’s correlation of the metabolome of the indicated samples. </w:t>
      </w:r>
      <w:r>
        <w:rPr>
          <w:b/>
          <w:sz w:val="22"/>
          <w:szCs w:val="22"/>
        </w:rPr>
        <w:t>(f)</w:t>
      </w:r>
      <w:r>
        <w:rPr>
          <w:sz w:val="22"/>
          <w:szCs w:val="22"/>
        </w:rPr>
        <w:t xml:space="preserve"> Heatmap depicting the relative enrichment of all the detected metabolites in the indicated condition. Heat-Killed (HK), untreated, and vehicle (DMSO-treated) were used as controls, whereas the increasing concentration of α-factor survived wild-type cells was used as test conditions. </w:t>
      </w:r>
      <w:r>
        <w:rPr>
          <w:b/>
          <w:sz w:val="22"/>
          <w:szCs w:val="22"/>
        </w:rPr>
        <w:t>(g)</w:t>
      </w:r>
      <w:r>
        <w:rPr>
          <w:sz w:val="22"/>
          <w:szCs w:val="22"/>
        </w:rPr>
        <w:t xml:space="preserve"> Venn diagram indicating that 38 predicted intracellular allosteric modulators of Ste2p were identified in the untargeted metabolomics profiling. </w:t>
      </w:r>
      <w:r>
        <w:rPr>
          <w:b/>
          <w:sz w:val="22"/>
          <w:szCs w:val="22"/>
        </w:rPr>
        <w:t>(h)</w:t>
      </w:r>
      <w:r>
        <w:rPr>
          <w:sz w:val="22"/>
          <w:szCs w:val="22"/>
        </w:rPr>
        <w:t xml:space="preserve"> Scatterplot depicting the Pathway Over Representation Analysis (ORA) results of the differentially enriched metabolites (treated vs. vehicle control) identified using untargeted metabolomics. </w:t>
      </w:r>
    </w:p>
    <w:p w14:paraId="4DA2D48E" w14:textId="77777777" w:rsidR="005C0C87" w:rsidRDefault="005C0C87" w:rsidP="005C0C87">
      <w:pPr>
        <w:rPr>
          <w:sz w:val="22"/>
          <w:szCs w:val="22"/>
        </w:rPr>
      </w:pPr>
    </w:p>
    <w:p w14:paraId="7AC138E7" w14:textId="77777777" w:rsidR="005C0C87" w:rsidRDefault="005C0C87" w:rsidP="005C0C87">
      <w:pPr>
        <w:rPr>
          <w:b/>
          <w:sz w:val="22"/>
          <w:szCs w:val="22"/>
        </w:rPr>
      </w:pPr>
      <w:r>
        <w:rPr>
          <w:b/>
          <w:sz w:val="22"/>
          <w:szCs w:val="22"/>
        </w:rPr>
        <w:t xml:space="preserve">Supplementary Figure 5: Exogenous supplementation of selective metabolites rescues α-factor-mediated Programmed Cell Death. </w:t>
      </w:r>
    </w:p>
    <w:p w14:paraId="61B0F6A5" w14:textId="77777777" w:rsidR="005C0C87" w:rsidRDefault="005C0C87" w:rsidP="005C0C87">
      <w:pPr>
        <w:rPr>
          <w:b/>
          <w:sz w:val="22"/>
          <w:szCs w:val="22"/>
        </w:rPr>
      </w:pPr>
    </w:p>
    <w:p w14:paraId="5CF2F42D" w14:textId="77777777" w:rsidR="005C0C87" w:rsidRDefault="005C0C87" w:rsidP="005C0C87">
      <w:pPr>
        <w:rPr>
          <w:sz w:val="22"/>
          <w:szCs w:val="22"/>
        </w:rPr>
      </w:pPr>
      <w:r>
        <w:rPr>
          <w:b/>
          <w:sz w:val="22"/>
          <w:szCs w:val="22"/>
        </w:rPr>
        <w:t>(a)</w:t>
      </w:r>
      <w:r>
        <w:rPr>
          <w:sz w:val="22"/>
          <w:szCs w:val="22"/>
        </w:rPr>
        <w:t xml:space="preserve"> Growth curve profiles of the wild-type (control), </w:t>
      </w:r>
      <w:r>
        <w:rPr>
          <w:i/>
          <w:sz w:val="22"/>
          <w:szCs w:val="22"/>
        </w:rPr>
        <w:t>ste2Δ,</w:t>
      </w:r>
      <w:r>
        <w:rPr>
          <w:sz w:val="22"/>
          <w:szCs w:val="22"/>
        </w:rPr>
        <w:t xml:space="preserve"> and wild-type yeast pre-treated with the indicated metabolites. </w:t>
      </w:r>
      <w:r>
        <w:rPr>
          <w:b/>
          <w:sz w:val="22"/>
          <w:szCs w:val="22"/>
        </w:rPr>
        <w:t>(b)</w:t>
      </w:r>
      <w:r>
        <w:rPr>
          <w:sz w:val="22"/>
          <w:szCs w:val="22"/>
        </w:rPr>
        <w:t xml:space="preserve"> Beanplots depicting the changes in the α-factor-mediated programmed cell death in the indicated conditions. Notably, cell viability was assessed by computing the area under the curve (AUC) of the growth kinetics. Mann Whitney U test was used to calculate statistical significance. Asterisks indicate statistical significance, whereas ns represents non-significance. </w:t>
      </w:r>
      <w:r>
        <w:rPr>
          <w:b/>
          <w:sz w:val="22"/>
          <w:szCs w:val="22"/>
        </w:rPr>
        <w:t>(c)</w:t>
      </w:r>
      <w:r>
        <w:rPr>
          <w:sz w:val="22"/>
          <w:szCs w:val="22"/>
        </w:rPr>
        <w:t xml:space="preserve"> Beanplot depicting the fold change in the α-factor-mediated programmed cell death, assessed using the propidium iodide-mediated programmed cell death in the indicated conditions. Mann Whitney U test was used to calculate statistical significance. Asterisks indicate statistical significance, whereas ns represents non-significance. </w:t>
      </w:r>
      <w:r>
        <w:rPr>
          <w:b/>
          <w:sz w:val="22"/>
          <w:szCs w:val="22"/>
        </w:rPr>
        <w:t>(d)</w:t>
      </w:r>
      <w:r>
        <w:rPr>
          <w:sz w:val="22"/>
          <w:szCs w:val="22"/>
        </w:rPr>
        <w:t xml:space="preserve"> Representative micrographs (left) depicting the growth of the cells (mating response) pretreated with indicated metabolites in a single drop-out medium (SC-Lys and SC-Met). Quantifications of the mating response are </w:t>
      </w:r>
      <w:r>
        <w:rPr>
          <w:sz w:val="22"/>
          <w:szCs w:val="22"/>
        </w:rPr>
        <w:lastRenderedPageBreak/>
        <w:t>indicated as a bar graph (mean ± SEM) on the right (n = 3 biological replicates, each with three technical replicates). Student’s t-test was used to compute statistical significance. Asterisks indicate statistical significance, whereas ns represents non-significance.</w:t>
      </w:r>
    </w:p>
    <w:p w14:paraId="6F8E5330" w14:textId="77777777" w:rsidR="005C0C87" w:rsidRDefault="005C0C87" w:rsidP="005C0C87">
      <w:pPr>
        <w:rPr>
          <w:b/>
          <w:sz w:val="22"/>
          <w:szCs w:val="22"/>
        </w:rPr>
      </w:pPr>
    </w:p>
    <w:p w14:paraId="421A4768" w14:textId="77777777" w:rsidR="005C0C87" w:rsidRDefault="005C0C87" w:rsidP="005C0C87">
      <w:pPr>
        <w:rPr>
          <w:b/>
          <w:sz w:val="22"/>
          <w:szCs w:val="22"/>
        </w:rPr>
      </w:pPr>
      <w:r>
        <w:rPr>
          <w:b/>
          <w:sz w:val="22"/>
          <w:szCs w:val="22"/>
        </w:rPr>
        <w:t xml:space="preserve">Supplementary Figure 6: Docking and Molecular Dynamics simulations suggest the stability of the Ste2-metabolite complex. </w:t>
      </w:r>
    </w:p>
    <w:p w14:paraId="05323B13" w14:textId="77777777" w:rsidR="005C0C87" w:rsidRDefault="005C0C87" w:rsidP="005C0C87">
      <w:pPr>
        <w:rPr>
          <w:b/>
          <w:sz w:val="22"/>
          <w:szCs w:val="22"/>
        </w:rPr>
      </w:pPr>
    </w:p>
    <w:p w14:paraId="7310F6A8" w14:textId="77777777" w:rsidR="005C0C87" w:rsidRDefault="005C0C87" w:rsidP="005C0C87">
      <w:pPr>
        <w:rPr>
          <w:sz w:val="22"/>
          <w:szCs w:val="22"/>
        </w:rPr>
      </w:pPr>
      <w:r>
        <w:rPr>
          <w:b/>
          <w:sz w:val="22"/>
          <w:szCs w:val="22"/>
        </w:rPr>
        <w:t>(a)</w:t>
      </w:r>
      <w:r>
        <w:rPr>
          <w:sz w:val="22"/>
          <w:szCs w:val="22"/>
        </w:rPr>
        <w:t xml:space="preserve"> Ligplots depicting the interacting amino acid residues and atoms of the Ste2 protein and indicated metabolites for the intracellular cavities (IC4 and IC5). </w:t>
      </w:r>
      <w:r>
        <w:rPr>
          <w:b/>
          <w:sz w:val="22"/>
          <w:szCs w:val="22"/>
        </w:rPr>
        <w:t>(b)</w:t>
      </w:r>
      <w:r>
        <w:rPr>
          <w:sz w:val="22"/>
          <w:szCs w:val="22"/>
        </w:rPr>
        <w:t xml:space="preserve"> Table indicating the Van der Waals (ΔE</w:t>
      </w:r>
      <w:r>
        <w:rPr>
          <w:sz w:val="22"/>
          <w:szCs w:val="22"/>
          <w:vertAlign w:val="subscript"/>
        </w:rPr>
        <w:t>vdw</w:t>
      </w:r>
      <w:r>
        <w:rPr>
          <w:sz w:val="22"/>
          <w:szCs w:val="22"/>
        </w:rPr>
        <w:t>), electrostatic (ΔE</w:t>
      </w:r>
      <w:r>
        <w:rPr>
          <w:sz w:val="22"/>
          <w:szCs w:val="22"/>
          <w:vertAlign w:val="subscript"/>
        </w:rPr>
        <w:t>elec</w:t>
      </w:r>
      <w:r>
        <w:rPr>
          <w:sz w:val="22"/>
          <w:szCs w:val="22"/>
        </w:rPr>
        <w:t>), polar solvation (ΔE</w:t>
      </w:r>
      <w:r>
        <w:rPr>
          <w:sz w:val="22"/>
          <w:szCs w:val="22"/>
          <w:vertAlign w:val="subscript"/>
        </w:rPr>
        <w:t>psolv</w:t>
      </w:r>
      <w:r>
        <w:rPr>
          <w:sz w:val="22"/>
          <w:szCs w:val="22"/>
        </w:rPr>
        <w:t>), and non-polar solvation (ΔE</w:t>
      </w:r>
      <w:r>
        <w:rPr>
          <w:sz w:val="22"/>
          <w:szCs w:val="22"/>
          <w:vertAlign w:val="subscript"/>
        </w:rPr>
        <w:t>npsolv</w:t>
      </w:r>
      <w:r>
        <w:rPr>
          <w:sz w:val="22"/>
          <w:szCs w:val="22"/>
        </w:rPr>
        <w:t>) energies along with net binding free-energy (ΔG</w:t>
      </w:r>
      <w:r>
        <w:rPr>
          <w:sz w:val="22"/>
          <w:szCs w:val="22"/>
          <w:vertAlign w:val="subscript"/>
        </w:rPr>
        <w:t>bind</w:t>
      </w:r>
      <w:r>
        <w:rPr>
          <w:sz w:val="22"/>
          <w:szCs w:val="22"/>
        </w:rPr>
        <w:t xml:space="preserve">) in kcal/mol of the indicated metabolites across intracellular cavities IC4 and IC5. </w:t>
      </w:r>
      <w:r>
        <w:rPr>
          <w:b/>
          <w:sz w:val="22"/>
          <w:szCs w:val="22"/>
        </w:rPr>
        <w:t>(c)</w:t>
      </w:r>
      <w:r>
        <w:rPr>
          <w:sz w:val="22"/>
          <w:szCs w:val="22"/>
        </w:rPr>
        <w:t xml:space="preserve"> Micrographs depicting the structures of the Ste2 protein (blue) and the miniGpa1-protein (cyan), with the highlighted interface residues (red and green) in the indicated conditions. </w:t>
      </w:r>
      <w:r>
        <w:rPr>
          <w:b/>
          <w:sz w:val="22"/>
          <w:szCs w:val="22"/>
        </w:rPr>
        <w:t>(d)</w:t>
      </w:r>
      <w:r>
        <w:rPr>
          <w:sz w:val="22"/>
          <w:szCs w:val="22"/>
        </w:rPr>
        <w:t xml:space="preserve"> Scatterplot depicting the net binding free-energy ΔG (kcal/mol) of the Ste2p (with and without indicated metabolites) with miniG-protein (y-axis) and α-factor (x-axis). </w:t>
      </w:r>
      <w:r>
        <w:rPr>
          <w:b/>
          <w:sz w:val="22"/>
          <w:szCs w:val="22"/>
        </w:rPr>
        <w:t>(e)</w:t>
      </w:r>
      <w:r>
        <w:rPr>
          <w:sz w:val="22"/>
          <w:szCs w:val="22"/>
        </w:rPr>
        <w:t xml:space="preserve"> Barplot depicting RMSD values of the Ste2 protein with indicated metabolite across intracellular cavities IC4 and IC5. </w:t>
      </w:r>
      <w:r>
        <w:rPr>
          <w:b/>
          <w:sz w:val="22"/>
          <w:szCs w:val="22"/>
        </w:rPr>
        <w:t>(f)</w:t>
      </w:r>
      <w:r>
        <w:rPr>
          <w:sz w:val="22"/>
          <w:szCs w:val="22"/>
        </w:rPr>
        <w:t xml:space="preserve"> Ligplots depicting the interacting amino acid residues of the mutant Ste2 proteins (mutation site indicated) and atoms of indicated metabolites at the intracellular cavities (IC4 and IC5). </w:t>
      </w:r>
    </w:p>
    <w:p w14:paraId="6CD3720E" w14:textId="77777777" w:rsidR="005C0C87" w:rsidRDefault="005C0C87" w:rsidP="005C0C87">
      <w:pPr>
        <w:rPr>
          <w:sz w:val="22"/>
          <w:szCs w:val="22"/>
        </w:rPr>
      </w:pPr>
    </w:p>
    <w:p w14:paraId="06CB7A00" w14:textId="77777777" w:rsidR="005C0C87" w:rsidRDefault="005C0C87" w:rsidP="005C0C87">
      <w:pPr>
        <w:rPr>
          <w:b/>
          <w:sz w:val="22"/>
          <w:szCs w:val="22"/>
        </w:rPr>
      </w:pPr>
      <w:r>
        <w:rPr>
          <w:b/>
          <w:sz w:val="22"/>
          <w:szCs w:val="22"/>
        </w:rPr>
        <w:t xml:space="preserve">Supplementary Figure 7: RNA-Sequencing unveils genes involved in attenuating α-factor-induced cell death response. </w:t>
      </w:r>
    </w:p>
    <w:p w14:paraId="47140FAA" w14:textId="77777777" w:rsidR="005C0C87" w:rsidRDefault="005C0C87" w:rsidP="005C0C87">
      <w:pPr>
        <w:rPr>
          <w:b/>
          <w:sz w:val="22"/>
          <w:szCs w:val="22"/>
        </w:rPr>
      </w:pPr>
    </w:p>
    <w:p w14:paraId="67A9D967" w14:textId="77777777" w:rsidR="005C0C87" w:rsidRDefault="005C0C87" w:rsidP="005C0C87">
      <w:r>
        <w:rPr>
          <w:b/>
          <w:sz w:val="22"/>
          <w:szCs w:val="22"/>
        </w:rPr>
        <w:t>(a)</w:t>
      </w:r>
      <w:r>
        <w:rPr>
          <w:sz w:val="22"/>
          <w:szCs w:val="22"/>
        </w:rPr>
        <w:t xml:space="preserve"> M-D plots (left) from the NOIseq analysis highlight the differentially expressed genes (colored) in the indicated conditions. Bar plots (middle) depict the prominent Gene Ontologies in the indicated conditions. Venn diagram (right) depicting the overlaps between the differentially expressed genes and the genes used in biochemical assays in this study. </w:t>
      </w:r>
      <w:r>
        <w:rPr>
          <w:b/>
          <w:sz w:val="22"/>
          <w:szCs w:val="22"/>
        </w:rPr>
        <w:t>(b)</w:t>
      </w:r>
      <w:r>
        <w:rPr>
          <w:sz w:val="22"/>
          <w:szCs w:val="22"/>
        </w:rPr>
        <w:t xml:space="preserve"> Micrographs depicting the topology of human and rat ADRB1 and ADRB2 receptors. GPCR-Gα interface cavities are color-coded at the intracellular sites. Of note, in the case of human ADRB1, the nomenclature of the two cavities detected at the interface includes ‘Cv’ (cavity) succeeded by the numerical number. </w:t>
      </w:r>
      <w:r>
        <w:rPr>
          <w:b/>
          <w:sz w:val="22"/>
          <w:szCs w:val="22"/>
        </w:rPr>
        <w:t>(c)</w:t>
      </w:r>
      <w:r>
        <w:rPr>
          <w:sz w:val="22"/>
          <w:szCs w:val="22"/>
        </w:rPr>
        <w:t xml:space="preserve"> Barplots depicting the binding energies obtained by the docking of Human ADRB1 (7BVQ), Human ADRB2 (5X7D), Rat ADRB1 (P18090), and Rat ADRB2 (P10608) with the indicated metabolites at the GPCR-Gα interfaces. </w:t>
      </w:r>
    </w:p>
    <w:p w14:paraId="7A062CCA" w14:textId="77777777" w:rsidR="005C0C87" w:rsidRDefault="005C0C87" w:rsidP="005C0C87">
      <w:pPr>
        <w:pStyle w:val="Heading1"/>
        <w:rPr>
          <w:b/>
          <w:sz w:val="28"/>
          <w:szCs w:val="28"/>
        </w:rPr>
      </w:pPr>
      <w:bookmarkStart w:id="0" w:name="_xxjmci4vo6x7" w:colFirst="0" w:colLast="0"/>
      <w:bookmarkEnd w:id="0"/>
      <w:r>
        <w:br w:type="page"/>
      </w:r>
    </w:p>
    <w:p w14:paraId="59F1428F" w14:textId="77777777" w:rsidR="005C0C87" w:rsidRDefault="005C0C87" w:rsidP="005C0C87">
      <w:pPr>
        <w:pStyle w:val="Heading1"/>
        <w:rPr>
          <w:b/>
          <w:sz w:val="28"/>
          <w:szCs w:val="28"/>
        </w:rPr>
      </w:pPr>
      <w:bookmarkStart w:id="1" w:name="_pybgegd58amt" w:colFirst="0" w:colLast="0"/>
      <w:bookmarkEnd w:id="1"/>
      <w:r>
        <w:rPr>
          <w:b/>
          <w:sz w:val="28"/>
          <w:szCs w:val="28"/>
        </w:rPr>
        <w:lastRenderedPageBreak/>
        <w:t xml:space="preserve">SUPPLEMENTARY DATA </w:t>
      </w:r>
    </w:p>
    <w:p w14:paraId="1793477C" w14:textId="77777777" w:rsidR="005C0C87" w:rsidRDefault="005C0C87" w:rsidP="005C0C87">
      <w:pPr>
        <w:rPr>
          <w:sz w:val="22"/>
          <w:szCs w:val="22"/>
        </w:rPr>
      </w:pPr>
      <w:r>
        <w:rPr>
          <w:b/>
          <w:sz w:val="22"/>
          <w:szCs w:val="22"/>
        </w:rPr>
        <w:t>Supplementary Table 1:</w:t>
      </w:r>
      <w:r>
        <w:rPr>
          <w:sz w:val="22"/>
          <w:szCs w:val="22"/>
        </w:rPr>
        <w:t xml:space="preserve"> Table contains information about the structure information about the human GPCR-Gα-Protein complexes downloaded from Protein Data Bank (PDB). It also contains information about the PDB IDs, Protein name, species information, whether it is used in this study or not, UniProt IDs, and other information. </w:t>
      </w:r>
    </w:p>
    <w:p w14:paraId="082A2A3B" w14:textId="77777777" w:rsidR="005C0C87" w:rsidRDefault="005C0C87" w:rsidP="005C0C87">
      <w:pPr>
        <w:rPr>
          <w:sz w:val="22"/>
          <w:szCs w:val="22"/>
        </w:rPr>
      </w:pPr>
    </w:p>
    <w:p w14:paraId="54A2C62A" w14:textId="77777777" w:rsidR="005C0C87" w:rsidRDefault="005C0C87" w:rsidP="005C0C87">
      <w:pPr>
        <w:rPr>
          <w:sz w:val="22"/>
          <w:szCs w:val="22"/>
        </w:rPr>
      </w:pPr>
      <w:r>
        <w:rPr>
          <w:b/>
          <w:sz w:val="22"/>
          <w:szCs w:val="22"/>
        </w:rPr>
        <w:t>Supplementary Table 2:</w:t>
      </w:r>
      <w:r>
        <w:rPr>
          <w:sz w:val="22"/>
          <w:szCs w:val="22"/>
        </w:rPr>
        <w:t xml:space="preserve"> The table contains information about the normalized Root Mean Square Deviation (RMSD) of the pairwise comparison of the GPCR-Gα-Protein interface (cavities) for the indicated GPCRs. </w:t>
      </w:r>
    </w:p>
    <w:p w14:paraId="039923F6" w14:textId="77777777" w:rsidR="005C0C87" w:rsidRDefault="005C0C87" w:rsidP="005C0C87">
      <w:pPr>
        <w:rPr>
          <w:sz w:val="22"/>
          <w:szCs w:val="22"/>
        </w:rPr>
      </w:pPr>
    </w:p>
    <w:p w14:paraId="25053AA8" w14:textId="77777777" w:rsidR="005C0C87" w:rsidRDefault="005C0C87" w:rsidP="005C0C87">
      <w:pPr>
        <w:rPr>
          <w:sz w:val="22"/>
          <w:szCs w:val="22"/>
        </w:rPr>
      </w:pPr>
      <w:r>
        <w:rPr>
          <w:b/>
          <w:sz w:val="22"/>
          <w:szCs w:val="22"/>
        </w:rPr>
        <w:t>Supplementary Table 3:</w:t>
      </w:r>
      <w:r>
        <w:rPr>
          <w:sz w:val="22"/>
          <w:szCs w:val="22"/>
        </w:rPr>
        <w:t xml:space="preserve"> The table contains information about the chemical similarities of the </w:t>
      </w:r>
      <w:r>
        <w:rPr>
          <w:i/>
          <w:sz w:val="22"/>
          <w:szCs w:val="22"/>
        </w:rPr>
        <w:t>de novo</w:t>
      </w:r>
      <w:r>
        <w:rPr>
          <w:sz w:val="22"/>
          <w:szCs w:val="22"/>
        </w:rPr>
        <w:t xml:space="preserve"> synthesized synthetic compounds of the indicated GPCR-Gα-Protein interface (cavities). Of note, the chemical similarity was computed using the Taniomoto coefficient on the Atomic fingerprints.</w:t>
      </w:r>
    </w:p>
    <w:p w14:paraId="54A811E7" w14:textId="77777777" w:rsidR="005C0C87" w:rsidRDefault="005C0C87" w:rsidP="005C0C87">
      <w:pPr>
        <w:rPr>
          <w:sz w:val="22"/>
          <w:szCs w:val="22"/>
        </w:rPr>
      </w:pPr>
    </w:p>
    <w:p w14:paraId="4EC3A0B6" w14:textId="77777777" w:rsidR="005C0C87" w:rsidRDefault="005C0C87" w:rsidP="005C0C87">
      <w:pPr>
        <w:rPr>
          <w:sz w:val="22"/>
          <w:szCs w:val="22"/>
        </w:rPr>
      </w:pPr>
      <w:r>
        <w:rPr>
          <w:b/>
          <w:sz w:val="22"/>
          <w:szCs w:val="22"/>
        </w:rPr>
        <w:t>Supplementary Table 4:</w:t>
      </w:r>
      <w:r>
        <w:rPr>
          <w:sz w:val="22"/>
          <w:szCs w:val="22"/>
        </w:rPr>
        <w:t xml:space="preserve"> The table contains information about the YMDB metabolites predicted to bind at the intracellular cavities IC4 and IC5 of the Ste2 protein. Of note, predictions were made using molecular docking and Gcoupler. It contains information about the YMDB ID, Metabolite name, SMILES (Simplified Molecular Input Line Entry System), and cavities information. Of note, BE refers to binding energies, whereas probabilities were the outcome of Gcoupler. </w:t>
      </w:r>
    </w:p>
    <w:p w14:paraId="41F93F22" w14:textId="77777777" w:rsidR="005C0C87" w:rsidRDefault="005C0C87" w:rsidP="005C0C87">
      <w:pPr>
        <w:rPr>
          <w:sz w:val="22"/>
          <w:szCs w:val="22"/>
        </w:rPr>
      </w:pPr>
    </w:p>
    <w:p w14:paraId="11F7CD1A" w14:textId="77777777" w:rsidR="005C0C87" w:rsidRDefault="005C0C87" w:rsidP="005C0C87">
      <w:pPr>
        <w:rPr>
          <w:sz w:val="22"/>
          <w:szCs w:val="22"/>
        </w:rPr>
      </w:pPr>
      <w:r>
        <w:rPr>
          <w:b/>
          <w:sz w:val="22"/>
          <w:szCs w:val="22"/>
        </w:rPr>
        <w:t>Supplementary Table 5:</w:t>
      </w:r>
      <w:r>
        <w:rPr>
          <w:sz w:val="22"/>
          <w:szCs w:val="22"/>
        </w:rPr>
        <w:t xml:space="preserve"> The table contains information about the list of metabolite-gene pairs from the Kyoto Encyclopedia of Genes and Genomes (KEGG) pathway that is used in this study. </w:t>
      </w:r>
    </w:p>
    <w:p w14:paraId="6A841870" w14:textId="77777777" w:rsidR="005C0C87" w:rsidRDefault="005C0C87" w:rsidP="005C0C87">
      <w:pPr>
        <w:rPr>
          <w:sz w:val="22"/>
          <w:szCs w:val="22"/>
        </w:rPr>
      </w:pPr>
    </w:p>
    <w:p w14:paraId="68AA7127" w14:textId="77777777" w:rsidR="005C0C87" w:rsidRDefault="005C0C87" w:rsidP="005C0C87">
      <w:pPr>
        <w:rPr>
          <w:sz w:val="22"/>
          <w:szCs w:val="22"/>
        </w:rPr>
      </w:pPr>
      <w:r>
        <w:rPr>
          <w:b/>
          <w:sz w:val="22"/>
          <w:szCs w:val="22"/>
        </w:rPr>
        <w:t>Supplementary Table 6:</w:t>
      </w:r>
      <w:r>
        <w:rPr>
          <w:sz w:val="22"/>
          <w:szCs w:val="22"/>
        </w:rPr>
        <w:t xml:space="preserve"> The table contains the results of the untargeted metabolomics. Of note, the values represent normalized and imputed peak intensities of the indicated metabolites. </w:t>
      </w:r>
    </w:p>
    <w:p w14:paraId="6DC3D7A8" w14:textId="77777777" w:rsidR="005C0C87" w:rsidRDefault="005C0C87" w:rsidP="005C0C87">
      <w:pPr>
        <w:rPr>
          <w:sz w:val="22"/>
          <w:szCs w:val="22"/>
        </w:rPr>
      </w:pPr>
    </w:p>
    <w:p w14:paraId="0D3536DB" w14:textId="77777777" w:rsidR="005C0C87" w:rsidRDefault="005C0C87" w:rsidP="005C0C87">
      <w:pPr>
        <w:rPr>
          <w:sz w:val="22"/>
          <w:szCs w:val="22"/>
        </w:rPr>
      </w:pPr>
      <w:r>
        <w:rPr>
          <w:b/>
          <w:sz w:val="22"/>
          <w:szCs w:val="22"/>
        </w:rPr>
        <w:t>Supplementary Table 7:</w:t>
      </w:r>
      <w:r>
        <w:rPr>
          <w:sz w:val="22"/>
          <w:szCs w:val="22"/>
        </w:rPr>
        <w:t xml:space="preserve"> The table contains information about the known mutants from the literature that could modulate Ste2 signaling. Of note, the table also contains information about the site of mutation, the nature of the mutation, its position within the intracellular cavities IC4 and IC5, their impact on the Ste2 signaling pathway, and references. </w:t>
      </w:r>
      <w:r>
        <w:br w:type="page"/>
      </w:r>
    </w:p>
    <w:p w14:paraId="4D86158C" w14:textId="77777777" w:rsidR="005C0C87" w:rsidRDefault="005C0C87" w:rsidP="005C0C87">
      <w:pPr>
        <w:rPr>
          <w:color w:val="0000FF"/>
          <w:sz w:val="22"/>
          <w:szCs w:val="22"/>
        </w:rPr>
      </w:pPr>
    </w:p>
    <w:p w14:paraId="2BF57939" w14:textId="77777777" w:rsidR="005C0C87" w:rsidRDefault="005C0C87" w:rsidP="005C0C87">
      <w:pPr>
        <w:rPr>
          <w:sz w:val="22"/>
          <w:szCs w:val="22"/>
        </w:rPr>
      </w:pPr>
      <w:r>
        <w:rPr>
          <w:b/>
          <w:sz w:val="22"/>
          <w:szCs w:val="22"/>
        </w:rPr>
        <w:t>Supplementary Table 8:</w:t>
      </w:r>
      <w:r>
        <w:rPr>
          <w:sz w:val="22"/>
          <w:szCs w:val="22"/>
        </w:rPr>
        <w:t xml:space="preserve"> The table contains the TMM normalized read counts after RNA Sequencing.</w:t>
      </w:r>
    </w:p>
    <w:p w14:paraId="03383FA0" w14:textId="77777777" w:rsidR="005C0C87" w:rsidRDefault="005C0C87" w:rsidP="005C0C87">
      <w:pPr>
        <w:rPr>
          <w:sz w:val="22"/>
          <w:szCs w:val="22"/>
        </w:rPr>
      </w:pPr>
    </w:p>
    <w:p w14:paraId="1FED8E48" w14:textId="77777777" w:rsidR="005C0C87" w:rsidRDefault="005C0C87" w:rsidP="005C0C87">
      <w:pPr>
        <w:rPr>
          <w:sz w:val="22"/>
          <w:szCs w:val="22"/>
        </w:rPr>
      </w:pPr>
      <w:r>
        <w:rPr>
          <w:b/>
          <w:sz w:val="22"/>
          <w:szCs w:val="22"/>
        </w:rPr>
        <w:t>Supplementary Table 9:</w:t>
      </w:r>
      <w:r>
        <w:rPr>
          <w:sz w:val="22"/>
          <w:szCs w:val="22"/>
        </w:rPr>
        <w:t xml:space="preserve"> The table contains the list of Differentially Expressed Genes (DEGs) of the Control groups, alongside the other standard output from the NOISeq analysis, such as M and D values, mean values of the two conditions, probability ranking, and other gene-associated features. </w:t>
      </w:r>
    </w:p>
    <w:p w14:paraId="777819A0" w14:textId="77777777" w:rsidR="005C0C87" w:rsidRDefault="005C0C87" w:rsidP="005C0C87">
      <w:pPr>
        <w:rPr>
          <w:sz w:val="22"/>
          <w:szCs w:val="22"/>
        </w:rPr>
      </w:pPr>
    </w:p>
    <w:p w14:paraId="557C0C2E" w14:textId="77777777" w:rsidR="005C0C87" w:rsidRDefault="005C0C87" w:rsidP="005C0C87">
      <w:pPr>
        <w:rPr>
          <w:sz w:val="22"/>
          <w:szCs w:val="22"/>
        </w:rPr>
      </w:pPr>
      <w:r>
        <w:rPr>
          <w:b/>
          <w:sz w:val="22"/>
          <w:szCs w:val="22"/>
        </w:rPr>
        <w:t>Supplementary Table 10:</w:t>
      </w:r>
      <w:r>
        <w:rPr>
          <w:sz w:val="22"/>
          <w:szCs w:val="22"/>
        </w:rPr>
        <w:t xml:space="preserve"> The table contains the list of Differentially Expressed Genes (DEGs) of the Control-LST group, alongside the other standard output from the NOISeq analysis, such as M and D values, mean values of the two conditions, probability ranking, and other gene-associated features. </w:t>
      </w:r>
    </w:p>
    <w:p w14:paraId="12EC20B2" w14:textId="77777777" w:rsidR="005C0C87" w:rsidRDefault="005C0C87" w:rsidP="005C0C87">
      <w:pPr>
        <w:rPr>
          <w:sz w:val="22"/>
          <w:szCs w:val="22"/>
        </w:rPr>
      </w:pPr>
    </w:p>
    <w:p w14:paraId="07AF1A4B" w14:textId="77777777" w:rsidR="005C0C87" w:rsidRDefault="005C0C87" w:rsidP="005C0C87">
      <w:pPr>
        <w:rPr>
          <w:sz w:val="22"/>
          <w:szCs w:val="22"/>
        </w:rPr>
      </w:pPr>
      <w:r>
        <w:rPr>
          <w:b/>
          <w:sz w:val="22"/>
          <w:szCs w:val="22"/>
        </w:rPr>
        <w:t>Supplementary Table 11:</w:t>
      </w:r>
      <w:r>
        <w:rPr>
          <w:sz w:val="22"/>
          <w:szCs w:val="22"/>
        </w:rPr>
        <w:t xml:space="preserve"> The table contains the list of Differentially Expressed Genes (DEGs) of the LST group, alongside the other standard output from the NOISeq analysis, such as M and D values, mean values of the two conditions, probability ranking, and other gene-associated features.</w:t>
      </w:r>
    </w:p>
    <w:p w14:paraId="3F4DFB88"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C87"/>
    <w:rsid w:val="005C0C87"/>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8B7C"/>
  <w15:chartTrackingRefBased/>
  <w15:docId w15:val="{76908C54-AABC-4900-8983-53182AA2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87"/>
    <w:pPr>
      <w:spacing w:after="0" w:line="360" w:lineRule="auto"/>
      <w:jc w:val="both"/>
    </w:pPr>
    <w:rPr>
      <w:rFonts w:ascii="Arial" w:eastAsia="Arial" w:hAnsi="Arial" w:cs="Arial"/>
      <w:sz w:val="24"/>
      <w:szCs w:val="24"/>
      <w:lang w:val="en" w:eastAsia="en-IN"/>
    </w:rPr>
  </w:style>
  <w:style w:type="paragraph" w:styleId="Heading1">
    <w:name w:val="heading 1"/>
    <w:basedOn w:val="Normal"/>
    <w:next w:val="Normal"/>
    <w:link w:val="Heading1Char"/>
    <w:uiPriority w:val="9"/>
    <w:qFormat/>
    <w:rsid w:val="005C0C87"/>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C87"/>
    <w:rPr>
      <w:rFonts w:ascii="Arial" w:eastAsia="Arial" w:hAnsi="Arial" w:cs="Arial"/>
      <w:sz w:val="40"/>
      <w:szCs w:val="40"/>
      <w:lang w:val="e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2043</Words>
  <Characters>11651</Characters>
  <Application>Microsoft Office Word</Application>
  <DocSecurity>0</DocSecurity>
  <Lines>97</Lines>
  <Paragraphs>27</Paragraphs>
  <ScaleCrop>false</ScaleCrop>
  <Company>Springer Nature</Company>
  <LinksUpToDate>false</LinksUpToDate>
  <CharactersWithSpaces>13667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2023-05-25T01:56:00Z</dcterms:created>
  <dcterms:modified xsi:type="dcterms:W3CDTF">2023-05-25T01:56:00Z</dcterms:modified>
</cp:coreProperties>
</file>