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</w:t>
      </w: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  <w:bookmarkStart w:id="0" w:name="_Ref108457831"/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:</w:t>
      </w: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Flow chart of study participants.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drawing>
          <wp:inline distT="0" distB="0" distL="0" distR="0">
            <wp:extent cx="5274310" cy="3742055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br w:type="page"/>
      </w:r>
    </w:p>
    <w:p>
      <w:pPr>
        <w:pStyle w:val="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SEQ Table_S \* ARABIC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>
      <w:pPr>
        <w:pStyle w:val="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Scoring details.</w:t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  <w:gridCol w:w="14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8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930"/>
              </w:tabs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en-US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804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  <w:t>FBG&lt;5.45mmol/L and Age-adjusted D-Dimer&lt;0.184mg/L FEU</w:t>
            </w:r>
          </w:p>
        </w:tc>
        <w:tc>
          <w:tcPr>
            <w:tcW w:w="1418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804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  <w:t>FBG≥5.45mmol/L or Age-adjusted D-Dimer≥0.184mg/L FEU</w:t>
            </w:r>
          </w:p>
        </w:tc>
        <w:tc>
          <w:tcPr>
            <w:tcW w:w="141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804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  <w:t>FBG≥5.45mmol/L and Age-adjusted D-Dimer≥0.184mg/L FEU</w:t>
            </w:r>
          </w:p>
        </w:tc>
        <w:tc>
          <w:tcPr>
            <w:tcW w:w="141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</w:tr>
    </w:tbl>
    <w:p>
      <w:pPr>
        <w:tabs>
          <w:tab w:val="left" w:pos="1290"/>
        </w:tabs>
        <w:jc w:val="left"/>
        <w:rPr>
          <w:rFonts w:ascii="Times New Roman" w:hAnsi="Times New Roman" w:cs="Times New Roman"/>
          <w:b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1" w:name="_Ref108461946"/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SEQ Table_S \* ARABIC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1"/>
    </w:p>
    <w:p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Univariate Cox regression analyses of overall survival and progression-free survival in stage IB-IIA patients undergoing radical hysterectomy.</w:t>
      </w:r>
    </w:p>
    <w:tbl>
      <w:tblPr>
        <w:tblStyle w:val="10"/>
        <w:tblpPr w:leftFromText="180" w:rightFromText="180" w:vertAnchor="text" w:tblpY="1"/>
        <w:tblOverlap w:val="never"/>
        <w:tblW w:w="137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2211"/>
        <w:gridCol w:w="794"/>
        <w:gridCol w:w="2211"/>
        <w:gridCol w:w="794"/>
        <w:gridCol w:w="2211"/>
        <w:gridCol w:w="794"/>
        <w:gridCol w:w="2211"/>
        <w:gridCol w:w="7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Variable</w:t>
            </w:r>
          </w:p>
        </w:tc>
        <w:tc>
          <w:tcPr>
            <w:tcW w:w="601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Primary cohort</w:t>
            </w:r>
          </w:p>
        </w:tc>
        <w:tc>
          <w:tcPr>
            <w:tcW w:w="600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Validation cohort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0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Overall survival</w:t>
            </w:r>
          </w:p>
        </w:tc>
        <w:tc>
          <w:tcPr>
            <w:tcW w:w="300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Progression-free survival</w:t>
            </w:r>
          </w:p>
        </w:tc>
        <w:tc>
          <w:tcPr>
            <w:tcW w:w="300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Overall survival</w:t>
            </w:r>
          </w:p>
        </w:tc>
        <w:tc>
          <w:tcPr>
            <w:tcW w:w="300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Progression-free survival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  <w:vMerge w:val="continue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HR (95%CI)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P-value</w:t>
            </w:r>
          </w:p>
        </w:tc>
        <w:tc>
          <w:tcPr>
            <w:tcW w:w="22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HR (95%CI)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P-value</w:t>
            </w:r>
          </w:p>
        </w:tc>
        <w:tc>
          <w:tcPr>
            <w:tcW w:w="22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HR (95%CI)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P-value</w:t>
            </w:r>
          </w:p>
        </w:tc>
        <w:tc>
          <w:tcPr>
            <w:tcW w:w="22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HR (95%CI)</w:t>
            </w: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Age</w:t>
            </w:r>
          </w:p>
        </w:tc>
        <w:tc>
          <w:tcPr>
            <w:tcW w:w="2211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1.043(0.998,1.089)</w:t>
            </w:r>
          </w:p>
        </w:tc>
        <w:tc>
          <w:tcPr>
            <w:tcW w:w="794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0.059</w:t>
            </w:r>
          </w:p>
        </w:tc>
        <w:tc>
          <w:tcPr>
            <w:tcW w:w="2211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1.028(0.991,1.067)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0.143</w:t>
            </w:r>
          </w:p>
        </w:tc>
        <w:tc>
          <w:tcPr>
            <w:tcW w:w="2211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1.006(0.975,1.038)</w:t>
            </w:r>
          </w:p>
        </w:tc>
        <w:tc>
          <w:tcPr>
            <w:tcW w:w="794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0.710</w:t>
            </w:r>
          </w:p>
        </w:tc>
        <w:tc>
          <w:tcPr>
            <w:tcW w:w="2211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0.991(0.963,1.020)</w:t>
            </w:r>
          </w:p>
        </w:tc>
        <w:tc>
          <w:tcPr>
            <w:tcW w:w="795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FIGO stage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0.032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0.023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0.027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IB</w:t>
            </w:r>
          </w:p>
        </w:tc>
        <w:tc>
          <w:tcPr>
            <w:tcW w:w="2211" w:type="dxa"/>
          </w:tcPr>
          <w:p>
            <w:pPr>
              <w:tabs>
                <w:tab w:val="left" w:pos="657"/>
                <w:tab w:val="center" w:pos="873"/>
              </w:tabs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IIA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2.701(1.089,6.696)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2.424(1.129,5.203)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2.017(1.084,3.754)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1.821(1.032,3.214)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Histological type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0.356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0.160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0.647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SCC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Non SCC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0.386(0.052,2.900)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0.239(0.032,1.762)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0.804(0.315,2.051)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0.776(0.330,1.825)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Grade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0.042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0.082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0.077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Good or moderate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Poor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2.634(1.037,6.689)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2.104(0.909,4.866)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1.938(0.932,4.032)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1.517(0.771,2.984)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Tumor size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&lt;0.001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&lt;0.001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&lt;0.001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≤4 cm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&gt;4 cm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6.411(2.528,16.258)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4.338(1.968,9.563)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5.540(2.131,14.401)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3.391(1.613,7.128)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 xml:space="preserve">Preoperative chemoradiotherapy 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0.890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0.598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0.201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1.092(0.316,3.775)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0.723(0.217,2.410)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1.555(0.790,3.061)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2.049(1.066,3.941)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Surgical procedure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0.664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0.957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0.699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MIS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Open surgery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1.230(0.483,3.131)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0.978(0.435,2.196)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0.885(0.476,1.645)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0.808(0.459,1.424)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Intraoperative bleeding (ml)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1.001(0.998,1.004)</w:t>
            </w: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0.535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1.001(0.998,1.003)</w:t>
            </w: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0.583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1.000(0.999,1.001)</w:t>
            </w: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0.474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1.000(0.999,1.001)</w:t>
            </w:r>
          </w:p>
        </w:tc>
        <w:tc>
          <w:tcPr>
            <w:tcW w:w="795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LVSI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0.070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0.075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0.004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2.524(0.926,6.880)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2.168(0.924,5.090)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2.503(1.344,4.691)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1.894 (1.066,3.365)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DSI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0.009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0.005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0.022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&lt;1/2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≥1/2</w:t>
            </w: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4.356 (1.443,13.148)</w:t>
            </w: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3.443(1.454,8.154)</w:t>
            </w: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2.198(1.118,4.324)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1.537(0.856,2.757)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Nerve invasion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0.076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0.240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0.351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3.836(0.870,16.912)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2.387(0.559,10.192)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1.635(0.582,4.595)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1.281(0.460,3.565)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Postoperative chemoradiotherapy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0.075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0.694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0.358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0.367(0.122,1.105)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0.855(0.391,1.868)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0.335(0.046,2.444)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0.379(0.052,2.759)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Score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7.988(0.999,63.867)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0.050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2.479(0.788,7.793)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0.120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1.838(0.205,16.445)</w:t>
            </w:r>
          </w:p>
        </w:tc>
        <w:tc>
          <w:tcPr>
            <w:tcW w:w="794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0.586</w:t>
            </w:r>
          </w:p>
        </w:tc>
        <w:tc>
          <w:tcPr>
            <w:tcW w:w="221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1.284(0.331,4.706)</w:t>
            </w:r>
          </w:p>
        </w:tc>
        <w:tc>
          <w:tcPr>
            <w:tcW w:w="79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0.744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56" w:type="dxa"/>
            <w:tcBorders>
              <w:bottom w:val="single" w:color="auto" w:sz="4" w:space="0"/>
            </w:tcBorders>
          </w:tcPr>
          <w:p>
            <w:pPr>
              <w:ind w:firstLine="28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1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27.122(3.218,228.607)</w:t>
            </w:r>
          </w:p>
        </w:tc>
        <w:tc>
          <w:tcPr>
            <w:tcW w:w="794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0.002</w:t>
            </w:r>
          </w:p>
        </w:tc>
        <w:tc>
          <w:tcPr>
            <w:tcW w:w="2211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8.174(2.465,27.108)</w:t>
            </w:r>
          </w:p>
        </w:tc>
        <w:tc>
          <w:tcPr>
            <w:tcW w:w="794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&lt;0.001</w:t>
            </w:r>
          </w:p>
        </w:tc>
        <w:tc>
          <w:tcPr>
            <w:tcW w:w="2211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22.768(3.115,166.389)</w:t>
            </w:r>
          </w:p>
        </w:tc>
        <w:tc>
          <w:tcPr>
            <w:tcW w:w="794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0.002</w:t>
            </w:r>
          </w:p>
        </w:tc>
        <w:tc>
          <w:tcPr>
            <w:tcW w:w="2211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7.611(2.343,24.726)</w:t>
            </w:r>
          </w:p>
        </w:tc>
        <w:tc>
          <w:tcPr>
            <w:tcW w:w="795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&lt;0.001</w:t>
            </w:r>
          </w:p>
        </w:tc>
      </w:tr>
    </w:tbl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FIGO, International Federation of Gynecology and Obstetrics; SCC, squamous cell carcinoma; LVSI, lymphovascular space invasion; DSI, deep stromal invasion.</w:t>
      </w: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1ZjEzNzM0OGUzNjNmZDNjY2ZiMjUwNDdiYmJiNmMifQ=="/>
  </w:docVars>
  <w:rsids>
    <w:rsidRoot w:val="002B06EC"/>
    <w:rsid w:val="002B06EC"/>
    <w:rsid w:val="003B4E77"/>
    <w:rsid w:val="005B78E7"/>
    <w:rsid w:val="005E42E8"/>
    <w:rsid w:val="005F5882"/>
    <w:rsid w:val="00607EAE"/>
    <w:rsid w:val="00635189"/>
    <w:rsid w:val="007629F7"/>
    <w:rsid w:val="007722CF"/>
    <w:rsid w:val="00962214"/>
    <w:rsid w:val="00BB767F"/>
    <w:rsid w:val="2A5B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Times New Roman" w:cs="Times New Roman"/>
      <w:kern w:val="0"/>
      <w:sz w:val="20"/>
      <w:szCs w:val="2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table" w:customStyle="1" w:styleId="10">
    <w:name w:val="网格型1"/>
    <w:basedOn w:val="5"/>
    <w:qFormat/>
    <w:uiPriority w:val="39"/>
    <w:rPr>
      <w:kern w:val="0"/>
      <w:sz w:val="20"/>
      <w:szCs w:val="2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B7A08-17CA-4DD8-938D-6BA87A5D8C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304</Words>
  <Characters>2421</Characters>
  <Lines>21</Lines>
  <Paragraphs>5</Paragraphs>
  <TotalTime>2</TotalTime>
  <ScaleCrop>false</ScaleCrop>
  <LinksUpToDate>false</LinksUpToDate>
  <CharactersWithSpaces>2505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2022-09-20T09:01:00Z</dcterms:created>
  <dc:creator>朱 春玉</dc:creator>
  <cp:lastModifiedBy>依依</cp:lastModifiedBy>
  <dcterms:modified xsi:type="dcterms:W3CDTF">2022-12-31T05:01:24Z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34796B59F0F94389B6B77E81EDC65E66</vt:lpwstr>
  </property>
</Properties>
</file>