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E920" w14:textId="77777777" w:rsidR="00856086" w:rsidRDefault="00856086" w:rsidP="00856086">
      <w:pPr>
        <w:jc w:val="center"/>
      </w:pPr>
      <w:r>
        <w:rPr>
          <w:noProof/>
        </w:rPr>
        <w:drawing>
          <wp:inline distT="0" distB="0" distL="0" distR="0" wp14:anchorId="0CAAAA40" wp14:editId="0A521353">
            <wp:extent cx="2978150" cy="2571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36F2" w14:textId="149426D7" w:rsidR="00856086" w:rsidRDefault="00856086" w:rsidP="00856086">
      <w:pPr>
        <w:rPr>
          <w:rFonts w:ascii="Times New Roman" w:hAnsi="Times New Roman" w:cs="Times New Roman"/>
          <w:sz w:val="28"/>
          <w:szCs w:val="32"/>
        </w:rPr>
      </w:pPr>
      <w:r w:rsidRPr="00856086">
        <w:rPr>
          <w:rFonts w:ascii="Times New Roman" w:hAnsi="Times New Roman" w:cs="Times New Roman"/>
          <w:sz w:val="28"/>
          <w:szCs w:val="32"/>
        </w:rPr>
        <w:t>Figure S1</w:t>
      </w:r>
      <w:r>
        <w:rPr>
          <w:rFonts w:ascii="Times New Roman" w:hAnsi="Times New Roman" w:cs="Times New Roman"/>
          <w:sz w:val="28"/>
          <w:szCs w:val="32"/>
        </w:rPr>
        <w:t xml:space="preserve">: </w:t>
      </w:r>
      <w:r w:rsidRPr="00856086">
        <w:rPr>
          <w:rFonts w:ascii="Times New Roman" w:hAnsi="Times New Roman" w:cs="Times New Roman"/>
          <w:sz w:val="28"/>
          <w:szCs w:val="32"/>
        </w:rPr>
        <w:t xml:space="preserve">High-level </w:t>
      </w:r>
      <w:r>
        <w:rPr>
          <w:rFonts w:ascii="Times New Roman" w:hAnsi="Times New Roman" w:cs="Times New Roman"/>
          <w:sz w:val="28"/>
          <w:szCs w:val="32"/>
        </w:rPr>
        <w:t>TLK2</w:t>
      </w:r>
      <w:r w:rsidRPr="00856086">
        <w:rPr>
          <w:rFonts w:ascii="Times New Roman" w:hAnsi="Times New Roman" w:cs="Times New Roman"/>
          <w:sz w:val="28"/>
          <w:szCs w:val="32"/>
        </w:rPr>
        <w:t xml:space="preserve"> expression is strongly associated with overall survival of GC</w:t>
      </w:r>
      <w:r>
        <w:rPr>
          <w:rFonts w:ascii="Times New Roman" w:hAnsi="Times New Roman" w:cs="Times New Roman"/>
          <w:sz w:val="28"/>
          <w:szCs w:val="32"/>
        </w:rPr>
        <w:t xml:space="preserve"> and TLK2 is </w:t>
      </w:r>
      <w:r w:rsidRPr="00856086">
        <w:rPr>
          <w:rFonts w:ascii="Times New Roman" w:hAnsi="Times New Roman" w:cs="Times New Roman"/>
          <w:sz w:val="28"/>
          <w:szCs w:val="32"/>
        </w:rPr>
        <w:t>located in the nucleus</w:t>
      </w:r>
      <w:r>
        <w:rPr>
          <w:rFonts w:ascii="Times New Roman" w:hAnsi="Times New Roman" w:cs="Times New Roman"/>
          <w:sz w:val="28"/>
          <w:szCs w:val="32"/>
        </w:rPr>
        <w:t xml:space="preserve"> of GC cells.</w:t>
      </w:r>
    </w:p>
    <w:p w14:paraId="066D804D" w14:textId="713AC24C" w:rsidR="00856086" w:rsidRPr="00856086" w:rsidRDefault="00856086" w:rsidP="00856086">
      <w:pPr>
        <w:rPr>
          <w:rFonts w:ascii="Times New Roman" w:hAnsi="Times New Roman" w:cs="Times New Roman"/>
          <w:sz w:val="28"/>
          <w:szCs w:val="32"/>
        </w:rPr>
      </w:pPr>
      <w:r w:rsidRPr="00856086">
        <w:rPr>
          <w:rFonts w:ascii="Times New Roman" w:hAnsi="Times New Roman" w:cs="Times New Roman"/>
          <w:sz w:val="28"/>
          <w:szCs w:val="32"/>
        </w:rPr>
        <w:t>A-B: High-level TLK2 expression is strongly associated with overall survival and progression free survival of GC; C: TLK2 is located in the nucleus of GC cells.</w:t>
      </w:r>
    </w:p>
    <w:p w14:paraId="3B8C9577" w14:textId="77777777" w:rsidR="00856086" w:rsidRPr="00451822" w:rsidRDefault="00856086" w:rsidP="00451822">
      <w:pPr>
        <w:rPr>
          <w:rFonts w:ascii="Times New Roman" w:hAnsi="Times New Roman" w:cs="Times New Roman"/>
          <w:sz w:val="28"/>
          <w:szCs w:val="32"/>
        </w:rPr>
      </w:pPr>
    </w:p>
    <w:p w14:paraId="7CA71FBC" w14:textId="77777777" w:rsidR="00856086" w:rsidRDefault="00856086" w:rsidP="00856086">
      <w:pPr>
        <w:jc w:val="center"/>
      </w:pPr>
      <w:r>
        <w:rPr>
          <w:noProof/>
        </w:rPr>
        <w:drawing>
          <wp:inline distT="0" distB="0" distL="0" distR="0" wp14:anchorId="4F986161" wp14:editId="23DCA1F4">
            <wp:extent cx="2762250" cy="1143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33E8D" w14:textId="5BADB6E1" w:rsidR="00856086" w:rsidRDefault="00856086" w:rsidP="00856086">
      <w:r w:rsidRPr="00856086">
        <w:rPr>
          <w:rFonts w:ascii="Times New Roman" w:hAnsi="Times New Roman" w:cs="Times New Roman"/>
          <w:sz w:val="28"/>
          <w:szCs w:val="32"/>
        </w:rPr>
        <w:t>Figure S</w:t>
      </w:r>
      <w:r>
        <w:rPr>
          <w:rFonts w:ascii="Times New Roman" w:hAnsi="Times New Roman" w:cs="Times New Roman"/>
          <w:sz w:val="28"/>
          <w:szCs w:val="32"/>
        </w:rPr>
        <w:t>2:</w:t>
      </w:r>
      <w:r w:rsidRPr="00856086">
        <w:t xml:space="preserve"> </w:t>
      </w:r>
      <w:r>
        <w:rPr>
          <w:rFonts w:ascii="Times New Roman" w:hAnsi="Times New Roman" w:cs="Times New Roman"/>
          <w:sz w:val="28"/>
          <w:szCs w:val="32"/>
        </w:rPr>
        <w:t>A</w:t>
      </w:r>
      <w:r w:rsidRPr="00856086">
        <w:rPr>
          <w:rFonts w:ascii="Times New Roman" w:hAnsi="Times New Roman" w:cs="Times New Roman"/>
          <w:sz w:val="28"/>
          <w:szCs w:val="32"/>
        </w:rPr>
        <w:t>poptosis-stimulating protein BAX was upregulated after TLK2 knockdown</w:t>
      </w:r>
      <w:r>
        <w:rPr>
          <w:rFonts w:ascii="Times New Roman" w:hAnsi="Times New Roman" w:cs="Times New Roman"/>
          <w:sz w:val="28"/>
          <w:szCs w:val="32"/>
        </w:rPr>
        <w:t>.</w:t>
      </w:r>
    </w:p>
    <w:p w14:paraId="5B450542" w14:textId="77777777" w:rsidR="00856086" w:rsidRDefault="00856086" w:rsidP="00856086">
      <w:pPr>
        <w:jc w:val="center"/>
      </w:pPr>
      <w:r>
        <w:rPr>
          <w:noProof/>
        </w:rPr>
        <w:lastRenderedPageBreak/>
        <w:drawing>
          <wp:inline distT="0" distB="0" distL="0" distR="0" wp14:anchorId="047F6CEF" wp14:editId="70EDC83A">
            <wp:extent cx="5219700" cy="25273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7FD5C" w14:textId="0B2B3B77" w:rsidR="00856086" w:rsidRDefault="00856086" w:rsidP="00856086">
      <w:r w:rsidRPr="00856086">
        <w:rPr>
          <w:rFonts w:ascii="Times New Roman" w:hAnsi="Times New Roman" w:cs="Times New Roman"/>
          <w:sz w:val="28"/>
          <w:szCs w:val="32"/>
        </w:rPr>
        <w:t>Figure S</w:t>
      </w:r>
      <w:r w:rsidR="00451822">
        <w:rPr>
          <w:rFonts w:ascii="Times New Roman" w:hAnsi="Times New Roman" w:cs="Times New Roman"/>
          <w:sz w:val="28"/>
          <w:szCs w:val="32"/>
        </w:rPr>
        <w:t>3</w:t>
      </w:r>
      <w:r>
        <w:rPr>
          <w:rFonts w:ascii="Times New Roman" w:hAnsi="Times New Roman" w:cs="Times New Roman"/>
          <w:sz w:val="28"/>
          <w:szCs w:val="32"/>
        </w:rPr>
        <w:t>:</w:t>
      </w:r>
      <w:r w:rsidRPr="00856086">
        <w:t xml:space="preserve"> </w:t>
      </w:r>
      <w:r w:rsidR="00451822" w:rsidRPr="00451822">
        <w:rPr>
          <w:rFonts w:ascii="Times New Roman" w:hAnsi="Times New Roman" w:cs="Times New Roman"/>
          <w:sz w:val="28"/>
          <w:szCs w:val="32"/>
        </w:rPr>
        <w:t>Compared with the control group, 142 metabolites were downregulated, and 62 metabolites were upregulated following TLK2 knockdown in HGC27 cells, including purine, and pyrimidine</w:t>
      </w:r>
      <w:r w:rsidR="00451822">
        <w:rPr>
          <w:rFonts w:ascii="Times New Roman" w:hAnsi="Times New Roman" w:cs="Times New Roman"/>
          <w:sz w:val="28"/>
          <w:szCs w:val="32"/>
        </w:rPr>
        <w:t>.</w:t>
      </w:r>
    </w:p>
    <w:p w14:paraId="7D53ED6A" w14:textId="77777777" w:rsidR="00856086" w:rsidRDefault="00856086" w:rsidP="00451822"/>
    <w:p w14:paraId="1620F396" w14:textId="764CD9FE" w:rsidR="00856086" w:rsidRPr="00451822" w:rsidRDefault="00856086" w:rsidP="00451822">
      <w:pPr>
        <w:jc w:val="center"/>
        <w:rPr>
          <w:rFonts w:ascii="Times New Roman" w:hAnsi="Times New Roman" w:cs="Times New Roman"/>
          <w:sz w:val="28"/>
          <w:szCs w:val="32"/>
        </w:rPr>
      </w:pPr>
      <w:r w:rsidRPr="00451822"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4CFF9766" wp14:editId="5D746FB3">
            <wp:extent cx="1917700" cy="1450844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47" cy="14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557F" w14:textId="0FBB48B3" w:rsidR="00856086" w:rsidRPr="00451822" w:rsidRDefault="00451822" w:rsidP="00451822">
      <w:pPr>
        <w:rPr>
          <w:rFonts w:ascii="Times New Roman" w:hAnsi="Times New Roman" w:cs="Times New Roman"/>
          <w:sz w:val="28"/>
          <w:szCs w:val="32"/>
        </w:rPr>
      </w:pPr>
      <w:r w:rsidRPr="00856086">
        <w:rPr>
          <w:rFonts w:ascii="Times New Roman" w:hAnsi="Times New Roman" w:cs="Times New Roman"/>
          <w:sz w:val="28"/>
          <w:szCs w:val="32"/>
        </w:rPr>
        <w:t>Figure S</w:t>
      </w:r>
      <w:r>
        <w:rPr>
          <w:rFonts w:ascii="Times New Roman" w:hAnsi="Times New Roman" w:cs="Times New Roman"/>
          <w:sz w:val="28"/>
          <w:szCs w:val="32"/>
        </w:rPr>
        <w:t>4:</w:t>
      </w:r>
      <w:r w:rsidRPr="00856086">
        <w:t xml:space="preserve"> </w:t>
      </w:r>
      <w:r w:rsidRPr="00451822">
        <w:rPr>
          <w:rFonts w:ascii="Times New Roman" w:hAnsi="Times New Roman" w:cs="Times New Roman"/>
          <w:sz w:val="28"/>
          <w:szCs w:val="32"/>
        </w:rPr>
        <w:t xml:space="preserve">Schematic diagram of the components of the </w:t>
      </w:r>
      <w:r>
        <w:rPr>
          <w:rFonts w:ascii="Times New Roman" w:hAnsi="Times New Roman" w:cs="Times New Roman"/>
          <w:sz w:val="28"/>
          <w:szCs w:val="32"/>
        </w:rPr>
        <w:t>mTORC1.</w:t>
      </w:r>
    </w:p>
    <w:p w14:paraId="5006D838" w14:textId="77777777" w:rsidR="00856086" w:rsidRPr="00451822" w:rsidRDefault="00856086" w:rsidP="00856086">
      <w:pPr>
        <w:jc w:val="center"/>
      </w:pPr>
    </w:p>
    <w:p w14:paraId="0C11BFC5" w14:textId="2E6A3AAE" w:rsidR="0052771D" w:rsidRDefault="00856086" w:rsidP="00856086">
      <w:pPr>
        <w:jc w:val="center"/>
      </w:pPr>
      <w:r>
        <w:rPr>
          <w:noProof/>
        </w:rPr>
        <w:drawing>
          <wp:inline distT="0" distB="0" distL="0" distR="0" wp14:anchorId="362D868D" wp14:editId="1FCDB2A3">
            <wp:extent cx="2590800" cy="1092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1DD96" w14:textId="77777777" w:rsidR="004D1D62" w:rsidRPr="00E95618" w:rsidRDefault="00E95618" w:rsidP="00E95618">
      <w:pPr>
        <w:rPr>
          <w:rFonts w:ascii="Times New Roman" w:hAnsi="Times New Roman" w:cs="Times New Roman"/>
          <w:sz w:val="28"/>
          <w:szCs w:val="32"/>
        </w:rPr>
      </w:pPr>
      <w:r w:rsidRPr="00856086">
        <w:rPr>
          <w:rFonts w:ascii="Times New Roman" w:hAnsi="Times New Roman" w:cs="Times New Roman"/>
          <w:sz w:val="28"/>
          <w:szCs w:val="32"/>
        </w:rPr>
        <w:t>Figure S</w:t>
      </w:r>
      <w:r>
        <w:rPr>
          <w:rFonts w:ascii="Times New Roman" w:hAnsi="Times New Roman" w:cs="Times New Roman"/>
          <w:sz w:val="28"/>
          <w:szCs w:val="32"/>
        </w:rPr>
        <w:t>5:</w:t>
      </w:r>
      <w:r w:rsidRPr="00E95618">
        <w:rPr>
          <w:rFonts w:ascii="Times New Roman" w:hAnsi="Times New Roman" w:cs="Times New Roman"/>
          <w:sz w:val="28"/>
          <w:szCs w:val="32"/>
        </w:rPr>
        <w:t xml:space="preserve"> AKT and p-AKT </w:t>
      </w:r>
      <w:r>
        <w:rPr>
          <w:rFonts w:ascii="Times New Roman" w:hAnsi="Times New Roman" w:cs="Times New Roman"/>
          <w:sz w:val="28"/>
          <w:szCs w:val="32"/>
        </w:rPr>
        <w:t xml:space="preserve">were used </w:t>
      </w:r>
      <w:r w:rsidRPr="00E95618">
        <w:rPr>
          <w:rFonts w:ascii="Times New Roman" w:hAnsi="Times New Roman" w:cs="Times New Roman"/>
          <w:sz w:val="28"/>
          <w:szCs w:val="32"/>
        </w:rPr>
        <w:t>to determine the appropriate concentration of Fostamatinib and found its lowest effective concentration was 5uM</w:t>
      </w:r>
    </w:p>
    <w:tbl>
      <w:tblPr>
        <w:tblpPr w:leftFromText="181" w:rightFromText="181" w:vertAnchor="text" w:horzAnchor="margin" w:tblpXSpec="center" w:tblpY="1271"/>
        <w:tblW w:w="7477" w:type="dxa"/>
        <w:tblLook w:val="04A0" w:firstRow="1" w:lastRow="0" w:firstColumn="1" w:lastColumn="0" w:noHBand="0" w:noVBand="1"/>
      </w:tblPr>
      <w:tblGrid>
        <w:gridCol w:w="2046"/>
        <w:gridCol w:w="2218"/>
        <w:gridCol w:w="2211"/>
        <w:gridCol w:w="1002"/>
      </w:tblGrid>
      <w:tr w:rsidR="004D1D62" w:rsidRPr="005B3E35" w14:paraId="72CF6114" w14:textId="77777777" w:rsidTr="00D530F4">
        <w:trPr>
          <w:trHeight w:val="300"/>
        </w:trPr>
        <w:tc>
          <w:tcPr>
            <w:tcW w:w="204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77F2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lastRenderedPageBreak/>
              <w:t>Variables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3C381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Number of patients</w:t>
            </w:r>
          </w:p>
        </w:tc>
        <w:tc>
          <w:tcPr>
            <w:tcW w:w="321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6E2B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Multivariate analysis</w:t>
            </w:r>
          </w:p>
        </w:tc>
      </w:tr>
      <w:tr w:rsidR="004D1D62" w:rsidRPr="005B3E35" w14:paraId="3201A956" w14:textId="77777777" w:rsidTr="00D530F4">
        <w:trPr>
          <w:trHeight w:val="315"/>
        </w:trPr>
        <w:tc>
          <w:tcPr>
            <w:tcW w:w="204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CC270B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1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27E53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5323B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HR (95%CI 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4F9D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P</w:t>
            </w:r>
          </w:p>
        </w:tc>
      </w:tr>
      <w:tr w:rsidR="004D1D62" w:rsidRPr="005B3E35" w14:paraId="41B59140" w14:textId="77777777" w:rsidTr="00D530F4">
        <w:trPr>
          <w:trHeight w:val="315"/>
        </w:trPr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283B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Gender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06B2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BB65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FEA2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4D1D62" w:rsidRPr="005B3E35" w14:paraId="2D1620E1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1C97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male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AC9E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E24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45BC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348ACDFD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1A93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female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5423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C1A4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0.864(0.463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1.611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A564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0.646</w:t>
            </w:r>
          </w:p>
        </w:tc>
      </w:tr>
      <w:tr w:rsidR="004D1D62" w:rsidRPr="005B3E35" w14:paraId="7FEF6309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22AC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Age (y)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106E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0DAB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64CA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60B5A963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3F51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&lt;61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C16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17A8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6B51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66775A7C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2630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</w:t>
            </w:r>
            <w:r w:rsidRPr="005B3E35">
              <w:rPr>
                <w:rFonts w:ascii="宋体" w:eastAsia="宋体" w:hAnsi="宋体" w:cs="Times New Roman" w:hint="eastAsia"/>
                <w:kern w:val="0"/>
                <w:sz w:val="22"/>
              </w:rPr>
              <w:t>≥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61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D681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EF40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0.947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0.525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1.709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42AB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0.856</w:t>
            </w:r>
          </w:p>
        </w:tc>
      </w:tr>
      <w:tr w:rsidR="004D1D62" w:rsidRPr="005B3E35" w14:paraId="13A3EB14" w14:textId="77777777" w:rsidTr="00D530F4">
        <w:trPr>
          <w:trHeight w:val="315"/>
        </w:trPr>
        <w:tc>
          <w:tcPr>
            <w:tcW w:w="4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2203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Tumor diameter (cm)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9432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2A7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3D727227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1B8F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&lt;6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06C2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F0BB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0EDF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495970E1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26A5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</w:t>
            </w:r>
            <w:r w:rsidRPr="005B3E35">
              <w:rPr>
                <w:rFonts w:ascii="宋体" w:eastAsia="宋体" w:hAnsi="宋体" w:cs="Times New Roman" w:hint="eastAsia"/>
                <w:kern w:val="0"/>
                <w:sz w:val="22"/>
              </w:rPr>
              <w:t>≥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780A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59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C0EA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2.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715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(1.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470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-5.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0.13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D46F" w14:textId="77777777" w:rsidR="004D1D62" w:rsidRPr="00BC7BEC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BC7BE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2"/>
              </w:rPr>
              <w:t>0</w:t>
            </w:r>
            <w:r w:rsidRPr="00BC7BEC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.001</w:t>
            </w:r>
          </w:p>
        </w:tc>
      </w:tr>
      <w:tr w:rsidR="004D1D62" w:rsidRPr="005B3E35" w14:paraId="146522FA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3751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Differentiation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CE2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A30F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37B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4908ACAE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8CD7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high/middle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DA8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B015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E847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34B4DC23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7496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low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957A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543E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0.648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0.321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1.309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B014" w14:textId="77777777" w:rsidR="004D1D62" w:rsidRPr="00BC7BEC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.227</w:t>
            </w:r>
          </w:p>
        </w:tc>
      </w:tr>
      <w:tr w:rsidR="004D1D62" w:rsidRPr="005B3E35" w14:paraId="4D3A593C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01A2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Location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724E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D4A1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0A78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2FA8B779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431D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upper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9417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070D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514A6F9D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.055</w:t>
            </w:r>
          </w:p>
        </w:tc>
      </w:tr>
      <w:tr w:rsidR="004D1D62" w:rsidRPr="005B3E35" w14:paraId="0455F0C9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63D6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lower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0281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C8C8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1.969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0.984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940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998A2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0B8978D3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F0BC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Depth of </w:t>
            </w:r>
            <w:proofErr w:type="spellStart"/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invision</w:t>
            </w:r>
            <w:proofErr w:type="spellEnd"/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527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3D94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1FE5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035A54F1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E7F5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T1/T2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696A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BEF4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805E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25151501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5D45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T3/T4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F0FD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FA5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1.892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743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4.820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D30B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C7BEC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0.181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4D1D62" w:rsidRPr="005B3E35" w14:paraId="1570E397" w14:textId="77777777" w:rsidTr="00D530F4">
        <w:trPr>
          <w:trHeight w:val="315"/>
        </w:trPr>
        <w:tc>
          <w:tcPr>
            <w:tcW w:w="4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9032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Lymph node metastasis 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96EC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9D8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73DB4204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DD64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no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0E62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A343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1D20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34D5E3F5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9B26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yes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D8D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C0B8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0.321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099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1.038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1C0C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058</w:t>
            </w:r>
          </w:p>
        </w:tc>
      </w:tr>
      <w:tr w:rsidR="004D1D62" w:rsidRPr="005B3E35" w14:paraId="2602F30C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018D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TNM stages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4602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6EA8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D1CA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0CAE5137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E3D5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I/II 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3F5D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BC95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8C41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65F09726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55EB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III/IV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CEEC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F034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0.698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(0.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266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1.833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C4C5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0.4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65</w:t>
            </w:r>
          </w:p>
        </w:tc>
      </w:tr>
      <w:tr w:rsidR="004D1D62" w:rsidRPr="005B3E35" w14:paraId="25FDDD9C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87FC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TLK2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expression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C011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06C5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8F0E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0E05BAAD" w14:textId="77777777" w:rsidTr="00D530F4">
        <w:trPr>
          <w:trHeight w:val="315"/>
        </w:trPr>
        <w:tc>
          <w:tcPr>
            <w:tcW w:w="20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7521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low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2317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1AB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FE4D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4D1D62" w:rsidRPr="005B3E35" w14:paraId="5E8FB884" w14:textId="77777777" w:rsidTr="00D530F4">
        <w:trPr>
          <w:trHeight w:val="330"/>
        </w:trPr>
        <w:tc>
          <w:tcPr>
            <w:tcW w:w="20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72524" w14:textId="77777777" w:rsidR="004D1D62" w:rsidRPr="005B3E35" w:rsidRDefault="004D1D62" w:rsidP="00D530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high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88296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68A49" w14:textId="77777777" w:rsidR="004D1D62" w:rsidRPr="005B3E35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0.157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0.076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0.321</w:t>
            </w:r>
            <w:r w:rsidRPr="005B3E35">
              <w:rPr>
                <w:rFonts w:ascii="Times New Roman" w:eastAsia="宋体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3EB89" w14:textId="77777777" w:rsidR="004D1D62" w:rsidRPr="007356B0" w:rsidRDefault="004D1D62" w:rsidP="00D530F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7356B0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 xml:space="preserve">0.001 </w:t>
            </w:r>
          </w:p>
        </w:tc>
      </w:tr>
    </w:tbl>
    <w:p w14:paraId="4AA68050" w14:textId="47230727" w:rsidR="004D1D62" w:rsidRDefault="004D1D62" w:rsidP="004D1D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22A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C22AD">
        <w:rPr>
          <w:rFonts w:ascii="Times New Roman" w:hAnsi="Times New Roman" w:cs="Times New Roman"/>
          <w:b/>
          <w:sz w:val="24"/>
          <w:szCs w:val="24"/>
        </w:rPr>
        <w:t>1</w:t>
      </w:r>
      <w:r w:rsidRPr="009C22A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9C22AD">
        <w:rPr>
          <w:rFonts w:ascii="Times New Roman" w:hAnsi="Times New Roman" w:cs="Times New Roman"/>
          <w:b/>
          <w:sz w:val="24"/>
          <w:szCs w:val="24"/>
        </w:rPr>
        <w:t>Clinicopathological parameters</w:t>
      </w:r>
      <w:r w:rsidRPr="009C22AD">
        <w:rPr>
          <w:rFonts w:ascii="Times New Roman" w:hAnsi="Times New Roman" w:cs="Times New Roman" w:hint="eastAsia"/>
          <w:b/>
          <w:sz w:val="24"/>
          <w:szCs w:val="24"/>
        </w:rPr>
        <w:t xml:space="preserve"> and Cox </w:t>
      </w:r>
      <w:r>
        <w:rPr>
          <w:rFonts w:ascii="Times New Roman" w:hAnsi="Times New Roman" w:cs="Times New Roman"/>
          <w:b/>
          <w:sz w:val="24"/>
          <w:szCs w:val="24"/>
        </w:rPr>
        <w:t>regression analysis of enrolled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9C22AD">
        <w:rPr>
          <w:rFonts w:ascii="Times New Roman" w:hAnsi="Times New Roman" w:cs="Times New Roman"/>
          <w:b/>
          <w:sz w:val="24"/>
          <w:szCs w:val="24"/>
        </w:rPr>
        <w:t>patients</w:t>
      </w:r>
      <w:r w:rsidRPr="009C22AD">
        <w:rPr>
          <w:rFonts w:ascii="Times New Roman" w:hAnsi="Times New Roman" w:cs="Times New Roman" w:hint="eastAsia"/>
          <w:b/>
          <w:sz w:val="24"/>
          <w:szCs w:val="24"/>
        </w:rPr>
        <w:t xml:space="preserve"> (n=1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Pr="009C22AD">
        <w:rPr>
          <w:rFonts w:ascii="Times New Roman" w:hAnsi="Times New Roman" w:cs="Times New Roman" w:hint="eastAsia"/>
          <w:b/>
          <w:sz w:val="24"/>
          <w:szCs w:val="24"/>
        </w:rPr>
        <w:t>)</w:t>
      </w:r>
    </w:p>
    <w:p w14:paraId="7095472A" w14:textId="77777777" w:rsidR="004D1D62" w:rsidRPr="00877E19" w:rsidRDefault="004D1D62" w:rsidP="004D1D6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6A3">
        <w:rPr>
          <w:rFonts w:ascii="Times New Roman" w:hAnsi="Times New Roman" w:cs="Times New Roman" w:hint="eastAsia"/>
          <w:szCs w:val="24"/>
        </w:rPr>
        <w:t>A</w:t>
      </w:r>
      <w:r w:rsidRPr="004146A3">
        <w:rPr>
          <w:rFonts w:ascii="Times New Roman" w:hAnsi="Times New Roman" w:cs="Times New Roman"/>
          <w:szCs w:val="24"/>
        </w:rPr>
        <w:t>bbreviations</w:t>
      </w:r>
      <w:r w:rsidRPr="004146A3">
        <w:rPr>
          <w:rFonts w:ascii="Times New Roman" w:hAnsi="Times New Roman" w:cs="Times New Roman" w:hint="eastAsia"/>
          <w:szCs w:val="24"/>
        </w:rPr>
        <w:t>: HR:</w:t>
      </w:r>
      <w:r w:rsidRPr="004146A3">
        <w:rPr>
          <w:sz w:val="18"/>
        </w:rPr>
        <w:t xml:space="preserve"> </w:t>
      </w:r>
      <w:r w:rsidRPr="004146A3">
        <w:rPr>
          <w:rFonts w:ascii="Times New Roman" w:hAnsi="Times New Roman" w:cs="Times New Roman"/>
          <w:szCs w:val="24"/>
        </w:rPr>
        <w:t>hazard ratio</w:t>
      </w:r>
      <w:r w:rsidRPr="004146A3">
        <w:rPr>
          <w:rFonts w:ascii="Times New Roman" w:hAnsi="Times New Roman" w:cs="Times New Roman" w:hint="eastAsia"/>
          <w:szCs w:val="24"/>
        </w:rPr>
        <w:t>; CI:</w:t>
      </w:r>
      <w:r w:rsidRPr="004146A3">
        <w:rPr>
          <w:sz w:val="18"/>
        </w:rPr>
        <w:t xml:space="preserve"> </w:t>
      </w:r>
      <w:r w:rsidRPr="004146A3">
        <w:rPr>
          <w:rFonts w:ascii="Times New Roman" w:hAnsi="Times New Roman" w:cs="Times New Roman"/>
          <w:szCs w:val="24"/>
        </w:rPr>
        <w:t>confidence interval</w:t>
      </w:r>
      <w:r>
        <w:rPr>
          <w:rFonts w:ascii="Times New Roman" w:hAnsi="Times New Roman" w:cs="Times New Roman"/>
          <w:szCs w:val="24"/>
        </w:rPr>
        <w:t>.</w:t>
      </w:r>
    </w:p>
    <w:p w14:paraId="3C59F562" w14:textId="1D426CBA" w:rsidR="00E95618" w:rsidRPr="004D1D62" w:rsidRDefault="00E95618" w:rsidP="00E95618">
      <w:pPr>
        <w:rPr>
          <w:rFonts w:ascii="Times New Roman" w:hAnsi="Times New Roman" w:cs="Times New Roman"/>
          <w:sz w:val="28"/>
          <w:szCs w:val="32"/>
        </w:rPr>
      </w:pPr>
    </w:p>
    <w:sectPr w:rsidR="00E95618" w:rsidRPr="004D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6FBE9" w14:textId="77777777" w:rsidR="00A03503" w:rsidRDefault="00A03503" w:rsidP="00856086">
      <w:r>
        <w:separator/>
      </w:r>
    </w:p>
  </w:endnote>
  <w:endnote w:type="continuationSeparator" w:id="0">
    <w:p w14:paraId="215E5BEE" w14:textId="77777777" w:rsidR="00A03503" w:rsidRDefault="00A03503" w:rsidP="0085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EEB9" w14:textId="77777777" w:rsidR="00A03503" w:rsidRDefault="00A03503" w:rsidP="00856086">
      <w:r>
        <w:separator/>
      </w:r>
    </w:p>
  </w:footnote>
  <w:footnote w:type="continuationSeparator" w:id="0">
    <w:p w14:paraId="11CB2CA9" w14:textId="77777777" w:rsidR="00A03503" w:rsidRDefault="00A03503" w:rsidP="00856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00A5A"/>
    <w:multiLevelType w:val="hybridMultilevel"/>
    <w:tmpl w:val="BA70CC18"/>
    <w:lvl w:ilvl="0" w:tplc="BC465984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3670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36"/>
    <w:rsid w:val="000D7430"/>
    <w:rsid w:val="0044678E"/>
    <w:rsid w:val="00451822"/>
    <w:rsid w:val="004D1D62"/>
    <w:rsid w:val="0052771D"/>
    <w:rsid w:val="00614B0E"/>
    <w:rsid w:val="00856086"/>
    <w:rsid w:val="00A03503"/>
    <w:rsid w:val="00CC436C"/>
    <w:rsid w:val="00E95618"/>
    <w:rsid w:val="00F6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B6D7D"/>
  <w15:chartTrackingRefBased/>
  <w15:docId w15:val="{1DFE5536-BEB8-47C1-82ED-A2C6F147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60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6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6086"/>
    <w:rPr>
      <w:sz w:val="18"/>
      <w:szCs w:val="18"/>
    </w:rPr>
  </w:style>
  <w:style w:type="paragraph" w:styleId="a7">
    <w:name w:val="List Paragraph"/>
    <w:basedOn w:val="a"/>
    <w:uiPriority w:val="34"/>
    <w:qFormat/>
    <w:rsid w:val="008560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明亮</dc:creator>
  <cp:keywords/>
  <dc:description/>
  <cp:lastModifiedBy>王 明亮</cp:lastModifiedBy>
  <cp:revision>4</cp:revision>
  <dcterms:created xsi:type="dcterms:W3CDTF">2023-02-14T01:55:00Z</dcterms:created>
  <dcterms:modified xsi:type="dcterms:W3CDTF">2023-02-16T01:14:00Z</dcterms:modified>
</cp:coreProperties>
</file>