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71D534" w14:textId="031898CC" w:rsidR="0050288B" w:rsidRPr="009D0862" w:rsidRDefault="0050288B" w:rsidP="0050288B">
      <w:pPr>
        <w:jc w:val="center"/>
        <w:rPr>
          <w:b/>
          <w:sz w:val="24"/>
        </w:rPr>
      </w:pPr>
      <w:r w:rsidRPr="0062683D">
        <w:rPr>
          <w:b/>
          <w:i/>
          <w:sz w:val="24"/>
        </w:rPr>
        <w:t>Operando</w:t>
      </w:r>
      <w:r>
        <w:rPr>
          <w:b/>
          <w:sz w:val="24"/>
        </w:rPr>
        <w:t xml:space="preserve"> X-Ray imaging of stochastic inter-regime instabilities in laser melting processes: direct evidence of acoustic emission signatures</w:t>
      </w:r>
      <w:r w:rsidR="00F7267F">
        <w:rPr>
          <w:b/>
          <w:sz w:val="24"/>
        </w:rPr>
        <w:t xml:space="preserve"> (Supplementary materials)</w:t>
      </w:r>
    </w:p>
    <w:p w14:paraId="3BF12F30" w14:textId="77777777" w:rsidR="00434ABB" w:rsidRDefault="00434ABB" w:rsidP="00434ABB">
      <w:bookmarkStart w:id="0" w:name="_GoBack"/>
      <w:bookmarkEnd w:id="0"/>
    </w:p>
    <w:p w14:paraId="1B593C6D" w14:textId="77777777" w:rsidR="00434ABB" w:rsidRPr="00434ABB" w:rsidRDefault="00434ABB" w:rsidP="00434ABB"/>
    <w:p w14:paraId="1D3D7DD0" w14:textId="12F35038" w:rsidR="006268A9" w:rsidRPr="006268A9" w:rsidRDefault="009575E6" w:rsidP="006268A9">
      <w:pPr>
        <w:keepNext/>
        <w:keepLines/>
        <w:numPr>
          <w:ilvl w:val="1"/>
          <w:numId w:val="0"/>
        </w:numPr>
        <w:spacing w:before="40" w:after="0"/>
        <w:ind w:left="576" w:hanging="576"/>
        <w:jc w:val="both"/>
        <w:outlineLvl w:val="1"/>
        <w:rPr>
          <w:rFonts w:ascii="Calibri" w:eastAsiaTheme="majorEastAsia" w:hAnsi="Calibri" w:cstheme="majorBidi"/>
          <w:b/>
          <w:color w:val="000000" w:themeColor="text1"/>
          <w:sz w:val="24"/>
          <w:szCs w:val="26"/>
        </w:rPr>
      </w:pPr>
      <w:r>
        <w:rPr>
          <w:rFonts w:ascii="Calibri" w:eastAsiaTheme="majorEastAsia" w:hAnsi="Calibri" w:cstheme="majorBidi"/>
          <w:b/>
          <w:color w:val="000000" w:themeColor="text1"/>
          <w:sz w:val="24"/>
          <w:szCs w:val="26"/>
        </w:rPr>
        <w:t>Supplementary Method 1</w:t>
      </w:r>
    </w:p>
    <w:p w14:paraId="1A130008" w14:textId="2FED4032" w:rsidR="006268A9" w:rsidRDefault="006268A9" w:rsidP="006268A9">
      <w:pPr>
        <w:keepNext/>
        <w:keepLines/>
        <w:numPr>
          <w:ilvl w:val="1"/>
          <w:numId w:val="0"/>
        </w:numPr>
        <w:spacing w:before="40" w:after="0"/>
        <w:ind w:left="576" w:hanging="576"/>
        <w:jc w:val="both"/>
        <w:outlineLvl w:val="1"/>
        <w:rPr>
          <w:rFonts w:ascii="Calibri" w:eastAsiaTheme="majorEastAsia" w:hAnsi="Calibri" w:cstheme="majorBidi"/>
          <w:i/>
          <w:color w:val="000000" w:themeColor="text1"/>
          <w:sz w:val="24"/>
          <w:szCs w:val="26"/>
        </w:rPr>
      </w:pPr>
      <w:r w:rsidRPr="006268A9">
        <w:rPr>
          <w:rFonts w:ascii="Calibri" w:eastAsiaTheme="majorEastAsia" w:hAnsi="Calibri" w:cstheme="majorBidi"/>
          <w:i/>
          <w:color w:val="000000" w:themeColor="text1"/>
          <w:sz w:val="24"/>
          <w:szCs w:val="26"/>
        </w:rPr>
        <w:t xml:space="preserve">Materials </w:t>
      </w:r>
    </w:p>
    <w:p w14:paraId="3BC48486" w14:textId="77777777" w:rsidR="006268A9" w:rsidRPr="006268A9" w:rsidRDefault="006268A9" w:rsidP="006268A9">
      <w:pPr>
        <w:keepNext/>
        <w:keepLines/>
        <w:numPr>
          <w:ilvl w:val="1"/>
          <w:numId w:val="0"/>
        </w:numPr>
        <w:spacing w:before="40" w:after="0"/>
        <w:ind w:left="576" w:hanging="576"/>
        <w:jc w:val="both"/>
        <w:outlineLvl w:val="1"/>
        <w:rPr>
          <w:rFonts w:ascii="Calibri" w:eastAsiaTheme="majorEastAsia" w:hAnsi="Calibri" w:cstheme="majorBidi"/>
          <w:i/>
          <w:color w:val="000000" w:themeColor="text1"/>
          <w:sz w:val="24"/>
          <w:szCs w:val="26"/>
        </w:rPr>
      </w:pPr>
    </w:p>
    <w:p w14:paraId="65F4FC69" w14:textId="254E18A7" w:rsidR="006268A9" w:rsidRDefault="006268A9" w:rsidP="006268A9">
      <w:pPr>
        <w:jc w:val="both"/>
      </w:pPr>
      <w:r>
        <w:t>A</w:t>
      </w:r>
      <w:r w:rsidDel="00F06599">
        <w:t xml:space="preserve"> </w:t>
      </w:r>
      <w:r>
        <w:t xml:space="preserve">gas-atomized 316L stainless steel (1.4404) powder (OC Oerlikon Corporation AG, Switzerland) with the chemical composition listed in </w:t>
      </w:r>
      <w:r>
        <w:fldChar w:fldCharType="begin"/>
      </w:r>
      <w:r>
        <w:instrText xml:space="preserve"> REF _Ref111467568 \h </w:instrText>
      </w:r>
      <w:r>
        <w:fldChar w:fldCharType="separate"/>
      </w:r>
      <w:r w:rsidRPr="009575E6">
        <w:rPr>
          <w:b/>
        </w:rPr>
        <w:t xml:space="preserve">Supplementary Table </w:t>
      </w:r>
      <w:r w:rsidRPr="009575E6">
        <w:rPr>
          <w:b/>
          <w:noProof/>
        </w:rPr>
        <w:t>1</w:t>
      </w:r>
      <w:r>
        <w:fldChar w:fldCharType="end"/>
      </w:r>
      <w:r>
        <w:t xml:space="preserve"> and a particle size distribution in the range of 15 to 45 </w:t>
      </w:r>
      <w:r>
        <w:rPr>
          <w:rFonts w:cstheme="minorHAnsi"/>
        </w:rPr>
        <w:t>µ</w:t>
      </w:r>
      <w:r>
        <w:t xml:space="preserve">m was selected in this study. The morphology of the powder particles was observed as predominantly spherical, with the presence of occasional satellites. </w:t>
      </w:r>
    </w:p>
    <w:p w14:paraId="40149044" w14:textId="77777777" w:rsidR="00090E34" w:rsidRDefault="00090E34" w:rsidP="006268A9">
      <w:pPr>
        <w:jc w:val="both"/>
      </w:pPr>
    </w:p>
    <w:tbl>
      <w:tblPr>
        <w:tblStyle w:val="ListTable2-Accent3"/>
        <w:tblW w:w="0" w:type="auto"/>
        <w:jc w:val="center"/>
        <w:tblLook w:val="04A0" w:firstRow="1" w:lastRow="0" w:firstColumn="1" w:lastColumn="0" w:noHBand="0" w:noVBand="1"/>
      </w:tblPr>
      <w:tblGrid>
        <w:gridCol w:w="1335"/>
        <w:gridCol w:w="1335"/>
        <w:gridCol w:w="1336"/>
        <w:gridCol w:w="1336"/>
        <w:gridCol w:w="1336"/>
        <w:gridCol w:w="1336"/>
        <w:gridCol w:w="1336"/>
      </w:tblGrid>
      <w:tr w:rsidR="00090E34" w14:paraId="0A938C07" w14:textId="77777777" w:rsidTr="00090E3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35" w:type="dxa"/>
          </w:tcPr>
          <w:p w14:paraId="23ED1165" w14:textId="77777777" w:rsidR="00090E34" w:rsidRPr="008F0991" w:rsidRDefault="00090E34" w:rsidP="00DD20CC">
            <w:pPr>
              <w:jc w:val="center"/>
              <w:rPr>
                <w:b w:val="0"/>
              </w:rPr>
            </w:pPr>
            <w:r w:rsidRPr="008F0991">
              <w:rPr>
                <w:b w:val="0"/>
              </w:rPr>
              <w:t>Fe</w:t>
            </w:r>
          </w:p>
        </w:tc>
        <w:tc>
          <w:tcPr>
            <w:tcW w:w="1335" w:type="dxa"/>
          </w:tcPr>
          <w:p w14:paraId="58C1246F" w14:textId="77777777" w:rsidR="00090E34" w:rsidRPr="008F0991" w:rsidRDefault="00090E34" w:rsidP="00DD20CC">
            <w:pPr>
              <w:jc w:val="center"/>
              <w:cnfStyle w:val="100000000000" w:firstRow="1" w:lastRow="0" w:firstColumn="0" w:lastColumn="0" w:oddVBand="0" w:evenVBand="0" w:oddHBand="0" w:evenHBand="0" w:firstRowFirstColumn="0" w:firstRowLastColumn="0" w:lastRowFirstColumn="0" w:lastRowLastColumn="0"/>
              <w:rPr>
                <w:b w:val="0"/>
              </w:rPr>
            </w:pPr>
            <w:r w:rsidRPr="008F0991">
              <w:rPr>
                <w:b w:val="0"/>
              </w:rPr>
              <w:t>Cr</w:t>
            </w:r>
          </w:p>
        </w:tc>
        <w:tc>
          <w:tcPr>
            <w:tcW w:w="1336" w:type="dxa"/>
          </w:tcPr>
          <w:p w14:paraId="049FA0E0" w14:textId="77777777" w:rsidR="00090E34" w:rsidRPr="008F0991" w:rsidRDefault="00090E34" w:rsidP="00DD20CC">
            <w:pPr>
              <w:jc w:val="center"/>
              <w:cnfStyle w:val="100000000000" w:firstRow="1" w:lastRow="0" w:firstColumn="0" w:lastColumn="0" w:oddVBand="0" w:evenVBand="0" w:oddHBand="0" w:evenHBand="0" w:firstRowFirstColumn="0" w:firstRowLastColumn="0" w:lastRowFirstColumn="0" w:lastRowLastColumn="0"/>
              <w:rPr>
                <w:b w:val="0"/>
              </w:rPr>
            </w:pPr>
            <w:r w:rsidRPr="008F0991">
              <w:rPr>
                <w:b w:val="0"/>
              </w:rPr>
              <w:t>Ni</w:t>
            </w:r>
          </w:p>
        </w:tc>
        <w:tc>
          <w:tcPr>
            <w:tcW w:w="1336" w:type="dxa"/>
          </w:tcPr>
          <w:p w14:paraId="7AEB7016" w14:textId="77777777" w:rsidR="00090E34" w:rsidRPr="008F0991" w:rsidRDefault="00090E34" w:rsidP="00DD20CC">
            <w:pPr>
              <w:jc w:val="center"/>
              <w:cnfStyle w:val="100000000000" w:firstRow="1" w:lastRow="0" w:firstColumn="0" w:lastColumn="0" w:oddVBand="0" w:evenVBand="0" w:oddHBand="0" w:evenHBand="0" w:firstRowFirstColumn="0" w:firstRowLastColumn="0" w:lastRowFirstColumn="0" w:lastRowLastColumn="0"/>
              <w:rPr>
                <w:b w:val="0"/>
              </w:rPr>
            </w:pPr>
            <w:r w:rsidRPr="008F0991">
              <w:rPr>
                <w:b w:val="0"/>
              </w:rPr>
              <w:t>Mo</w:t>
            </w:r>
          </w:p>
        </w:tc>
        <w:tc>
          <w:tcPr>
            <w:tcW w:w="1336" w:type="dxa"/>
          </w:tcPr>
          <w:p w14:paraId="3537FD78" w14:textId="77777777" w:rsidR="00090E34" w:rsidRPr="008F0991" w:rsidRDefault="00090E34" w:rsidP="00DD20CC">
            <w:pPr>
              <w:jc w:val="center"/>
              <w:cnfStyle w:val="100000000000" w:firstRow="1" w:lastRow="0" w:firstColumn="0" w:lastColumn="0" w:oddVBand="0" w:evenVBand="0" w:oddHBand="0" w:evenHBand="0" w:firstRowFirstColumn="0" w:firstRowLastColumn="0" w:lastRowFirstColumn="0" w:lastRowLastColumn="0"/>
              <w:rPr>
                <w:b w:val="0"/>
              </w:rPr>
            </w:pPr>
            <w:r w:rsidRPr="008F0991">
              <w:rPr>
                <w:b w:val="0"/>
              </w:rPr>
              <w:t>Si</w:t>
            </w:r>
          </w:p>
        </w:tc>
        <w:tc>
          <w:tcPr>
            <w:tcW w:w="1336" w:type="dxa"/>
          </w:tcPr>
          <w:p w14:paraId="4003B9A3" w14:textId="77777777" w:rsidR="00090E34" w:rsidRPr="008F0991" w:rsidRDefault="00090E34" w:rsidP="00DD20CC">
            <w:pPr>
              <w:jc w:val="center"/>
              <w:cnfStyle w:val="100000000000" w:firstRow="1" w:lastRow="0" w:firstColumn="0" w:lastColumn="0" w:oddVBand="0" w:evenVBand="0" w:oddHBand="0" w:evenHBand="0" w:firstRowFirstColumn="0" w:firstRowLastColumn="0" w:lastRowFirstColumn="0" w:lastRowLastColumn="0"/>
              <w:rPr>
                <w:b w:val="0"/>
              </w:rPr>
            </w:pPr>
            <w:r w:rsidRPr="008F0991">
              <w:rPr>
                <w:b w:val="0"/>
              </w:rPr>
              <w:t>C</w:t>
            </w:r>
          </w:p>
        </w:tc>
        <w:tc>
          <w:tcPr>
            <w:tcW w:w="1336" w:type="dxa"/>
          </w:tcPr>
          <w:p w14:paraId="69F58245" w14:textId="77777777" w:rsidR="00090E34" w:rsidRPr="008F0991" w:rsidRDefault="00090E34" w:rsidP="00DD20CC">
            <w:pPr>
              <w:jc w:val="center"/>
              <w:cnfStyle w:val="100000000000" w:firstRow="1" w:lastRow="0" w:firstColumn="0" w:lastColumn="0" w:oddVBand="0" w:evenVBand="0" w:oddHBand="0" w:evenHBand="0" w:firstRowFirstColumn="0" w:firstRowLastColumn="0" w:lastRowFirstColumn="0" w:lastRowLastColumn="0"/>
              <w:rPr>
                <w:b w:val="0"/>
              </w:rPr>
            </w:pPr>
            <w:r w:rsidRPr="008F0991">
              <w:rPr>
                <w:b w:val="0"/>
              </w:rPr>
              <w:t>Other</w:t>
            </w:r>
          </w:p>
        </w:tc>
      </w:tr>
      <w:tr w:rsidR="00090E34" w14:paraId="4A0462D7" w14:textId="77777777" w:rsidTr="00090E3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35" w:type="dxa"/>
          </w:tcPr>
          <w:p w14:paraId="596F9ECA" w14:textId="77777777" w:rsidR="00090E34" w:rsidRDefault="00090E34" w:rsidP="00DD20CC">
            <w:pPr>
              <w:jc w:val="center"/>
            </w:pPr>
            <w:r>
              <w:t>Balance</w:t>
            </w:r>
          </w:p>
        </w:tc>
        <w:tc>
          <w:tcPr>
            <w:tcW w:w="1335" w:type="dxa"/>
          </w:tcPr>
          <w:p w14:paraId="2A2B98B4" w14:textId="77777777" w:rsidR="00090E34" w:rsidRDefault="00090E34" w:rsidP="00DD20CC">
            <w:pPr>
              <w:jc w:val="center"/>
              <w:cnfStyle w:val="000000100000" w:firstRow="0" w:lastRow="0" w:firstColumn="0" w:lastColumn="0" w:oddVBand="0" w:evenVBand="0" w:oddHBand="1" w:evenHBand="0" w:firstRowFirstColumn="0" w:firstRowLastColumn="0" w:lastRowFirstColumn="0" w:lastRowLastColumn="0"/>
            </w:pPr>
            <w:r>
              <w:t>17</w:t>
            </w:r>
          </w:p>
        </w:tc>
        <w:tc>
          <w:tcPr>
            <w:tcW w:w="1336" w:type="dxa"/>
          </w:tcPr>
          <w:p w14:paraId="658E0BC1" w14:textId="77777777" w:rsidR="00090E34" w:rsidRDefault="00090E34" w:rsidP="00DD20CC">
            <w:pPr>
              <w:jc w:val="center"/>
              <w:cnfStyle w:val="000000100000" w:firstRow="0" w:lastRow="0" w:firstColumn="0" w:lastColumn="0" w:oddVBand="0" w:evenVBand="0" w:oddHBand="1" w:evenHBand="0" w:firstRowFirstColumn="0" w:firstRowLastColumn="0" w:lastRowFirstColumn="0" w:lastRowLastColumn="0"/>
            </w:pPr>
            <w:r>
              <w:t>12</w:t>
            </w:r>
          </w:p>
        </w:tc>
        <w:tc>
          <w:tcPr>
            <w:tcW w:w="1336" w:type="dxa"/>
          </w:tcPr>
          <w:p w14:paraId="1565C734" w14:textId="77777777" w:rsidR="00090E34" w:rsidRDefault="00090E34" w:rsidP="00DD20CC">
            <w:pPr>
              <w:jc w:val="center"/>
              <w:cnfStyle w:val="000000100000" w:firstRow="0" w:lastRow="0" w:firstColumn="0" w:lastColumn="0" w:oddVBand="0" w:evenVBand="0" w:oddHBand="1" w:evenHBand="0" w:firstRowFirstColumn="0" w:firstRowLastColumn="0" w:lastRowFirstColumn="0" w:lastRowLastColumn="0"/>
            </w:pPr>
            <w:r>
              <w:t>2.5</w:t>
            </w:r>
          </w:p>
        </w:tc>
        <w:tc>
          <w:tcPr>
            <w:tcW w:w="1336" w:type="dxa"/>
          </w:tcPr>
          <w:p w14:paraId="7C97D26E" w14:textId="77777777" w:rsidR="00090E34" w:rsidRDefault="00090E34" w:rsidP="00DD20CC">
            <w:pPr>
              <w:jc w:val="center"/>
              <w:cnfStyle w:val="000000100000" w:firstRow="0" w:lastRow="0" w:firstColumn="0" w:lastColumn="0" w:oddVBand="0" w:evenVBand="0" w:oddHBand="1" w:evenHBand="0" w:firstRowFirstColumn="0" w:firstRowLastColumn="0" w:lastRowFirstColumn="0" w:lastRowLastColumn="0"/>
            </w:pPr>
            <w:r>
              <w:t>2.3</w:t>
            </w:r>
          </w:p>
        </w:tc>
        <w:tc>
          <w:tcPr>
            <w:tcW w:w="1336" w:type="dxa"/>
          </w:tcPr>
          <w:p w14:paraId="6770BD2B" w14:textId="77777777" w:rsidR="00090E34" w:rsidRDefault="00090E34" w:rsidP="00DD20CC">
            <w:pPr>
              <w:jc w:val="center"/>
              <w:cnfStyle w:val="000000100000" w:firstRow="0" w:lastRow="0" w:firstColumn="0" w:lastColumn="0" w:oddVBand="0" w:evenVBand="0" w:oddHBand="1" w:evenHBand="0" w:firstRowFirstColumn="0" w:firstRowLastColumn="0" w:lastRowFirstColumn="0" w:lastRowLastColumn="0"/>
            </w:pPr>
            <w:r>
              <w:t>0.03</w:t>
            </w:r>
          </w:p>
        </w:tc>
        <w:tc>
          <w:tcPr>
            <w:tcW w:w="1336" w:type="dxa"/>
          </w:tcPr>
          <w:p w14:paraId="6B161A85" w14:textId="77777777" w:rsidR="00090E34" w:rsidRDefault="00090E34" w:rsidP="00DD20CC">
            <w:pPr>
              <w:keepNext/>
              <w:jc w:val="center"/>
              <w:cnfStyle w:val="000000100000" w:firstRow="0" w:lastRow="0" w:firstColumn="0" w:lastColumn="0" w:oddVBand="0" w:evenVBand="0" w:oddHBand="1" w:evenHBand="0" w:firstRowFirstColumn="0" w:firstRowLastColumn="0" w:lastRowFirstColumn="0" w:lastRowLastColumn="0"/>
            </w:pPr>
            <w:r>
              <w:rPr>
                <w:rFonts w:cstheme="minorHAnsi"/>
              </w:rPr>
              <w:t>≤</w:t>
            </w:r>
            <w:r>
              <w:t xml:space="preserve"> 0.5</w:t>
            </w:r>
          </w:p>
        </w:tc>
      </w:tr>
    </w:tbl>
    <w:p w14:paraId="2550BC22" w14:textId="77777777" w:rsidR="00090E34" w:rsidRPr="00C843A2" w:rsidRDefault="00090E34" w:rsidP="001167F1">
      <w:pPr>
        <w:pStyle w:val="Caption"/>
        <w:jc w:val="both"/>
      </w:pPr>
      <w:bookmarkStart w:id="1" w:name="_Ref111467568"/>
      <w:r w:rsidRPr="009575E6">
        <w:rPr>
          <w:b/>
        </w:rPr>
        <w:t xml:space="preserve">Supplementary Table </w:t>
      </w:r>
      <w:r w:rsidRPr="009575E6">
        <w:rPr>
          <w:b/>
        </w:rPr>
        <w:fldChar w:fldCharType="begin"/>
      </w:r>
      <w:r w:rsidRPr="009575E6">
        <w:rPr>
          <w:b/>
        </w:rPr>
        <w:instrText xml:space="preserve"> SEQ Table \* ARABIC </w:instrText>
      </w:r>
      <w:r w:rsidRPr="009575E6">
        <w:rPr>
          <w:b/>
        </w:rPr>
        <w:fldChar w:fldCharType="separate"/>
      </w:r>
      <w:r w:rsidRPr="009575E6">
        <w:rPr>
          <w:b/>
          <w:noProof/>
        </w:rPr>
        <w:t>1</w:t>
      </w:r>
      <w:r w:rsidRPr="009575E6">
        <w:rPr>
          <w:b/>
          <w:noProof/>
        </w:rPr>
        <w:fldChar w:fldCharType="end"/>
      </w:r>
      <w:bookmarkEnd w:id="1"/>
      <w:r>
        <w:t xml:space="preserve"> – Nominal chemical composition of the 316L stainless steel powder feedstock (</w:t>
      </w:r>
      <w:proofErr w:type="spellStart"/>
      <w:r>
        <w:t>wt</w:t>
      </w:r>
      <w:proofErr w:type="spellEnd"/>
      <w:r>
        <w:t>%).</w:t>
      </w:r>
    </w:p>
    <w:p w14:paraId="6244F272" w14:textId="72D5C5B1" w:rsidR="00F3748C" w:rsidRDefault="00F3748C">
      <w:r>
        <w:br w:type="page"/>
      </w:r>
    </w:p>
    <w:p w14:paraId="0444D864" w14:textId="6F0FDD92" w:rsidR="006268A9" w:rsidRPr="006268A9" w:rsidRDefault="006268A9" w:rsidP="006268A9">
      <w:pPr>
        <w:keepNext/>
        <w:keepLines/>
        <w:numPr>
          <w:ilvl w:val="1"/>
          <w:numId w:val="0"/>
        </w:numPr>
        <w:spacing w:before="40" w:after="0"/>
        <w:ind w:left="576" w:hanging="576"/>
        <w:jc w:val="both"/>
        <w:outlineLvl w:val="1"/>
        <w:rPr>
          <w:rFonts w:ascii="Calibri" w:eastAsiaTheme="majorEastAsia" w:hAnsi="Calibri" w:cstheme="majorBidi"/>
          <w:b/>
          <w:color w:val="000000" w:themeColor="text1"/>
          <w:sz w:val="24"/>
          <w:szCs w:val="26"/>
        </w:rPr>
      </w:pPr>
      <w:r>
        <w:rPr>
          <w:rFonts w:ascii="Calibri" w:eastAsiaTheme="majorEastAsia" w:hAnsi="Calibri" w:cstheme="majorBidi"/>
          <w:b/>
          <w:color w:val="000000" w:themeColor="text1"/>
          <w:sz w:val="24"/>
          <w:szCs w:val="26"/>
        </w:rPr>
        <w:lastRenderedPageBreak/>
        <w:t>Supplementary Method 2</w:t>
      </w:r>
    </w:p>
    <w:p w14:paraId="64408C48" w14:textId="6F68A98D" w:rsidR="009575E6" w:rsidRDefault="009575E6" w:rsidP="009575E6">
      <w:pPr>
        <w:keepNext/>
        <w:keepLines/>
        <w:numPr>
          <w:ilvl w:val="1"/>
          <w:numId w:val="0"/>
        </w:numPr>
        <w:spacing w:before="40" w:after="0"/>
        <w:ind w:left="576" w:hanging="576"/>
        <w:jc w:val="both"/>
        <w:outlineLvl w:val="1"/>
        <w:rPr>
          <w:rFonts w:ascii="Calibri" w:eastAsiaTheme="majorEastAsia" w:hAnsi="Calibri" w:cstheme="majorBidi"/>
          <w:i/>
          <w:color w:val="000000" w:themeColor="text1"/>
          <w:sz w:val="24"/>
          <w:szCs w:val="26"/>
        </w:rPr>
      </w:pPr>
      <w:r w:rsidRPr="009575E6">
        <w:rPr>
          <w:rFonts w:ascii="Calibri" w:eastAsiaTheme="majorEastAsia" w:hAnsi="Calibri" w:cstheme="majorBidi"/>
          <w:i/>
          <w:color w:val="000000" w:themeColor="text1"/>
          <w:sz w:val="24"/>
          <w:szCs w:val="26"/>
        </w:rPr>
        <w:t xml:space="preserve">LPBF apparatus </w:t>
      </w:r>
    </w:p>
    <w:p w14:paraId="54F3D0F8" w14:textId="77777777" w:rsidR="009575E6" w:rsidRPr="009575E6" w:rsidRDefault="009575E6" w:rsidP="009575E6">
      <w:pPr>
        <w:keepNext/>
        <w:keepLines/>
        <w:numPr>
          <w:ilvl w:val="1"/>
          <w:numId w:val="0"/>
        </w:numPr>
        <w:spacing w:before="40" w:after="0"/>
        <w:ind w:left="576" w:hanging="576"/>
        <w:jc w:val="both"/>
        <w:outlineLvl w:val="1"/>
        <w:rPr>
          <w:rFonts w:ascii="Calibri" w:eastAsiaTheme="majorEastAsia" w:hAnsi="Calibri" w:cstheme="majorBidi"/>
          <w:i/>
          <w:color w:val="000000" w:themeColor="text1"/>
          <w:sz w:val="24"/>
          <w:szCs w:val="26"/>
        </w:rPr>
      </w:pPr>
    </w:p>
    <w:p w14:paraId="1B5287F1" w14:textId="185202FD" w:rsidR="009575E6" w:rsidRPr="009575E6" w:rsidRDefault="009575E6" w:rsidP="009575E6">
      <w:pPr>
        <w:jc w:val="both"/>
      </w:pPr>
      <w:r w:rsidRPr="009575E6">
        <w:t xml:space="preserve">A miniaturized LPBF device designed at the Paul Scherrer Institute (PSI) </w:t>
      </w:r>
      <w:r w:rsidRPr="009575E6">
        <w:fldChar w:fldCharType="begin" w:fldLock="1"/>
      </w:r>
      <w:r w:rsidR="0060123E">
        <w:instrText>ADDIN CSL_CITATION {"citationItems":[{"id":"ITEM-1","itemData":{"DOI":"10.1016/J.MATTOD.2019.10.001","ISSN":"1369-7021","abstract":"Laser based additive manufacturing allows to build a designed shape layer-by-layer, offering versatility and flexibility to many metallurgical sectors. The fast cooling rates and repeated heat cycles depending on the laser and scanning parameters are not easily measurable with conventional methods. Thus, advanced predictive computational simulations, required to reduce trial and error lead time, are difficult to validate. A newly developed in operando X-ray diffraction device implemented at a synchrotron beamline, taking advantage of the high brilliance and the fast detectors available, brings the missing link with numerical methods. By performing operando experiments on Ti-6Al-4V with different printing parameters, the temporal evolution of the low and high temperature phases are followed, the heating and cooling rates are measured for the powder and the solid material; and the formation of residual stresses in the β phase is demonstrated. Moreover it is shown that the parameter that has the largest influence on the evolving microstructure is the scanning strategy, introducing a size effect related to the scanning length.","author":[{"dropping-particle":"","family":"Hocine","given":"Samy","non-dropping-particle":"","parse-names":false,"suffix":""},{"dropping-particle":"","family":"Swygenhoven","given":"Helena","non-dropping-particle":"Van","parse-names":false,"suffix":""},{"dropping-particle":"","family":"Petegem","given":"Steven","non-dropping-particle":"Van","parse-names":false,"suffix":""},{"dropping-particle":"","family":"Chang","given":"Cynthia Sin Ting","non-dropping-particle":"","parse-names":false,"suffix":""},{"dropping-particle":"","family":"Maimaitiyili","given":"Tuerdi","non-dropping-particle":"","parse-names":false,"suffix":""},{"dropping-particle":"","family":"Tinti","given":"Gemma","non-dropping-particle":"","parse-names":false,"suffix":""},{"dropping-particle":"","family":"Ferreira Sanchez","given":"Dario","non-dropping-particle":"","parse-names":false,"suffix":""},{"dropping-particle":"","family":"Grolimund","given":"Daniel","non-dropping-particle":"","parse-names":false,"suffix":""},{"dropping-particle":"","family":"Casati","given":"Nicola","non-dropping-particle":"","parse-names":false,"suffix":""}],"container-title":"Materials Today","id":"ITEM-1","issued":{"date-parts":[["2020","4","1"]]},"page":"30-40","publisher":"Elsevier","title":"Operando X-ray diffraction during laser 3D printing","type":"article-journal","volume":"34"},"uris":["http://www.mendeley.com/documents/?uuid=650092bf-33aa-3b38-866c-18f5849f02f7"]}],"mendeley":{"formattedCitation":"&lt;sup&gt;1&lt;/sup&gt;","plainTextFormattedCitation":"1","previouslyFormattedCitation":"&lt;sup&gt;1&lt;/sup&gt;"},"properties":{"noteIndex":0},"schema":"https://github.com/citation-style-language/schema/raw/master/csl-citation.json"}</w:instrText>
      </w:r>
      <w:r w:rsidRPr="009575E6">
        <w:fldChar w:fldCharType="separate"/>
      </w:r>
      <w:r w:rsidR="003B5BB9" w:rsidRPr="003B5BB9">
        <w:rPr>
          <w:noProof/>
          <w:vertAlign w:val="superscript"/>
        </w:rPr>
        <w:t>1</w:t>
      </w:r>
      <w:r w:rsidRPr="009575E6">
        <w:fldChar w:fldCharType="end"/>
      </w:r>
      <w:r w:rsidRPr="009575E6">
        <w:t xml:space="preserve"> was chosen for this study. This setup mimics the commercial LPBF process and can be incorporated into synchrotron beamlines for </w:t>
      </w:r>
      <w:r w:rsidRPr="009575E6">
        <w:rPr>
          <w:i/>
        </w:rPr>
        <w:t>in-situ</w:t>
      </w:r>
      <w:r w:rsidRPr="009575E6">
        <w:t xml:space="preserve"> X-ray measurements simultaneously. Its </w:t>
      </w:r>
      <w:bookmarkStart w:id="2" w:name="_Int_WwAZXHri"/>
      <w:r w:rsidRPr="009575E6">
        <w:t>relatively small</w:t>
      </w:r>
      <w:bookmarkEnd w:id="2"/>
      <w:r w:rsidRPr="009575E6">
        <w:t xml:space="preserve"> dimensions (height: 520 mm, </w:t>
      </w:r>
      <w:bookmarkStart w:id="3" w:name="_Int_NTl1FCd4"/>
      <w:r w:rsidRPr="009575E6">
        <w:t>width</w:t>
      </w:r>
      <w:bookmarkEnd w:id="3"/>
      <w:r w:rsidRPr="009575E6">
        <w:t xml:space="preserve"> and depth: 280 mm and 260 mm, respectively) and lightweight (25 kg) make it easily transportable to synchrotron beamlines, while the presence of two glassy carbon windows allows the X-ray beam to access the powder bed from the rear window and the transmitted X-ray beam to reach the detector placed outside of the chamber through the front window. </w:t>
      </w:r>
      <w:r>
        <w:fldChar w:fldCharType="begin"/>
      </w:r>
      <w:r>
        <w:instrText xml:space="preserve"> REF _Ref121589621 \h </w:instrText>
      </w:r>
      <w:r>
        <w:fldChar w:fldCharType="separate"/>
      </w:r>
      <w:r w:rsidRPr="00C164BA">
        <w:rPr>
          <w:b/>
        </w:rPr>
        <w:t xml:space="preserve">Supplementary Figure </w:t>
      </w:r>
      <w:r w:rsidRPr="00C164BA">
        <w:rPr>
          <w:b/>
          <w:noProof/>
        </w:rPr>
        <w:t>1</w:t>
      </w:r>
      <w:r>
        <w:fldChar w:fldCharType="end"/>
      </w:r>
      <w:r w:rsidRPr="009575E6">
        <w:t xml:space="preserve"> displays the main components of the mini-LPBF device. Its printing chamber contains a 12 x 12 mm</w:t>
      </w:r>
      <w:r w:rsidRPr="009575E6">
        <w:rPr>
          <w:vertAlign w:val="superscript"/>
        </w:rPr>
        <w:t>2</w:t>
      </w:r>
      <w:r w:rsidRPr="009575E6">
        <w:t xml:space="preserve"> build plate and a hopper-based recoating system equipped with several doctor blades. Prior to each recoating, the build plate is moved down by a distance corresponding to the layer thickness. The powder is then delivered by gravity through the hopper, with the excessive powder scrapped away via the doctor blades. During and before the operation, the chamber is flushed with high-purity Argon gas (99.996%) from several inlets, including a small cavity designed in the recoating system, ensuring the removal of by-products from the laser-material interaction zone. The oxygen level is monitored continuously to ensure its stability below 2000 ppm. A more detailed description of the device can be found in </w:t>
      </w:r>
      <w:r w:rsidRPr="009575E6">
        <w:fldChar w:fldCharType="begin" w:fldLock="1"/>
      </w:r>
      <w:r w:rsidR="0060123E">
        <w:instrText>ADDIN CSL_CITATION {"citationItems":[{"id":"ITEM-1","itemData":{"DOI":"10.1016/J.MATTOD.2019.10.001","ISSN":"1369-7021","abstract":"Laser based additive manufacturing allows to build a designed shape layer-by-layer, offering versatility and flexibility to many metallurgical sectors. The fast cooling rates and repeated heat cycles depending on the laser and scanning parameters are not easily measurable with conventional methods. Thus, advanced predictive computational simulations, required to reduce trial and error lead time, are difficult to validate. A newly developed in operando X-ray diffraction device implemented at a synchrotron beamline, taking advantage of the high brilliance and the fast detectors available, brings the missing link with numerical methods. By performing operando experiments on Ti-6Al-4V with different printing parameters, the temporal evolution of the low and high temperature phases are followed, the heating and cooling rates are measured for the powder and the solid material; and the formation of residual stresses in the β phase is demonstrated. Moreover it is shown that the parameter that has the largest influence on the evolving microstructure is the scanning strategy, introducing a size effect related to the scanning length.","author":[{"dropping-particle":"","family":"Hocine","given":"Samy","non-dropping-particle":"","parse-names":false,"suffix":""},{"dropping-particle":"","family":"Swygenhoven","given":"Helena","non-dropping-particle":"Van","parse-names":false,"suffix":""},{"dropping-particle":"","family":"Petegem","given":"Steven","non-dropping-particle":"Van","parse-names":false,"suffix":""},{"dropping-particle":"","family":"Chang","given":"Cynthia Sin Ting","non-dropping-particle":"","parse-names":false,"suffix":""},{"dropping-particle":"","family":"Maimaitiyili","given":"Tuerdi","non-dropping-particle":"","parse-names":false,"suffix":""},{"dropping-particle":"","family":"Tinti","given":"Gemma","non-dropping-particle":"","parse-names":false,"suffix":""},{"dropping-particle":"","family":"Ferreira Sanchez","given":"Dario","non-dropping-particle":"","parse-names":false,"suffix":""},{"dropping-particle":"","family":"Grolimund","given":"Daniel","non-dropping-particle":"","parse-names":false,"suffix":""},{"dropping-particle":"","family":"Casati","given":"Nicola","non-dropping-particle":"","parse-names":false,"suffix":""}],"container-title":"Materials Today","id":"ITEM-1","issued":{"date-parts":[["2020","4","1"]]},"page":"30-40","publisher":"Elsevier","title":"Operando X-ray diffraction during laser 3D printing","type":"article-journal","volume":"34"},"uris":["http://www.mendeley.com/documents/?uuid=650092bf-33aa-3b38-866c-18f5849f02f7"]},{"id":"ITEM-2","itemData":{"DOI":"10.1016/j.addma.2020.101194","abstract":"We report on the development of a miniaturized device for operando X-ray diffraction during laser 3D printing. The printing chamber has a size of only 130 × 135 × 34 mm 3 and is optimized to be installed at synchrotron beamlines. We describe the design considerations, details on the setup and the implementation at two different beamlines of the Swiss Light Source. Its capabilities are demonstrated by ex situ printing of complex shapes and operando X-ray diffraction experiments using Ti-6Al-4V powder. It is shown that the beamline characteristics have an important influence on the X-ray footprints of the microstructural evolution during 3D printing. From the intensity of the diffraction peaks, the evolution of the different phases can be followed during printing. Furthermore, the diffuse scattering signal provides information on the precise location of the laser beam on the sample and the scanning head settling time.","author":[{"dropping-particle":"","family":"Hocine","given":"Samy","non-dropping-particle":"","parse-names":false,"suffix":""},{"dropping-particle":"","family":"Petegem","given":"Steven","non-dropping-particle":"Van","parse-names":false,"suffix":""},{"dropping-particle":"","family":"Frommherz","given":"Ulrich","non-dropping-particle":"","parse-names":false,"suffix":""},{"dropping-particle":"","family":"Tinti","given":"Gemma","non-dropping-particle":"","parse-names":false,"suffix":""},{"dropping-particle":"","family":"Casati","given":"Nicola","non-dropping-particle":"","parse-names":false,"suffix":""},{"dropping-particle":"","family":"Grolimund","given":"Daniel","non-dropping-particle":"","parse-names":false,"suffix":""},{"dropping-particle":"","family":"Swygenhoven","given":"Helena","non-dropping-particle":"Van","parse-names":false,"suffix":""}],"id":"ITEM-2","issued":{"date-parts":[["2020"]]},"title":"A miniaturized selective laser melting device for operando X-ray diffraction studies","type":"article-journal"},"uris":["http://www.mendeley.com/documents/?uuid=2d3de07e-f79e-32e8-b920-05b2dbe3bcde"]}],"mendeley":{"formattedCitation":"&lt;sup&gt;1,2&lt;/sup&gt;","plainTextFormattedCitation":"1,2","previouslyFormattedCitation":"&lt;sup&gt;1,2&lt;/sup&gt;"},"properties":{"noteIndex":0},"schema":"https://github.com/citation-style-language/schema/raw/master/csl-citation.json"}</w:instrText>
      </w:r>
      <w:r w:rsidRPr="009575E6">
        <w:fldChar w:fldCharType="separate"/>
      </w:r>
      <w:r w:rsidR="003B5BB9" w:rsidRPr="003B5BB9">
        <w:rPr>
          <w:noProof/>
          <w:vertAlign w:val="superscript"/>
        </w:rPr>
        <w:t>1,2</w:t>
      </w:r>
      <w:r w:rsidRPr="009575E6">
        <w:fldChar w:fldCharType="end"/>
      </w:r>
      <w:r w:rsidRPr="009575E6">
        <w:t xml:space="preserve">. </w:t>
      </w:r>
    </w:p>
    <w:p w14:paraId="4835DD9A" w14:textId="1D495524" w:rsidR="009575E6" w:rsidRPr="009575E6" w:rsidRDefault="009575E6" w:rsidP="009575E6">
      <w:pPr>
        <w:jc w:val="both"/>
        <w:rPr>
          <w:rFonts w:eastAsiaTheme="minorEastAsia" w:cstheme="minorHAnsi"/>
        </w:rPr>
      </w:pPr>
      <w:r w:rsidRPr="009575E6">
        <w:t>A dual-mode fiber laser (</w:t>
      </w:r>
      <w:proofErr w:type="spellStart"/>
      <w:r w:rsidRPr="009575E6">
        <w:t>redPOWER</w:t>
      </w:r>
      <w:proofErr w:type="spellEnd"/>
      <w:r w:rsidRPr="009575E6">
        <w:t xml:space="preserve">, SPI Lasers Ltd, UK) with a maximum laser power of 500 W operating at a wavelength of 1070 ± 10 nm with a beam quality factor of </w:t>
      </w:r>
      <w:r w:rsidRPr="009575E6">
        <w:rPr>
          <w:i/>
        </w:rPr>
        <w:t>M</w:t>
      </w:r>
      <w:r w:rsidRPr="009575E6">
        <w:rPr>
          <w:i/>
          <w:vertAlign w:val="superscript"/>
        </w:rPr>
        <w:t>2</w:t>
      </w:r>
      <w:r w:rsidRPr="009575E6">
        <w:t xml:space="preserve"> &lt; 1.1 was used. Both laser and the scanning head are piloted via an SP-ICE-3 board and </w:t>
      </w:r>
      <w:proofErr w:type="spellStart"/>
      <w:r w:rsidRPr="009575E6">
        <w:t>WeldMARK</w:t>
      </w:r>
      <w:proofErr w:type="spellEnd"/>
      <w:r w:rsidRPr="009575E6">
        <w:t xml:space="preserve"> software (</w:t>
      </w:r>
      <w:proofErr w:type="spellStart"/>
      <w:r w:rsidRPr="009575E6">
        <w:t>Raylase</w:t>
      </w:r>
      <w:proofErr w:type="spellEnd"/>
      <w:r w:rsidRPr="009575E6">
        <w:t xml:space="preserve"> GmbH, Germany). The laser beam is collimated as a parallel Gaussian beam into a 2-axis deflection-scanning unit (</w:t>
      </w:r>
      <w:proofErr w:type="spellStart"/>
      <w:r w:rsidRPr="009575E6">
        <w:t>SuperScan</w:t>
      </w:r>
      <w:proofErr w:type="spellEnd"/>
      <w:r w:rsidRPr="009575E6">
        <w:t xml:space="preserve"> III, </w:t>
      </w:r>
      <w:proofErr w:type="spellStart"/>
      <w:r w:rsidRPr="009575E6">
        <w:t>Raylase</w:t>
      </w:r>
      <w:proofErr w:type="spellEnd"/>
      <w:r w:rsidRPr="009575E6">
        <w:t xml:space="preserve"> GmbH, Germany) with a</w:t>
      </w:r>
      <w:r w:rsidR="00F7545A">
        <w:t>n</w:t>
      </w:r>
      <w:r w:rsidRPr="009575E6">
        <w:t xml:space="preserve"> </w:t>
      </w:r>
      <w:r w:rsidR="00DD39C9">
        <w:t>8</w:t>
      </w:r>
      <w:r w:rsidR="00DD39C9" w:rsidRPr="009575E6">
        <w:t xml:space="preserve"> </w:t>
      </w:r>
      <w:r w:rsidRPr="009575E6">
        <w:t xml:space="preserve">mm input aperture. Two </w:t>
      </w:r>
      <w:r w:rsidR="00F7545A">
        <w:t>HR-</w:t>
      </w:r>
      <w:r w:rsidR="00DD39C9">
        <w:t xml:space="preserve">coated </w:t>
      </w:r>
      <w:r w:rsidRPr="009575E6">
        <w:t xml:space="preserve">fused silica mirror galvanometers allow scanning </w:t>
      </w:r>
      <w:r w:rsidR="00F7545A">
        <w:t xml:space="preserve">of </w:t>
      </w:r>
      <w:r w:rsidRPr="009575E6">
        <w:t xml:space="preserve">the laser beam over the powder bed. The beam is focused through an </w:t>
      </w:r>
      <w:r w:rsidRPr="009575E6">
        <w:rPr>
          <w:i/>
        </w:rPr>
        <w:t>F</w:t>
      </w:r>
      <w:r w:rsidRPr="009575E6">
        <w:t xml:space="preserve">-Theta lens (Sill Optics, Germany) with a 163 mm focal length resulting in a focused beam with a spot size </w:t>
      </w:r>
      <w:r w:rsidRPr="008A3B29">
        <w:t>of</w:t>
      </w:r>
      <w:r w:rsidRPr="008A3B29">
        <w:rPr>
          <w:rFonts w:cstheme="minorHAnsi"/>
        </w:rPr>
        <w:t xml:space="preserve"> </w:t>
      </w:r>
      <w:r w:rsidR="001D2F1F">
        <w:rPr>
          <w:rFonts w:cstheme="minorHAnsi"/>
        </w:rPr>
        <w:t>27.5</w:t>
      </w:r>
      <w:r w:rsidR="001D2F1F" w:rsidRPr="008A3B29">
        <w:rPr>
          <w:rFonts w:cstheme="minorHAnsi"/>
        </w:rPr>
        <w:t xml:space="preserve"> </w:t>
      </w:r>
      <w:r w:rsidRPr="008A3B29">
        <w:rPr>
          <w:rFonts w:cstheme="minorHAnsi"/>
        </w:rPr>
        <w:t>µm</w:t>
      </w:r>
      <w:r w:rsidR="008A3B29" w:rsidRPr="008A3B29">
        <w:rPr>
          <w:rFonts w:cstheme="minorHAnsi"/>
        </w:rPr>
        <w:t xml:space="preserve"> in </w:t>
      </w:r>
      <w:r w:rsidR="00E316DF" w:rsidRPr="008A3B29">
        <w:rPr>
          <w:rFonts w:cstheme="minorHAnsi"/>
        </w:rPr>
        <w:t>diameter</w:t>
      </w:r>
      <w:r w:rsidRPr="008A3B29">
        <w:rPr>
          <w:rFonts w:cstheme="minorHAnsi"/>
        </w:rPr>
        <w:t xml:space="preserve"> at </w:t>
      </w:r>
      <m:oMath>
        <m:f>
          <m:fPr>
            <m:type m:val="lin"/>
            <m:ctrlPr>
              <w:rPr>
                <w:rFonts w:ascii="Cambria Math" w:hAnsi="Cambria Math" w:cstheme="minorHAnsi"/>
                <w:i/>
              </w:rPr>
            </m:ctrlPr>
          </m:fPr>
          <m:num>
            <m:r>
              <w:rPr>
                <w:rFonts w:ascii="Cambria Math" w:hAnsi="Cambria Math" w:cstheme="minorHAnsi"/>
              </w:rPr>
              <m:t>1</m:t>
            </m:r>
          </m:num>
          <m:den>
            <m:sSup>
              <m:sSupPr>
                <m:ctrlPr>
                  <w:rPr>
                    <w:rFonts w:ascii="Cambria Math" w:hAnsi="Cambria Math" w:cstheme="minorHAnsi"/>
                    <w:i/>
                  </w:rPr>
                </m:ctrlPr>
              </m:sSupPr>
              <m:e>
                <m:r>
                  <w:rPr>
                    <w:rFonts w:ascii="Cambria Math" w:hAnsi="Cambria Math" w:cstheme="minorHAnsi"/>
                  </w:rPr>
                  <m:t>e</m:t>
                </m:r>
              </m:e>
              <m:sup>
                <m:r>
                  <w:rPr>
                    <w:rFonts w:ascii="Cambria Math" w:hAnsi="Cambria Math" w:cstheme="minorHAnsi"/>
                  </w:rPr>
                  <m:t>2</m:t>
                </m:r>
              </m:sup>
            </m:sSup>
          </m:den>
        </m:f>
      </m:oMath>
      <w:r w:rsidR="00DD39C9">
        <w:rPr>
          <w:rFonts w:eastAsiaTheme="minorEastAsia" w:cstheme="minorHAnsi"/>
        </w:rPr>
        <w:t xml:space="preserve"> and a depth of field of about 1 mm</w:t>
      </w:r>
      <w:r w:rsidRPr="008A3B29">
        <w:rPr>
          <w:rFonts w:eastAsiaTheme="minorEastAsia" w:cstheme="minorHAnsi"/>
        </w:rPr>
        <w:t>.</w:t>
      </w:r>
      <w:r w:rsidRPr="009575E6">
        <w:rPr>
          <w:rFonts w:eastAsiaTheme="minorEastAsia" w:cstheme="minorHAnsi"/>
        </w:rPr>
        <w:t xml:space="preserve"> The laser was utilized in pulsed mode with a pulse </w:t>
      </w:r>
      <w:r w:rsidR="00DD39C9">
        <w:rPr>
          <w:rFonts w:eastAsiaTheme="minorEastAsia" w:cstheme="minorHAnsi"/>
        </w:rPr>
        <w:t>repetition rate</w:t>
      </w:r>
      <w:r w:rsidR="00DD39C9" w:rsidRPr="009575E6">
        <w:rPr>
          <w:rFonts w:eastAsiaTheme="minorEastAsia" w:cstheme="minorHAnsi"/>
        </w:rPr>
        <w:t xml:space="preserve"> </w:t>
      </w:r>
      <w:r w:rsidRPr="009575E6">
        <w:rPr>
          <w:rFonts w:eastAsiaTheme="minorEastAsia" w:cstheme="minorHAnsi"/>
        </w:rPr>
        <w:t xml:space="preserve">of 250 kHz and </w:t>
      </w:r>
      <w:r w:rsidR="00F02829">
        <w:rPr>
          <w:rFonts w:eastAsiaTheme="minorEastAsia" w:cstheme="minorHAnsi"/>
        </w:rPr>
        <w:t xml:space="preserve">a nominal </w:t>
      </w:r>
      <w:r w:rsidRPr="009575E6">
        <w:rPr>
          <w:rFonts w:eastAsiaTheme="minorEastAsia" w:cstheme="minorHAnsi"/>
        </w:rPr>
        <w:t xml:space="preserve">laser </w:t>
      </w:r>
      <w:r w:rsidR="008A3B29">
        <w:rPr>
          <w:rFonts w:eastAsiaTheme="minorEastAsia" w:cstheme="minorHAnsi"/>
        </w:rPr>
        <w:t>pulse duration</w:t>
      </w:r>
      <w:r w:rsidRPr="009575E6">
        <w:rPr>
          <w:rFonts w:eastAsiaTheme="minorEastAsia" w:cstheme="minorHAnsi"/>
        </w:rPr>
        <w:t xml:space="preserve"> of 2 µs.</w:t>
      </w:r>
    </w:p>
    <w:p w14:paraId="300FABDA" w14:textId="77777777" w:rsidR="009575E6" w:rsidRDefault="009575E6">
      <w:r>
        <w:rPr>
          <w:b/>
          <w:bCs/>
        </w:rPr>
        <w:br w:type="page"/>
      </w:r>
    </w:p>
    <w:p w14:paraId="0E154FEA" w14:textId="1DAB4C28" w:rsidR="00090E34" w:rsidRPr="006268A9" w:rsidRDefault="00090E34" w:rsidP="00090E34">
      <w:pPr>
        <w:keepNext/>
        <w:keepLines/>
        <w:numPr>
          <w:ilvl w:val="1"/>
          <w:numId w:val="0"/>
        </w:numPr>
        <w:spacing w:before="40" w:after="0"/>
        <w:ind w:left="576" w:hanging="576"/>
        <w:jc w:val="both"/>
        <w:outlineLvl w:val="1"/>
        <w:rPr>
          <w:rFonts w:ascii="Calibri" w:eastAsiaTheme="majorEastAsia" w:hAnsi="Calibri" w:cstheme="majorBidi"/>
          <w:b/>
          <w:color w:val="000000" w:themeColor="text1"/>
          <w:sz w:val="24"/>
          <w:szCs w:val="26"/>
        </w:rPr>
      </w:pPr>
      <w:r>
        <w:rPr>
          <w:rFonts w:ascii="Calibri" w:eastAsiaTheme="majorEastAsia" w:hAnsi="Calibri" w:cstheme="majorBidi"/>
          <w:b/>
          <w:color w:val="000000" w:themeColor="text1"/>
          <w:sz w:val="24"/>
          <w:szCs w:val="26"/>
        </w:rPr>
        <w:lastRenderedPageBreak/>
        <w:t>Supplementary Method 3</w:t>
      </w:r>
    </w:p>
    <w:p w14:paraId="2E50F0C6" w14:textId="74CFBE00" w:rsidR="00090E34" w:rsidRDefault="00090E34" w:rsidP="00090E34">
      <w:pPr>
        <w:keepNext/>
        <w:keepLines/>
        <w:numPr>
          <w:ilvl w:val="1"/>
          <w:numId w:val="0"/>
        </w:numPr>
        <w:spacing w:before="40" w:after="0"/>
        <w:ind w:left="576" w:hanging="576"/>
        <w:jc w:val="both"/>
        <w:outlineLvl w:val="1"/>
        <w:rPr>
          <w:rFonts w:ascii="Calibri" w:eastAsiaTheme="majorEastAsia" w:hAnsi="Calibri" w:cstheme="majorBidi"/>
          <w:i/>
          <w:color w:val="000000" w:themeColor="text1"/>
          <w:sz w:val="24"/>
          <w:szCs w:val="26"/>
        </w:rPr>
      </w:pPr>
      <w:r>
        <w:rPr>
          <w:rFonts w:ascii="Calibri" w:eastAsiaTheme="majorEastAsia" w:hAnsi="Calibri" w:cstheme="majorBidi"/>
          <w:i/>
          <w:color w:val="000000" w:themeColor="text1"/>
          <w:sz w:val="24"/>
          <w:szCs w:val="26"/>
        </w:rPr>
        <w:t>Experiment design</w:t>
      </w:r>
    </w:p>
    <w:p w14:paraId="60B8EDA0" w14:textId="77777777" w:rsidR="00090E34" w:rsidRDefault="00090E34" w:rsidP="00090E34">
      <w:pPr>
        <w:keepNext/>
        <w:keepLines/>
        <w:numPr>
          <w:ilvl w:val="1"/>
          <w:numId w:val="0"/>
        </w:numPr>
        <w:spacing w:before="40" w:after="0"/>
        <w:ind w:left="576" w:hanging="576"/>
        <w:jc w:val="both"/>
        <w:outlineLvl w:val="1"/>
        <w:rPr>
          <w:rFonts w:ascii="Calibri" w:eastAsiaTheme="majorEastAsia" w:hAnsi="Calibri" w:cstheme="majorBidi"/>
          <w:i/>
          <w:color w:val="000000" w:themeColor="text1"/>
          <w:sz w:val="24"/>
          <w:szCs w:val="26"/>
        </w:rPr>
      </w:pPr>
    </w:p>
    <w:p w14:paraId="5A324155" w14:textId="114652F4" w:rsidR="00DA3940" w:rsidRDefault="00314B4B" w:rsidP="00314B4B">
      <w:pPr>
        <w:jc w:val="both"/>
      </w:pPr>
      <w:r>
        <w:t xml:space="preserve">Thin walls were </w:t>
      </w:r>
      <w:r w:rsidR="00DA3940">
        <w:t xml:space="preserve">fabricated </w:t>
      </w:r>
      <w:r>
        <w:t xml:space="preserve">on the center of the substrate </w:t>
      </w:r>
      <w:r w:rsidR="00DA3940">
        <w:t xml:space="preserve">in standard keyhole printing conditions with a Gaussian beam at </w:t>
      </w:r>
      <w:r w:rsidR="00F7545A">
        <w:t xml:space="preserve">the </w:t>
      </w:r>
      <w:r w:rsidR="00DA3940">
        <w:t xml:space="preserve">focal point, focused on top of the powder bed with a measured beam diameter of </w:t>
      </w:r>
      <w:r w:rsidR="0050288B">
        <w:t xml:space="preserve">27.5 </w:t>
      </w:r>
      <w:r w:rsidR="00DA3940">
        <w:rPr>
          <w:rFonts w:cstheme="minorHAnsi"/>
        </w:rPr>
        <w:t>µ</w:t>
      </w:r>
      <w:r w:rsidR="00DA3940">
        <w:t xml:space="preserve">m (see </w:t>
      </w:r>
      <w:r w:rsidR="00DA3940">
        <w:fldChar w:fldCharType="begin"/>
      </w:r>
      <w:r w:rsidR="00DA3940">
        <w:instrText xml:space="preserve"> REF _Ref114338052 \h </w:instrText>
      </w:r>
      <w:r w:rsidR="00DA3940">
        <w:fldChar w:fldCharType="separate"/>
      </w:r>
      <w:r w:rsidR="00DA3940" w:rsidRPr="001167F1">
        <w:rPr>
          <w:b/>
        </w:rPr>
        <w:t xml:space="preserve">Supplementary Figure </w:t>
      </w:r>
      <w:r w:rsidR="00DA3940">
        <w:rPr>
          <w:b/>
          <w:noProof/>
        </w:rPr>
        <w:t>2</w:t>
      </w:r>
      <w:r w:rsidR="00DA3940">
        <w:fldChar w:fldCharType="end"/>
      </w:r>
      <w:r w:rsidR="00DA3940" w:rsidRPr="00C02702">
        <w:rPr>
          <w:b/>
        </w:rPr>
        <w:t>a</w:t>
      </w:r>
      <w:r w:rsidR="00DA3940">
        <w:t>)</w:t>
      </w:r>
      <w:r>
        <w:t>. The laser process parameters of the build are reported in</w:t>
      </w:r>
      <w:r w:rsidR="0060123E">
        <w:t xml:space="preserve"> </w:t>
      </w:r>
      <w:r w:rsidR="0060123E">
        <w:fldChar w:fldCharType="begin"/>
      </w:r>
      <w:r w:rsidR="0060123E">
        <w:instrText xml:space="preserve"> REF _Ref121667996 \h </w:instrText>
      </w:r>
      <w:r w:rsidR="0060123E">
        <w:fldChar w:fldCharType="separate"/>
      </w:r>
      <w:r w:rsidR="0060123E" w:rsidRPr="001167F1">
        <w:rPr>
          <w:b/>
        </w:rPr>
        <w:t xml:space="preserve">Supplementary Table </w:t>
      </w:r>
      <w:r w:rsidR="0060123E" w:rsidRPr="001167F1">
        <w:rPr>
          <w:b/>
          <w:noProof/>
        </w:rPr>
        <w:t>2</w:t>
      </w:r>
      <w:r w:rsidR="00DA3940">
        <w:t>.</w:t>
      </w:r>
      <w:r w:rsidR="0060123E">
        <w:fldChar w:fldCharType="end"/>
      </w:r>
      <w:r>
        <w:t xml:space="preserve"> </w:t>
      </w:r>
      <w:r w:rsidR="00DA3940">
        <w:t xml:space="preserve">After the fabrication of the thin walls, as illustrated in </w:t>
      </w:r>
      <w:r w:rsidR="00DA3940">
        <w:fldChar w:fldCharType="begin"/>
      </w:r>
      <w:r w:rsidR="00DA3940">
        <w:instrText xml:space="preserve"> REF _Ref121589621 \h </w:instrText>
      </w:r>
      <w:r w:rsidR="00DA3940">
        <w:fldChar w:fldCharType="separate"/>
      </w:r>
      <w:r w:rsidR="00DA3940" w:rsidRPr="00C164BA">
        <w:rPr>
          <w:b/>
        </w:rPr>
        <w:t xml:space="preserve">Supplementary Figure </w:t>
      </w:r>
      <w:r w:rsidR="00DA3940">
        <w:rPr>
          <w:b/>
          <w:noProof/>
        </w:rPr>
        <w:t>1</w:t>
      </w:r>
      <w:r w:rsidR="00DA3940">
        <w:fldChar w:fldCharType="end"/>
      </w:r>
      <w:r w:rsidR="00DA3940">
        <w:t xml:space="preserve">, the build plate was moved upwards by the nominal height of the wall, and all the surrounding powders were removed to allow </w:t>
      </w:r>
      <w:r w:rsidR="00DA3940" w:rsidRPr="00354C14">
        <w:rPr>
          <w:i/>
        </w:rPr>
        <w:t>operando</w:t>
      </w:r>
      <w:r w:rsidR="00DA3940">
        <w:t xml:space="preserve"> X-ray imaging through the entire thickness of the wall during laser processing of the top surface. </w:t>
      </w:r>
      <w:r w:rsidR="00DD39C9">
        <w:t xml:space="preserve">Additionally, the top surface was </w:t>
      </w:r>
      <w:r w:rsidR="00F7545A">
        <w:t xml:space="preserve">ground </w:t>
      </w:r>
      <w:r w:rsidR="00DD39C9">
        <w:t>slightly to remove the bulges formed at both ends of the wall as a result of laser acceleration and decel</w:t>
      </w:r>
      <w:r w:rsidR="00F7545A">
        <w:t>e</w:t>
      </w:r>
      <w:r w:rsidR="00DD39C9">
        <w:t xml:space="preserve">ration. </w:t>
      </w:r>
      <w:r>
        <w:t>Afterward</w:t>
      </w:r>
      <w:r w:rsidR="00DA3940">
        <w:t>s</w:t>
      </w:r>
      <w:r>
        <w:t xml:space="preserve">, single-line laser re-melting was carried out on the center line of the top surface of the wall, utilizing different laser process parameters and </w:t>
      </w:r>
      <w:r w:rsidR="00DA3940">
        <w:t>laser defocus values</w:t>
      </w:r>
      <w:r>
        <w:t xml:space="preserve">. </w:t>
      </w:r>
      <w:bookmarkStart w:id="4" w:name="_Int_ooOfM8VT"/>
      <w:r>
        <w:t xml:space="preserve">In particular, </w:t>
      </w:r>
      <w:bookmarkEnd w:id="4"/>
      <w:r w:rsidR="001D2F1F">
        <w:t xml:space="preserve">converging </w:t>
      </w:r>
      <w:r>
        <w:t xml:space="preserve">(favoring keyhole formation) and </w:t>
      </w:r>
      <w:r w:rsidR="001D2F1F">
        <w:t xml:space="preserve">diverging </w:t>
      </w:r>
      <w:r>
        <w:t xml:space="preserve">(stabilizing the conduction regime) defocus </w:t>
      </w:r>
      <w:r>
        <w:fldChar w:fldCharType="begin" w:fldLock="1"/>
      </w:r>
      <w:r w:rsidR="001308BA">
        <w:instrText>ADDIN CSL_CITATION {"citationItems":[{"id":"ITEM-1","itemData":{"DOI":"10.1016/j.addma.2018.08.006","ISSN":"2214-8604","abstract":"Despite its many benefits, Selective Laser Melting's (SLM) relatively low productivity compared to deposition-based additive manufacturing techniques is a major drawback. Increasing the laser beam diameter improves SLM's build rate, but causes loss of precision. The aim of this study is to investigate laser beam focus shift, or “defocus”, using a dynamic focusing unit, in order to increase the laser spot size. When applied to the SLM process, focus shift can be integrated into a “hull-core” strategy. This involves scanning the core with a high productivity parameter set using defocus while enabling return to the focused smaller spot size position for hull scanning. To assess the process stability, single line scans were made from 316L stainless steel powder. The consolidated melt pool morphology was analyzed and correlated with the process parameters comprising laser power, scanning speed and defocus distance. In order to link the melt pool morphology with the heat input, Volumetric Energy Density, Normalized Enthalpy and Rosenthal equation were considered. The suitability of using the Normalized Enthalpy as a design parameter to predict the melt pool depth and Rosenthal equation to predict its width was highlighted. This study shows that within a single laser setup, implementing defocus can lead to a potential productivity increase by 840%, i.e. to 18.8 mm3/s.","author":[{"dropping-particle":"","family":"Metelkova","given":"Jitka","non-dropping-particle":"","parse-names":false,"suffix":""},{"dropping-particle":"","family":"Kinds","given":"Yannis","non-dropping-particle":"","parse-names":false,"suffix":""},{"dropping-particle":"","family":"Kempen","given":"Karolien","non-dropping-particle":"","parse-names":false,"suffix":""},{"dropping-particle":"","family":"Formanoir","given":"Charlotte","non-dropping-particle":"de","parse-names":false,"suffix":""},{"dropping-particle":"","family":"Witvrouw","given":"Ann","non-dropping-particle":"","parse-names":false,"suffix":""},{"dropping-particle":"","family":"Hooreweder","given":"Brecht","non-dropping-particle":"Van","parse-names":false,"suffix":""}],"container-title":"Additive Manufacturing","id":"ITEM-1","issued":{"date-parts":[["2018","3","14"]]},"language":"en","page":"161-169","title":"On the influence of laser defocusing in Selective Laser Melting of 316L","type":"article-journal","volume":"23"},"uris":["http://www.mendeley.com/documents/?uuid=c20087f9-d71f-448a-871f-4884635dd56f"]}],"mendeley":{"formattedCitation":"&lt;sup&gt;3&lt;/sup&gt;","plainTextFormattedCitation":"3","previouslyFormattedCitation":"&lt;sup&gt;3&lt;/sup&gt;"},"properties":{"noteIndex":0},"schema":"https://github.com/citation-style-language/schema/raw/master/csl-citation.json"}</w:instrText>
      </w:r>
      <w:r>
        <w:fldChar w:fldCharType="separate"/>
      </w:r>
      <w:r w:rsidR="0060123E" w:rsidRPr="0060123E">
        <w:rPr>
          <w:noProof/>
          <w:vertAlign w:val="superscript"/>
        </w:rPr>
        <w:t>3</w:t>
      </w:r>
      <w:r>
        <w:fldChar w:fldCharType="end"/>
      </w:r>
      <w:r>
        <w:t xml:space="preserve"> with </w:t>
      </w:r>
      <w:r w:rsidR="00EF152A">
        <w:t>similar</w:t>
      </w:r>
      <w:r>
        <w:t xml:space="preserve"> beam spot size and process parameters were employed to record the acoustic feedback from the laser-material interaction, to guarantee identical associated machine and environmental noises (e.g., noise transmitted from the laser at different powers, scan head mirrors, etc.). </w:t>
      </w:r>
      <w:r w:rsidR="00DA3940">
        <w:t xml:space="preserve">The re-melting passes were repeated several times to improve the statistical significance of the measurements. </w:t>
      </w:r>
      <w:r w:rsidR="007A1329">
        <w:t>T</w:t>
      </w:r>
      <w:r>
        <w:t xml:space="preserve">he motivation behind the choice of wall thickness was twofold. Primarily, it had to be thin enough to provide adequate X-ray transmission, making high-speed X-ray imaging possible. Additionally, the effects of </w:t>
      </w:r>
      <w:r w:rsidR="00EF152A">
        <w:t xml:space="preserve">top and </w:t>
      </w:r>
      <w:r>
        <w:t xml:space="preserve">side surface roughness and geometrical </w:t>
      </w:r>
      <w:r w:rsidR="00EF152A">
        <w:t>in</w:t>
      </w:r>
      <w:r>
        <w:t xml:space="preserve">accuracy become stronger for lower wall thicknesses </w:t>
      </w:r>
      <w:r>
        <w:fldChar w:fldCharType="begin" w:fldLock="1"/>
      </w:r>
      <w:r w:rsidR="001308BA">
        <w:instrText>ADDIN CSL_CITATION {"citationItems":[{"id":"ITEM-1","itemData":{"DOI":"10.1016/j.addma.2018.10.011","ISSN":"22148604","abstract":"Among the most popular additive manufacturing processes for metals, Powder bed fusion technology involves a layer by layer manufacturing approach utilizing a high power source, such as a laser or an electron beam, interacting with the metal powder on selected surfaces. Beam-powder interaction brings up a handful of phenomena affecting the quality of the final part in its volume and surface. In this study, different surface features generated by Selective Laser Melting of an Al-Si7-Mg alloy are investigated and interpreted based on their morphology, microstructure and hardness to improve the general understanding of defect genesis. Ballings, spatter particles and partially melted metal powders are distinguished by their morphology, size and microstructure. It is shown that these differences arise from different cooling rates during their generation. Ballings share the same microstructure with the bulk material both experiencing cooling in conduction mode. Spatters and partially melted powders show coarser microstructure driven by solidification mainly ruled by convection and radiation during their flight in the inert atmosphere of the process chamber.","author":[{"dropping-particle":"","family":"Nasab","given":"Milad Hamidi","non-dropping-particle":"","parse-names":false,"suffix":""},{"dropping-particle":"","family":"Gastaldi","given":"Dario","non-dropping-particle":"","parse-names":false,"suffix":""},{"dropping-particle":"","family":"Lecis","given":"Nora Francesca","non-dropping-particle":"","parse-names":false,"suffix":""},{"dropping-particle":"","family":"Vedani","given":"Maurizio","non-dropping-particle":"","parse-names":false,"suffix":""}],"container-title":"Additive Manufacturing","id":"ITEM-1","issue":"November","issued":{"date-parts":[["2018","12","1"]]},"page":"373-377","publisher":"Elsevier B.V.","title":"On morphological surface features of the parts printed by selective laser melting (SLM)","type":"article-journal","volume":"24"},"uris":["http://www.mendeley.com/documents/?uuid=02a1d6fc-1efa-45f6-b422-d4f1135c29a4"]}],"mendeley":{"formattedCitation":"&lt;sup&gt;4&lt;/sup&gt;","plainTextFormattedCitation":"4","previouslyFormattedCitation":"&lt;sup&gt;4&lt;/sup&gt;"},"properties":{"noteIndex":0},"schema":"https://github.com/citation-style-language/schema/raw/master/csl-citation.json"}</w:instrText>
      </w:r>
      <w:r>
        <w:fldChar w:fldCharType="separate"/>
      </w:r>
      <w:r w:rsidR="0060123E" w:rsidRPr="0060123E">
        <w:rPr>
          <w:noProof/>
          <w:vertAlign w:val="superscript"/>
        </w:rPr>
        <w:t>4</w:t>
      </w:r>
      <w:r>
        <w:fldChar w:fldCharType="end"/>
      </w:r>
      <w:r>
        <w:t xml:space="preserve">, providing non-uniform heat </w:t>
      </w:r>
      <w:r w:rsidR="00EF152A">
        <w:t>dissipation and projected laser energy distribution</w:t>
      </w:r>
      <w:r>
        <w:t xml:space="preserve"> during the re-melting process and leading to eventual changes in the melt pool geometry or even in the melting regime. The laser beam profile at each defocus value was measured using a CCD camera laser beam profiler (FBP-1KF, CINOGY Technologies, Germany) based on a multi-stage high-performance attenuator with a pixel size of 3.45 </w:t>
      </w:r>
      <w:r w:rsidRPr="505017D3">
        <w:t>µ</w:t>
      </w:r>
      <w:r>
        <w:t>m</w:t>
      </w:r>
      <w:r w:rsidRPr="00C26A76">
        <w:rPr>
          <w:vertAlign w:val="superscript"/>
        </w:rPr>
        <w:t>2</w:t>
      </w:r>
      <w:r>
        <w:t xml:space="preserve">. The beam profile was displayed using a beam profiler software (RayCi64 Pro, CINOGY Technologies, Germany). </w:t>
      </w:r>
    </w:p>
    <w:p w14:paraId="70353D7C" w14:textId="6BE09840" w:rsidR="00314B4B" w:rsidRDefault="00EF152A" w:rsidP="00D9360F">
      <w:pPr>
        <w:jc w:val="both"/>
      </w:pPr>
      <w:r>
        <w:t xml:space="preserve">For non-Gaussian </w:t>
      </w:r>
      <w:r w:rsidR="00D9360F">
        <w:t xml:space="preserve">beam profiles, the beam diameter in three axes and the corresponding average value was measured at different intensity levels (20% - 80%) (see </w:t>
      </w:r>
      <w:r w:rsidR="00D9360F">
        <w:fldChar w:fldCharType="begin"/>
      </w:r>
      <w:r w:rsidR="00D9360F">
        <w:instrText xml:space="preserve"> REF _Ref114338052 \h </w:instrText>
      </w:r>
      <w:r w:rsidR="00D9360F">
        <w:fldChar w:fldCharType="separate"/>
      </w:r>
      <w:r w:rsidR="00D9360F" w:rsidRPr="001167F1">
        <w:rPr>
          <w:b/>
        </w:rPr>
        <w:t xml:space="preserve">Supplementary Figure </w:t>
      </w:r>
      <w:r w:rsidR="00D9360F">
        <w:rPr>
          <w:b/>
          <w:noProof/>
        </w:rPr>
        <w:t>2</w:t>
      </w:r>
      <w:r w:rsidR="00D9360F">
        <w:fldChar w:fldCharType="end"/>
      </w:r>
      <w:r w:rsidR="00D9360F" w:rsidRPr="00C02702">
        <w:rPr>
          <w:b/>
        </w:rPr>
        <w:t>b-f</w:t>
      </w:r>
      <w:r w:rsidR="00D9360F">
        <w:t xml:space="preserve">). </w:t>
      </w:r>
      <w:r w:rsidR="00D9360F" w:rsidRPr="00D9360F">
        <w:t>The</w:t>
      </w:r>
      <w:r w:rsidR="00F7545A">
        <w:t xml:space="preserve"> the</w:t>
      </w:r>
      <w:r w:rsidR="00D9360F" w:rsidRPr="00D9360F">
        <w:t>oretical evolution of the laser beam spot size at different defocus values was calculated based on the following equation</w:t>
      </w:r>
      <w:r w:rsidR="00314B4B">
        <w:t xml:space="preserve"> </w:t>
      </w:r>
      <w:r w:rsidR="00314B4B">
        <w:fldChar w:fldCharType="begin"/>
      </w:r>
      <w:r w:rsidR="00314B4B">
        <w:instrText xml:space="preserve"> REF Eq1 \h </w:instrText>
      </w:r>
      <w:r w:rsidR="00314B4B">
        <w:fldChar w:fldCharType="separate"/>
      </w:r>
      <w:r w:rsidR="00314B4B">
        <w:rPr>
          <w:rFonts w:eastAsiaTheme="minorEastAsia"/>
          <w:iCs/>
        </w:rPr>
        <w:t>(Eq.1)</w:t>
      </w:r>
      <w:r w:rsidR="00314B4B">
        <w:fldChar w:fldCharType="end"/>
      </w:r>
      <w:r w:rsidR="00314B4B">
        <w:t>.</w:t>
      </w:r>
    </w:p>
    <w:p w14:paraId="4584A8F8" w14:textId="77777777" w:rsidR="00314B4B" w:rsidRPr="006E0C1E" w:rsidRDefault="00314B4B" w:rsidP="00314B4B">
      <w:pPr>
        <w:jc w:val="center"/>
      </w:pPr>
      <m:oMath>
        <m:r>
          <w:rPr>
            <w:rFonts w:ascii="Cambria Math" w:hAnsi="Cambria Math"/>
          </w:rPr>
          <m:t>ω</m:t>
        </m:r>
        <m:d>
          <m:dPr>
            <m:ctrlPr>
              <w:rPr>
                <w:rFonts w:ascii="Cambria Math" w:hAnsi="Cambria Math"/>
                <w:i/>
                <w:iCs/>
              </w:rPr>
            </m:ctrlPr>
          </m:dPr>
          <m:e>
            <m:r>
              <w:rPr>
                <w:rFonts w:ascii="Cambria Math" w:hAnsi="Cambria Math"/>
              </w:rPr>
              <m:t>z</m:t>
            </m:r>
          </m:e>
        </m:d>
        <m:r>
          <w:rPr>
            <w:rFonts w:ascii="Cambria Math" w:hAnsi="Cambria Math"/>
          </w:rPr>
          <m:t>= </m:t>
        </m:r>
        <m:sSub>
          <m:sSubPr>
            <m:ctrlPr>
              <w:rPr>
                <w:rFonts w:ascii="Cambria Math" w:hAnsi="Cambria Math"/>
                <w:i/>
                <w:iCs/>
              </w:rPr>
            </m:ctrlPr>
          </m:sSubPr>
          <m:e>
            <m:r>
              <w:rPr>
                <w:rFonts w:ascii="Cambria Math" w:hAnsi="Cambria Math"/>
              </w:rPr>
              <m:t>ω</m:t>
            </m:r>
          </m:e>
          <m:sub>
            <m:r>
              <w:rPr>
                <w:rFonts w:ascii="Cambria Math" w:hAnsi="Cambria Math"/>
              </w:rPr>
              <m:t>0</m:t>
            </m:r>
          </m:sub>
        </m:sSub>
        <m:rad>
          <m:radPr>
            <m:degHide m:val="1"/>
            <m:ctrlPr>
              <w:rPr>
                <w:rFonts w:ascii="Cambria Math" w:hAnsi="Cambria Math"/>
                <w:i/>
                <w:iCs/>
              </w:rPr>
            </m:ctrlPr>
          </m:radPr>
          <m:deg/>
          <m:e>
            <m:r>
              <w:rPr>
                <w:rFonts w:ascii="Cambria Math" w:hAnsi="Cambria Math"/>
              </w:rPr>
              <m:t>1+</m:t>
            </m:r>
            <m:sSup>
              <m:sSupPr>
                <m:ctrlPr>
                  <w:rPr>
                    <w:rFonts w:ascii="Cambria Math" w:hAnsi="Cambria Math"/>
                    <w:i/>
                    <w:iCs/>
                  </w:rPr>
                </m:ctrlPr>
              </m:sSupPr>
              <m:e>
                <m:d>
                  <m:dPr>
                    <m:ctrlPr>
                      <w:rPr>
                        <w:rFonts w:ascii="Cambria Math" w:hAnsi="Cambria Math"/>
                        <w:i/>
                        <w:iCs/>
                      </w:rPr>
                    </m:ctrlPr>
                  </m:dPr>
                  <m:e>
                    <m:f>
                      <m:fPr>
                        <m:ctrlPr>
                          <w:rPr>
                            <w:rFonts w:ascii="Cambria Math" w:hAnsi="Cambria Math"/>
                            <w:i/>
                            <w:iCs/>
                          </w:rPr>
                        </m:ctrlPr>
                      </m:fPr>
                      <m:num>
                        <m:r>
                          <w:rPr>
                            <w:rFonts w:ascii="Cambria Math" w:hAnsi="Cambria Math"/>
                            <w:lang w:val="el-GR"/>
                          </w:rPr>
                          <m:t>λ</m:t>
                        </m:r>
                        <m:r>
                          <w:rPr>
                            <w:rFonts w:ascii="Cambria Math" w:hAnsi="Cambria Math"/>
                          </w:rPr>
                          <m:t>(z-</m:t>
                        </m:r>
                        <m:sSub>
                          <m:sSubPr>
                            <m:ctrlPr>
                              <w:rPr>
                                <w:rFonts w:ascii="Cambria Math" w:hAnsi="Cambria Math"/>
                                <w:i/>
                                <w:iCs/>
                              </w:rPr>
                            </m:ctrlPr>
                          </m:sSubPr>
                          <m:e>
                            <m:r>
                              <w:rPr>
                                <w:rFonts w:ascii="Cambria Math" w:hAnsi="Cambria Math"/>
                              </w:rPr>
                              <m:t>z</m:t>
                            </m:r>
                          </m:e>
                          <m:sub>
                            <m:r>
                              <w:rPr>
                                <w:rFonts w:ascii="Cambria Math" w:hAnsi="Cambria Math"/>
                              </w:rPr>
                              <m:t>0</m:t>
                            </m:r>
                          </m:sub>
                        </m:sSub>
                        <m:r>
                          <w:rPr>
                            <w:rFonts w:ascii="Cambria Math" w:hAnsi="Cambria Math"/>
                          </w:rPr>
                          <m:t>)</m:t>
                        </m:r>
                      </m:num>
                      <m:den>
                        <m:r>
                          <w:rPr>
                            <w:rFonts w:ascii="Cambria Math" w:hAnsi="Cambria Math"/>
                          </w:rPr>
                          <m:t>π</m:t>
                        </m:r>
                        <m:sSubSup>
                          <m:sSubSupPr>
                            <m:ctrlPr>
                              <w:rPr>
                                <w:rFonts w:ascii="Cambria Math" w:hAnsi="Cambria Math"/>
                                <w:i/>
                                <w:iCs/>
                              </w:rPr>
                            </m:ctrlPr>
                          </m:sSubSupPr>
                          <m:e>
                            <m:r>
                              <w:rPr>
                                <w:rFonts w:ascii="Cambria Math" w:hAnsi="Cambria Math"/>
                              </w:rPr>
                              <m:t>w</m:t>
                            </m:r>
                          </m:e>
                          <m:sub>
                            <m:r>
                              <w:rPr>
                                <w:rFonts w:ascii="Cambria Math" w:hAnsi="Cambria Math"/>
                              </w:rPr>
                              <m:t>0</m:t>
                            </m:r>
                          </m:sub>
                          <m:sup>
                            <m:r>
                              <w:rPr>
                                <w:rFonts w:ascii="Cambria Math" w:hAnsi="Cambria Math"/>
                              </w:rPr>
                              <m:t>2</m:t>
                            </m:r>
                          </m:sup>
                        </m:sSubSup>
                      </m:den>
                    </m:f>
                  </m:e>
                </m:d>
              </m:e>
              <m:sup>
                <m:r>
                  <w:rPr>
                    <w:rFonts w:ascii="Cambria Math" w:hAnsi="Cambria Math"/>
                  </w:rPr>
                  <m:t>2</m:t>
                </m:r>
              </m:sup>
            </m:sSup>
          </m:e>
        </m:rad>
      </m:oMath>
      <w:r>
        <w:rPr>
          <w:rFonts w:eastAsiaTheme="minorEastAsia"/>
          <w:iCs/>
        </w:rPr>
        <w:t>, (1)</w:t>
      </w:r>
    </w:p>
    <w:p w14:paraId="11596D6B" w14:textId="13D992A9" w:rsidR="00FC79C2" w:rsidRDefault="00314B4B" w:rsidP="00314B4B">
      <w:pPr>
        <w:spacing w:after="0"/>
        <w:jc w:val="both"/>
        <w:rPr>
          <w:rFonts w:eastAsiaTheme="minorEastAsia"/>
          <w:iCs/>
        </w:rPr>
      </w:pPr>
      <w:r w:rsidRPr="00C858AE">
        <w:rPr>
          <w:rFonts w:eastAsiaTheme="minorEastAsia"/>
          <w:iCs/>
        </w:rPr>
        <w:t xml:space="preserve">where </w:t>
      </w:r>
      <w:r w:rsidRPr="00C858AE">
        <w:rPr>
          <w:rFonts w:eastAsiaTheme="minorEastAsia"/>
          <w:i/>
          <w:iCs/>
        </w:rPr>
        <w:t>ω</w:t>
      </w:r>
      <w:r w:rsidRPr="00C858AE">
        <w:rPr>
          <w:rFonts w:eastAsiaTheme="minorEastAsia"/>
          <w:i/>
          <w:iCs/>
          <w:vertAlign w:val="subscript"/>
        </w:rPr>
        <w:t>0</w:t>
      </w:r>
      <w:r w:rsidRPr="00C858AE">
        <w:rPr>
          <w:rFonts w:eastAsiaTheme="minorEastAsia"/>
          <w:i/>
          <w:iCs/>
        </w:rPr>
        <w:t xml:space="preserve"> </w:t>
      </w:r>
      <w:r w:rsidRPr="00C858AE">
        <w:rPr>
          <w:rFonts w:eastAsiaTheme="minorEastAsia"/>
          <w:iCs/>
        </w:rPr>
        <w:t>= 13.75 µm</w:t>
      </w:r>
      <w:r w:rsidRPr="00C858AE">
        <w:rPr>
          <w:rFonts w:eastAsiaTheme="minorEastAsia"/>
          <w:i/>
          <w:iCs/>
        </w:rPr>
        <w:t xml:space="preserve"> </w:t>
      </w:r>
      <w:r w:rsidRPr="00C858AE">
        <w:rPr>
          <w:rFonts w:eastAsiaTheme="minorEastAsia"/>
          <w:iCs/>
        </w:rPr>
        <w:t>is the beam waist (i.e.</w:t>
      </w:r>
      <w:r>
        <w:rPr>
          <w:rFonts w:eastAsiaTheme="minorEastAsia"/>
          <w:iCs/>
        </w:rPr>
        <w:t>,</w:t>
      </w:r>
      <w:r w:rsidRPr="00C858AE">
        <w:rPr>
          <w:rFonts w:eastAsiaTheme="minorEastAsia"/>
          <w:iCs/>
        </w:rPr>
        <w:t xml:space="preserve"> </w:t>
      </w:r>
      <w:r>
        <w:rPr>
          <w:rFonts w:eastAsiaTheme="minorEastAsia"/>
          <w:iCs/>
        </w:rPr>
        <w:t xml:space="preserve">the </w:t>
      </w:r>
      <w:r w:rsidRPr="00C858AE">
        <w:rPr>
          <w:rFonts w:eastAsiaTheme="minorEastAsia"/>
          <w:iCs/>
        </w:rPr>
        <w:t>smallest radius of the Gaussian beam);</w:t>
      </w:r>
      <w:r w:rsidRPr="00C858AE">
        <w:rPr>
          <w:rFonts w:eastAsiaTheme="minorEastAsia"/>
          <w:i/>
          <w:iCs/>
        </w:rPr>
        <w:t xml:space="preserve"> </w:t>
      </w:r>
      <w:r w:rsidRPr="00DC61E2">
        <w:rPr>
          <w:rFonts w:eastAsiaTheme="minorEastAsia"/>
          <w:i/>
          <w:iCs/>
        </w:rPr>
        <w:t>z</w:t>
      </w:r>
      <w:r w:rsidRPr="00C858AE">
        <w:rPr>
          <w:rFonts w:eastAsiaTheme="minorEastAsia"/>
          <w:iCs/>
        </w:rPr>
        <w:t xml:space="preserve"> is the scanner position</w:t>
      </w:r>
      <w:r>
        <w:rPr>
          <w:rFonts w:eastAsiaTheme="minorEastAsia"/>
          <w:iCs/>
        </w:rPr>
        <w:t xml:space="preserve"> [mm]</w:t>
      </w:r>
      <w:r w:rsidRPr="00C858AE">
        <w:rPr>
          <w:rFonts w:eastAsiaTheme="minorEastAsia"/>
          <w:iCs/>
        </w:rPr>
        <w:t>;</w:t>
      </w:r>
      <w:r w:rsidRPr="00C858AE">
        <w:rPr>
          <w:rFonts w:eastAsiaTheme="minorEastAsia"/>
          <w:i/>
          <w:iCs/>
        </w:rPr>
        <w:t xml:space="preserve"> </w:t>
      </w:r>
      <w:r w:rsidRPr="00DC61E2">
        <w:rPr>
          <w:rFonts w:eastAsiaTheme="minorEastAsia"/>
          <w:i/>
          <w:iCs/>
        </w:rPr>
        <w:t>z</w:t>
      </w:r>
      <w:r w:rsidRPr="00DC61E2">
        <w:rPr>
          <w:rFonts w:eastAsiaTheme="minorEastAsia"/>
          <w:i/>
          <w:iCs/>
          <w:vertAlign w:val="subscript"/>
        </w:rPr>
        <w:t>0</w:t>
      </w:r>
      <w:r w:rsidRPr="00C858AE">
        <w:rPr>
          <w:rFonts w:eastAsiaTheme="minorEastAsia"/>
          <w:iCs/>
          <w:vertAlign w:val="subscript"/>
        </w:rPr>
        <w:t xml:space="preserve"> </w:t>
      </w:r>
      <w:r w:rsidRPr="00C858AE">
        <w:rPr>
          <w:rFonts w:eastAsiaTheme="minorEastAsia"/>
          <w:iCs/>
        </w:rPr>
        <w:t xml:space="preserve">= </w:t>
      </w:r>
      <w:r>
        <w:rPr>
          <w:rFonts w:eastAsiaTheme="minorEastAsia"/>
          <w:iCs/>
        </w:rPr>
        <w:t xml:space="preserve">0 </w:t>
      </w:r>
      <w:r w:rsidRPr="00C858AE">
        <w:rPr>
          <w:rFonts w:eastAsiaTheme="minorEastAsia"/>
          <w:iCs/>
        </w:rPr>
        <w:t>mm is the scanner position for the laser beam to be focused on the surface of the build plate;</w:t>
      </w:r>
      <w:r w:rsidRPr="00C858AE">
        <w:rPr>
          <w:rFonts w:eastAsiaTheme="minorEastAsia"/>
          <w:i/>
          <w:iCs/>
        </w:rPr>
        <w:t xml:space="preserve"> λ </w:t>
      </w:r>
      <w:r w:rsidRPr="00C858AE">
        <w:rPr>
          <w:rFonts w:eastAsiaTheme="minorEastAsia"/>
          <w:iCs/>
        </w:rPr>
        <w:t xml:space="preserve">= </w:t>
      </w:r>
      <w:r w:rsidR="005C741D" w:rsidRPr="00C858AE">
        <w:rPr>
          <w:rFonts w:eastAsiaTheme="minorEastAsia"/>
          <w:iCs/>
        </w:rPr>
        <w:t>10</w:t>
      </w:r>
      <w:r w:rsidR="005C741D">
        <w:rPr>
          <w:rFonts w:eastAsiaTheme="minorEastAsia"/>
          <w:iCs/>
        </w:rPr>
        <w:t xml:space="preserve">70 </w:t>
      </w:r>
      <w:r w:rsidR="005C741D">
        <w:rPr>
          <w:rFonts w:cstheme="minorHAnsi"/>
        </w:rPr>
        <w:t xml:space="preserve">± </w:t>
      </w:r>
      <w:r w:rsidR="005C741D">
        <w:t>10 nm</w:t>
      </w:r>
      <w:r w:rsidR="005C741D" w:rsidRPr="00C858AE">
        <w:rPr>
          <w:rFonts w:eastAsiaTheme="minorEastAsia"/>
          <w:iCs/>
        </w:rPr>
        <w:t xml:space="preserve"> </w:t>
      </w:r>
      <w:r w:rsidRPr="00C858AE">
        <w:rPr>
          <w:rFonts w:eastAsiaTheme="minorEastAsia"/>
          <w:iCs/>
        </w:rPr>
        <w:t>is the laser wavelength.</w:t>
      </w:r>
      <w:r>
        <w:rPr>
          <w:rFonts w:eastAsiaTheme="minorEastAsia"/>
          <w:iCs/>
        </w:rPr>
        <w:t xml:space="preserve"> </w:t>
      </w:r>
    </w:p>
    <w:p w14:paraId="1CDC24F4" w14:textId="44826A06" w:rsidR="00434ABB" w:rsidRDefault="00434ABB" w:rsidP="00314B4B">
      <w:pPr>
        <w:spacing w:after="0"/>
        <w:jc w:val="both"/>
        <w:rPr>
          <w:rFonts w:eastAsiaTheme="minorEastAsia"/>
          <w:iCs/>
        </w:rPr>
      </w:pPr>
    </w:p>
    <w:p w14:paraId="5A2A49A9" w14:textId="2358BE4D" w:rsidR="00434ABB" w:rsidRDefault="00434ABB" w:rsidP="00314B4B">
      <w:pPr>
        <w:spacing w:after="0"/>
        <w:jc w:val="both"/>
        <w:rPr>
          <w:rFonts w:eastAsiaTheme="minorEastAsia"/>
          <w:iCs/>
        </w:rPr>
      </w:pPr>
    </w:p>
    <w:p w14:paraId="1E8944A6" w14:textId="131B6262" w:rsidR="00434ABB" w:rsidRDefault="00434ABB" w:rsidP="00314B4B">
      <w:pPr>
        <w:spacing w:after="0"/>
        <w:jc w:val="both"/>
        <w:rPr>
          <w:rFonts w:eastAsiaTheme="minorEastAsia"/>
          <w:iCs/>
        </w:rPr>
      </w:pPr>
    </w:p>
    <w:p w14:paraId="1C9A076B" w14:textId="5C1B6817" w:rsidR="00434ABB" w:rsidRDefault="00434ABB" w:rsidP="00314B4B">
      <w:pPr>
        <w:spacing w:after="0"/>
        <w:jc w:val="both"/>
        <w:rPr>
          <w:rFonts w:eastAsiaTheme="minorEastAsia"/>
          <w:iCs/>
        </w:rPr>
      </w:pPr>
    </w:p>
    <w:p w14:paraId="22751A7E" w14:textId="77777777" w:rsidR="00434ABB" w:rsidRDefault="00434ABB" w:rsidP="00314B4B">
      <w:pPr>
        <w:spacing w:after="0"/>
        <w:jc w:val="both"/>
        <w:rPr>
          <w:rFonts w:eastAsiaTheme="minorEastAsia"/>
          <w:iCs/>
        </w:rPr>
      </w:pPr>
    </w:p>
    <w:p w14:paraId="4861017C" w14:textId="77777777" w:rsidR="00434ABB" w:rsidRPr="003544AF" w:rsidRDefault="00434ABB" w:rsidP="00314B4B">
      <w:pPr>
        <w:spacing w:after="0"/>
        <w:jc w:val="both"/>
        <w:rPr>
          <w:rFonts w:eastAsiaTheme="minorEastAsia"/>
          <w:iCs/>
        </w:rPr>
      </w:pPr>
    </w:p>
    <w:tbl>
      <w:tblPr>
        <w:tblStyle w:val="TableGrid"/>
        <w:tblW w:w="0" w:type="auto"/>
        <w:jc w:val="center"/>
        <w:tblLook w:val="04A0" w:firstRow="1" w:lastRow="0" w:firstColumn="1" w:lastColumn="0" w:noHBand="0" w:noVBand="1"/>
      </w:tblPr>
      <w:tblGrid>
        <w:gridCol w:w="1051"/>
        <w:gridCol w:w="1037"/>
        <w:gridCol w:w="1038"/>
        <w:gridCol w:w="1037"/>
        <w:gridCol w:w="1038"/>
        <w:gridCol w:w="1037"/>
        <w:gridCol w:w="1038"/>
        <w:gridCol w:w="1037"/>
        <w:gridCol w:w="1037"/>
      </w:tblGrid>
      <w:tr w:rsidR="00314B4B" w:rsidRPr="00354C14" w14:paraId="369CE8B4" w14:textId="77777777" w:rsidTr="00DD20CC">
        <w:trPr>
          <w:jc w:val="center"/>
        </w:trPr>
        <w:tc>
          <w:tcPr>
            <w:tcW w:w="1038" w:type="dxa"/>
            <w:vAlign w:val="center"/>
          </w:tcPr>
          <w:p w14:paraId="7AC46327" w14:textId="2EC74E61" w:rsidR="00314B4B" w:rsidRPr="00354C14" w:rsidRDefault="00314B4B" w:rsidP="00DD20CC">
            <w:pPr>
              <w:rPr>
                <w:b/>
                <w:sz w:val="14"/>
                <w:szCs w:val="14"/>
              </w:rPr>
            </w:pPr>
            <w:r w:rsidRPr="00354C14">
              <w:rPr>
                <w:b/>
                <w:sz w:val="14"/>
                <w:szCs w:val="14"/>
              </w:rPr>
              <w:lastRenderedPageBreak/>
              <w:t>Denomination</w:t>
            </w:r>
          </w:p>
        </w:tc>
        <w:tc>
          <w:tcPr>
            <w:tcW w:w="1039" w:type="dxa"/>
            <w:vAlign w:val="center"/>
          </w:tcPr>
          <w:p w14:paraId="5B1CC45B" w14:textId="77777777" w:rsidR="00314B4B" w:rsidRPr="00354C14" w:rsidRDefault="00314B4B" w:rsidP="00DD20CC">
            <w:pPr>
              <w:jc w:val="center"/>
              <w:rPr>
                <w:b/>
                <w:sz w:val="14"/>
                <w:szCs w:val="14"/>
              </w:rPr>
            </w:pPr>
            <w:r w:rsidRPr="00354C14">
              <w:rPr>
                <w:b/>
                <w:sz w:val="14"/>
                <w:szCs w:val="14"/>
              </w:rPr>
              <w:t>Laser power (W)</w:t>
            </w:r>
          </w:p>
        </w:tc>
        <w:tc>
          <w:tcPr>
            <w:tcW w:w="1039" w:type="dxa"/>
            <w:vAlign w:val="center"/>
          </w:tcPr>
          <w:p w14:paraId="79A5B431" w14:textId="77777777" w:rsidR="00314B4B" w:rsidRPr="00354C14" w:rsidRDefault="00314B4B" w:rsidP="00DD20CC">
            <w:pPr>
              <w:jc w:val="center"/>
              <w:rPr>
                <w:b/>
                <w:sz w:val="14"/>
                <w:szCs w:val="14"/>
              </w:rPr>
            </w:pPr>
            <w:r w:rsidRPr="00354C14">
              <w:rPr>
                <w:b/>
                <w:sz w:val="14"/>
                <w:szCs w:val="14"/>
              </w:rPr>
              <w:t>Scanning velocity (mm/s)</w:t>
            </w:r>
          </w:p>
        </w:tc>
        <w:tc>
          <w:tcPr>
            <w:tcW w:w="1039" w:type="dxa"/>
            <w:vAlign w:val="center"/>
          </w:tcPr>
          <w:p w14:paraId="64FEB389" w14:textId="77777777" w:rsidR="00314B4B" w:rsidRPr="00354C14" w:rsidRDefault="00314B4B" w:rsidP="00DD20CC">
            <w:pPr>
              <w:jc w:val="center"/>
              <w:rPr>
                <w:b/>
                <w:sz w:val="14"/>
                <w:szCs w:val="14"/>
              </w:rPr>
            </w:pPr>
            <w:r w:rsidRPr="00354C14">
              <w:rPr>
                <w:b/>
                <w:sz w:val="14"/>
                <w:szCs w:val="14"/>
              </w:rPr>
              <w:t>Hatch distance (</w:t>
            </w:r>
            <w:r w:rsidRPr="00354C14">
              <w:rPr>
                <w:rFonts w:cstheme="minorHAnsi"/>
                <w:b/>
                <w:sz w:val="14"/>
                <w:szCs w:val="14"/>
              </w:rPr>
              <w:t>µ</w:t>
            </w:r>
            <w:r w:rsidRPr="00354C14">
              <w:rPr>
                <w:b/>
                <w:sz w:val="14"/>
                <w:szCs w:val="14"/>
              </w:rPr>
              <w:t>m)</w:t>
            </w:r>
          </w:p>
        </w:tc>
        <w:tc>
          <w:tcPr>
            <w:tcW w:w="1039" w:type="dxa"/>
            <w:vAlign w:val="center"/>
          </w:tcPr>
          <w:p w14:paraId="1A3A72CD" w14:textId="77777777" w:rsidR="00314B4B" w:rsidRPr="00354C14" w:rsidRDefault="00314B4B" w:rsidP="00DD20CC">
            <w:pPr>
              <w:jc w:val="center"/>
              <w:rPr>
                <w:b/>
                <w:sz w:val="14"/>
                <w:szCs w:val="14"/>
              </w:rPr>
            </w:pPr>
            <w:r w:rsidRPr="00354C14">
              <w:rPr>
                <w:b/>
                <w:sz w:val="14"/>
                <w:szCs w:val="14"/>
              </w:rPr>
              <w:t>Layer thickness (</w:t>
            </w:r>
            <w:r w:rsidRPr="00354C14">
              <w:rPr>
                <w:rFonts w:cstheme="minorHAnsi"/>
                <w:b/>
                <w:sz w:val="14"/>
                <w:szCs w:val="14"/>
              </w:rPr>
              <w:t>µ</w:t>
            </w:r>
            <w:r w:rsidRPr="00354C14">
              <w:rPr>
                <w:b/>
                <w:sz w:val="14"/>
                <w:szCs w:val="14"/>
              </w:rPr>
              <w:t>m)</w:t>
            </w:r>
          </w:p>
        </w:tc>
        <w:tc>
          <w:tcPr>
            <w:tcW w:w="1039" w:type="dxa"/>
            <w:vAlign w:val="center"/>
          </w:tcPr>
          <w:p w14:paraId="4F52E8C1" w14:textId="0AF505C1" w:rsidR="00314B4B" w:rsidRPr="00354C14" w:rsidRDefault="00DE41D1" w:rsidP="00DD20CC">
            <w:pPr>
              <w:jc w:val="center"/>
              <w:rPr>
                <w:b/>
                <w:sz w:val="14"/>
                <w:szCs w:val="14"/>
              </w:rPr>
            </w:pPr>
            <w:r>
              <w:rPr>
                <w:b/>
                <w:sz w:val="14"/>
                <w:szCs w:val="14"/>
              </w:rPr>
              <w:t>Defocus distance (mm)</w:t>
            </w:r>
          </w:p>
        </w:tc>
        <w:tc>
          <w:tcPr>
            <w:tcW w:w="1039" w:type="dxa"/>
            <w:vAlign w:val="center"/>
          </w:tcPr>
          <w:p w14:paraId="3AB81C7D" w14:textId="77777777" w:rsidR="00314B4B" w:rsidRPr="00354C14" w:rsidRDefault="00314B4B" w:rsidP="00DD20CC">
            <w:pPr>
              <w:jc w:val="center"/>
              <w:rPr>
                <w:b/>
                <w:sz w:val="14"/>
                <w:szCs w:val="14"/>
              </w:rPr>
            </w:pPr>
            <w:r w:rsidRPr="00354C14">
              <w:rPr>
                <w:b/>
                <w:sz w:val="14"/>
                <w:szCs w:val="14"/>
              </w:rPr>
              <w:t>Laser defocus</w:t>
            </w:r>
            <w:r>
              <w:rPr>
                <w:b/>
                <w:sz w:val="14"/>
                <w:szCs w:val="14"/>
              </w:rPr>
              <w:t xml:space="preserve"> direction</w:t>
            </w:r>
          </w:p>
        </w:tc>
        <w:tc>
          <w:tcPr>
            <w:tcW w:w="1039" w:type="dxa"/>
            <w:vAlign w:val="center"/>
          </w:tcPr>
          <w:p w14:paraId="4429C239" w14:textId="77777777" w:rsidR="00314B4B" w:rsidRPr="00354C14" w:rsidRDefault="00314B4B" w:rsidP="00DD20CC">
            <w:pPr>
              <w:jc w:val="center"/>
              <w:rPr>
                <w:b/>
                <w:sz w:val="14"/>
                <w:szCs w:val="14"/>
              </w:rPr>
            </w:pPr>
            <w:r w:rsidRPr="00354C14">
              <w:rPr>
                <w:b/>
                <w:sz w:val="14"/>
                <w:szCs w:val="14"/>
              </w:rPr>
              <w:t>Number of passes</w:t>
            </w:r>
          </w:p>
        </w:tc>
        <w:tc>
          <w:tcPr>
            <w:tcW w:w="1039" w:type="dxa"/>
            <w:vAlign w:val="center"/>
          </w:tcPr>
          <w:p w14:paraId="110CE43E" w14:textId="77777777" w:rsidR="00314B4B" w:rsidRPr="00354C14" w:rsidRDefault="00314B4B" w:rsidP="00DD20CC">
            <w:pPr>
              <w:jc w:val="center"/>
              <w:rPr>
                <w:b/>
                <w:sz w:val="14"/>
                <w:szCs w:val="14"/>
              </w:rPr>
            </w:pPr>
            <w:r w:rsidRPr="00354C14">
              <w:rPr>
                <w:b/>
                <w:sz w:val="14"/>
                <w:szCs w:val="14"/>
              </w:rPr>
              <w:t>Line Energy (J/m)</w:t>
            </w:r>
          </w:p>
        </w:tc>
      </w:tr>
      <w:tr w:rsidR="00314B4B" w:rsidRPr="00354C14" w14:paraId="3411C5C6" w14:textId="77777777" w:rsidTr="00DD20CC">
        <w:trPr>
          <w:jc w:val="center"/>
        </w:trPr>
        <w:tc>
          <w:tcPr>
            <w:tcW w:w="1038" w:type="dxa"/>
          </w:tcPr>
          <w:p w14:paraId="3C98147D" w14:textId="77777777" w:rsidR="00314B4B" w:rsidRPr="00354C14" w:rsidRDefault="00314B4B" w:rsidP="00DD20CC">
            <w:pPr>
              <w:rPr>
                <w:b/>
                <w:sz w:val="14"/>
                <w:szCs w:val="14"/>
              </w:rPr>
            </w:pPr>
            <w:r w:rsidRPr="00354C14">
              <w:rPr>
                <w:b/>
                <w:sz w:val="14"/>
                <w:szCs w:val="14"/>
              </w:rPr>
              <w:t>Building parameters</w:t>
            </w:r>
          </w:p>
        </w:tc>
        <w:tc>
          <w:tcPr>
            <w:tcW w:w="1039" w:type="dxa"/>
            <w:vAlign w:val="center"/>
          </w:tcPr>
          <w:p w14:paraId="3156C3BF" w14:textId="77777777" w:rsidR="00314B4B" w:rsidRPr="00354C14" w:rsidRDefault="00314B4B" w:rsidP="00DD20CC">
            <w:pPr>
              <w:jc w:val="center"/>
              <w:rPr>
                <w:sz w:val="14"/>
                <w:szCs w:val="14"/>
              </w:rPr>
            </w:pPr>
            <w:r w:rsidRPr="00354C14">
              <w:rPr>
                <w:sz w:val="14"/>
                <w:szCs w:val="14"/>
              </w:rPr>
              <w:t>150</w:t>
            </w:r>
          </w:p>
        </w:tc>
        <w:tc>
          <w:tcPr>
            <w:tcW w:w="1039" w:type="dxa"/>
            <w:vAlign w:val="center"/>
          </w:tcPr>
          <w:p w14:paraId="68A04309" w14:textId="77777777" w:rsidR="00314B4B" w:rsidRPr="00354C14" w:rsidRDefault="00314B4B" w:rsidP="00DD20CC">
            <w:pPr>
              <w:jc w:val="center"/>
              <w:rPr>
                <w:sz w:val="14"/>
                <w:szCs w:val="14"/>
              </w:rPr>
            </w:pPr>
            <w:r w:rsidRPr="00354C14">
              <w:rPr>
                <w:sz w:val="14"/>
                <w:szCs w:val="14"/>
              </w:rPr>
              <w:t>280</w:t>
            </w:r>
          </w:p>
        </w:tc>
        <w:tc>
          <w:tcPr>
            <w:tcW w:w="1039" w:type="dxa"/>
            <w:vAlign w:val="center"/>
          </w:tcPr>
          <w:p w14:paraId="6738A980" w14:textId="77777777" w:rsidR="00314B4B" w:rsidRPr="00354C14" w:rsidRDefault="00314B4B" w:rsidP="00DD20CC">
            <w:pPr>
              <w:jc w:val="center"/>
              <w:rPr>
                <w:sz w:val="14"/>
                <w:szCs w:val="14"/>
              </w:rPr>
            </w:pPr>
            <w:r w:rsidRPr="00354C14">
              <w:rPr>
                <w:sz w:val="14"/>
                <w:szCs w:val="14"/>
              </w:rPr>
              <w:t>40</w:t>
            </w:r>
          </w:p>
        </w:tc>
        <w:tc>
          <w:tcPr>
            <w:tcW w:w="1039" w:type="dxa"/>
            <w:vAlign w:val="center"/>
          </w:tcPr>
          <w:p w14:paraId="03CB8FA9" w14:textId="77777777" w:rsidR="00314B4B" w:rsidRPr="00354C14" w:rsidRDefault="00314B4B" w:rsidP="00DD20CC">
            <w:pPr>
              <w:jc w:val="center"/>
              <w:rPr>
                <w:sz w:val="14"/>
                <w:szCs w:val="14"/>
              </w:rPr>
            </w:pPr>
            <w:r w:rsidRPr="00354C14">
              <w:rPr>
                <w:sz w:val="14"/>
                <w:szCs w:val="14"/>
              </w:rPr>
              <w:t>30</w:t>
            </w:r>
          </w:p>
        </w:tc>
        <w:tc>
          <w:tcPr>
            <w:tcW w:w="1039" w:type="dxa"/>
            <w:vAlign w:val="center"/>
          </w:tcPr>
          <w:p w14:paraId="3352F90C" w14:textId="74EA7FA6" w:rsidR="00314B4B" w:rsidRPr="00354C14" w:rsidRDefault="00DE41D1" w:rsidP="00DD20CC">
            <w:pPr>
              <w:jc w:val="center"/>
              <w:rPr>
                <w:sz w:val="14"/>
                <w:szCs w:val="14"/>
              </w:rPr>
            </w:pPr>
            <w:r>
              <w:rPr>
                <w:sz w:val="14"/>
                <w:szCs w:val="14"/>
              </w:rPr>
              <w:t>0</w:t>
            </w:r>
          </w:p>
        </w:tc>
        <w:tc>
          <w:tcPr>
            <w:tcW w:w="1039" w:type="dxa"/>
            <w:vAlign w:val="center"/>
          </w:tcPr>
          <w:p w14:paraId="1129131C" w14:textId="77777777" w:rsidR="00314B4B" w:rsidRPr="00354C14" w:rsidRDefault="00314B4B" w:rsidP="00DD20CC">
            <w:pPr>
              <w:jc w:val="center"/>
              <w:rPr>
                <w:sz w:val="14"/>
                <w:szCs w:val="14"/>
              </w:rPr>
            </w:pPr>
            <w:r w:rsidRPr="00354C14">
              <w:rPr>
                <w:sz w:val="14"/>
                <w:szCs w:val="14"/>
              </w:rPr>
              <w:t>Focal</w:t>
            </w:r>
            <w:r>
              <w:rPr>
                <w:sz w:val="14"/>
                <w:szCs w:val="14"/>
              </w:rPr>
              <w:t xml:space="preserve"> point</w:t>
            </w:r>
          </w:p>
        </w:tc>
        <w:tc>
          <w:tcPr>
            <w:tcW w:w="1039" w:type="dxa"/>
            <w:vAlign w:val="center"/>
          </w:tcPr>
          <w:p w14:paraId="6FCED32A" w14:textId="77777777" w:rsidR="00314B4B" w:rsidRPr="00354C14" w:rsidRDefault="00314B4B" w:rsidP="00DD20CC">
            <w:pPr>
              <w:jc w:val="center"/>
              <w:rPr>
                <w:sz w:val="14"/>
                <w:szCs w:val="14"/>
              </w:rPr>
            </w:pPr>
            <w:r w:rsidRPr="00354C14">
              <w:rPr>
                <w:sz w:val="14"/>
                <w:szCs w:val="14"/>
              </w:rPr>
              <w:t>n.d.</w:t>
            </w:r>
          </w:p>
        </w:tc>
        <w:tc>
          <w:tcPr>
            <w:tcW w:w="1039" w:type="dxa"/>
            <w:vAlign w:val="center"/>
          </w:tcPr>
          <w:p w14:paraId="6C87E2B9" w14:textId="77777777" w:rsidR="00314B4B" w:rsidRPr="00354C14" w:rsidRDefault="00314B4B" w:rsidP="00DD20CC">
            <w:pPr>
              <w:jc w:val="center"/>
              <w:rPr>
                <w:sz w:val="14"/>
                <w:szCs w:val="14"/>
              </w:rPr>
            </w:pPr>
            <w:r w:rsidRPr="00354C14">
              <w:rPr>
                <w:sz w:val="14"/>
                <w:szCs w:val="14"/>
              </w:rPr>
              <w:t>n.d.</w:t>
            </w:r>
          </w:p>
        </w:tc>
      </w:tr>
      <w:tr w:rsidR="00314B4B" w:rsidRPr="00354C14" w14:paraId="7E523142" w14:textId="77777777" w:rsidTr="00DD20CC">
        <w:trPr>
          <w:jc w:val="center"/>
        </w:trPr>
        <w:tc>
          <w:tcPr>
            <w:tcW w:w="1038" w:type="dxa"/>
          </w:tcPr>
          <w:p w14:paraId="28DD0C6E" w14:textId="77777777" w:rsidR="00314B4B" w:rsidRPr="00354C14" w:rsidRDefault="00314B4B" w:rsidP="00DD20CC">
            <w:pPr>
              <w:rPr>
                <w:b/>
                <w:sz w:val="14"/>
                <w:szCs w:val="14"/>
              </w:rPr>
            </w:pPr>
            <w:r w:rsidRPr="00354C14">
              <w:rPr>
                <w:b/>
                <w:sz w:val="14"/>
                <w:szCs w:val="14"/>
              </w:rPr>
              <w:t>RM1</w:t>
            </w:r>
          </w:p>
        </w:tc>
        <w:tc>
          <w:tcPr>
            <w:tcW w:w="1039" w:type="dxa"/>
            <w:vAlign w:val="center"/>
          </w:tcPr>
          <w:p w14:paraId="4332A716" w14:textId="77777777" w:rsidR="00314B4B" w:rsidRPr="00354C14" w:rsidRDefault="00314B4B" w:rsidP="00DD20CC">
            <w:pPr>
              <w:jc w:val="center"/>
              <w:rPr>
                <w:sz w:val="14"/>
                <w:szCs w:val="14"/>
              </w:rPr>
            </w:pPr>
            <w:r w:rsidRPr="00354C14">
              <w:rPr>
                <w:sz w:val="14"/>
                <w:szCs w:val="14"/>
              </w:rPr>
              <w:t>200</w:t>
            </w:r>
          </w:p>
        </w:tc>
        <w:tc>
          <w:tcPr>
            <w:tcW w:w="1039" w:type="dxa"/>
            <w:vAlign w:val="center"/>
          </w:tcPr>
          <w:p w14:paraId="0940C9A4" w14:textId="77777777" w:rsidR="00314B4B" w:rsidRPr="00354C14" w:rsidRDefault="00314B4B" w:rsidP="00DD20CC">
            <w:pPr>
              <w:jc w:val="center"/>
              <w:rPr>
                <w:sz w:val="14"/>
                <w:szCs w:val="14"/>
              </w:rPr>
            </w:pPr>
            <w:r w:rsidRPr="00354C14">
              <w:rPr>
                <w:sz w:val="14"/>
                <w:szCs w:val="14"/>
              </w:rPr>
              <w:t>40</w:t>
            </w:r>
          </w:p>
        </w:tc>
        <w:tc>
          <w:tcPr>
            <w:tcW w:w="1039" w:type="dxa"/>
            <w:vAlign w:val="center"/>
          </w:tcPr>
          <w:p w14:paraId="15845978" w14:textId="77777777" w:rsidR="00314B4B" w:rsidRPr="00354C14" w:rsidRDefault="00314B4B" w:rsidP="00DD20CC">
            <w:pPr>
              <w:jc w:val="center"/>
              <w:rPr>
                <w:sz w:val="14"/>
                <w:szCs w:val="14"/>
              </w:rPr>
            </w:pPr>
            <w:r w:rsidRPr="00354C14">
              <w:rPr>
                <w:sz w:val="14"/>
                <w:szCs w:val="14"/>
              </w:rPr>
              <w:t>-</w:t>
            </w:r>
          </w:p>
        </w:tc>
        <w:tc>
          <w:tcPr>
            <w:tcW w:w="1039" w:type="dxa"/>
            <w:vAlign w:val="center"/>
          </w:tcPr>
          <w:p w14:paraId="11690F9D" w14:textId="77777777" w:rsidR="00314B4B" w:rsidRPr="00354C14" w:rsidRDefault="00314B4B" w:rsidP="00DD20CC">
            <w:pPr>
              <w:jc w:val="center"/>
              <w:rPr>
                <w:sz w:val="14"/>
                <w:szCs w:val="14"/>
              </w:rPr>
            </w:pPr>
            <w:r w:rsidRPr="00354C14">
              <w:rPr>
                <w:sz w:val="14"/>
                <w:szCs w:val="14"/>
              </w:rPr>
              <w:t>-</w:t>
            </w:r>
          </w:p>
        </w:tc>
        <w:tc>
          <w:tcPr>
            <w:tcW w:w="1039" w:type="dxa"/>
            <w:vAlign w:val="center"/>
          </w:tcPr>
          <w:p w14:paraId="0688A44C" w14:textId="632FE888" w:rsidR="00314B4B" w:rsidRPr="00354C14" w:rsidRDefault="00DE41D1" w:rsidP="00DD20CC">
            <w:pPr>
              <w:jc w:val="center"/>
              <w:rPr>
                <w:sz w:val="14"/>
                <w:szCs w:val="14"/>
              </w:rPr>
            </w:pPr>
            <w:r>
              <w:rPr>
                <w:sz w:val="14"/>
                <w:szCs w:val="14"/>
              </w:rPr>
              <w:t>1.7</w:t>
            </w:r>
          </w:p>
        </w:tc>
        <w:tc>
          <w:tcPr>
            <w:tcW w:w="1039" w:type="dxa"/>
            <w:vAlign w:val="center"/>
          </w:tcPr>
          <w:p w14:paraId="4313BC2B" w14:textId="2A72FE21" w:rsidR="00314B4B" w:rsidRPr="00354C14" w:rsidRDefault="001D2F1F" w:rsidP="00DD20CC">
            <w:pPr>
              <w:jc w:val="center"/>
              <w:rPr>
                <w:sz w:val="14"/>
                <w:szCs w:val="14"/>
              </w:rPr>
            </w:pPr>
            <w:r>
              <w:rPr>
                <w:sz w:val="14"/>
                <w:szCs w:val="14"/>
              </w:rPr>
              <w:t>Diverging</w:t>
            </w:r>
          </w:p>
        </w:tc>
        <w:tc>
          <w:tcPr>
            <w:tcW w:w="1039" w:type="dxa"/>
            <w:vAlign w:val="center"/>
          </w:tcPr>
          <w:p w14:paraId="67269F2D" w14:textId="77777777" w:rsidR="00314B4B" w:rsidRPr="00354C14" w:rsidRDefault="00314B4B" w:rsidP="00DD20CC">
            <w:pPr>
              <w:jc w:val="center"/>
              <w:rPr>
                <w:sz w:val="14"/>
                <w:szCs w:val="14"/>
              </w:rPr>
            </w:pPr>
            <w:r w:rsidRPr="00354C14">
              <w:rPr>
                <w:sz w:val="14"/>
                <w:szCs w:val="14"/>
              </w:rPr>
              <w:t>1</w:t>
            </w:r>
          </w:p>
        </w:tc>
        <w:tc>
          <w:tcPr>
            <w:tcW w:w="1039" w:type="dxa"/>
            <w:vAlign w:val="center"/>
          </w:tcPr>
          <w:p w14:paraId="4FB56E38" w14:textId="77777777" w:rsidR="00314B4B" w:rsidRPr="00354C14" w:rsidRDefault="00314B4B" w:rsidP="00DD20CC">
            <w:pPr>
              <w:jc w:val="center"/>
              <w:rPr>
                <w:sz w:val="14"/>
                <w:szCs w:val="14"/>
              </w:rPr>
            </w:pPr>
            <w:r w:rsidRPr="00354C14">
              <w:rPr>
                <w:sz w:val="14"/>
                <w:szCs w:val="14"/>
              </w:rPr>
              <w:t>5000</w:t>
            </w:r>
          </w:p>
        </w:tc>
      </w:tr>
      <w:tr w:rsidR="00314B4B" w:rsidRPr="00354C14" w14:paraId="6855A5AC" w14:textId="77777777" w:rsidTr="00DD20CC">
        <w:trPr>
          <w:jc w:val="center"/>
        </w:trPr>
        <w:tc>
          <w:tcPr>
            <w:tcW w:w="1038" w:type="dxa"/>
          </w:tcPr>
          <w:p w14:paraId="3238A5CA" w14:textId="77777777" w:rsidR="00314B4B" w:rsidRPr="00354C14" w:rsidRDefault="00314B4B" w:rsidP="00DD20CC">
            <w:pPr>
              <w:rPr>
                <w:b/>
                <w:sz w:val="14"/>
                <w:szCs w:val="14"/>
              </w:rPr>
            </w:pPr>
            <w:r w:rsidRPr="00354C14">
              <w:rPr>
                <w:b/>
                <w:sz w:val="14"/>
                <w:szCs w:val="14"/>
              </w:rPr>
              <w:t>RM2</w:t>
            </w:r>
          </w:p>
        </w:tc>
        <w:tc>
          <w:tcPr>
            <w:tcW w:w="1039" w:type="dxa"/>
            <w:vAlign w:val="center"/>
          </w:tcPr>
          <w:p w14:paraId="423D171E" w14:textId="77777777" w:rsidR="00314B4B" w:rsidRPr="00354C14" w:rsidRDefault="00314B4B" w:rsidP="00DD20CC">
            <w:pPr>
              <w:jc w:val="center"/>
              <w:rPr>
                <w:sz w:val="14"/>
                <w:szCs w:val="14"/>
              </w:rPr>
            </w:pPr>
            <w:r w:rsidRPr="00354C14">
              <w:rPr>
                <w:sz w:val="14"/>
                <w:szCs w:val="14"/>
              </w:rPr>
              <w:t>186</w:t>
            </w:r>
          </w:p>
        </w:tc>
        <w:tc>
          <w:tcPr>
            <w:tcW w:w="1039" w:type="dxa"/>
            <w:vAlign w:val="center"/>
          </w:tcPr>
          <w:p w14:paraId="3CACA07B" w14:textId="77777777" w:rsidR="00314B4B" w:rsidRPr="00354C14" w:rsidRDefault="00314B4B" w:rsidP="00DD20CC">
            <w:pPr>
              <w:jc w:val="center"/>
              <w:rPr>
                <w:sz w:val="14"/>
                <w:szCs w:val="14"/>
              </w:rPr>
            </w:pPr>
            <w:r w:rsidRPr="00354C14">
              <w:rPr>
                <w:sz w:val="14"/>
                <w:szCs w:val="14"/>
              </w:rPr>
              <w:t>40</w:t>
            </w:r>
          </w:p>
        </w:tc>
        <w:tc>
          <w:tcPr>
            <w:tcW w:w="1039" w:type="dxa"/>
            <w:vAlign w:val="center"/>
          </w:tcPr>
          <w:p w14:paraId="45956C92" w14:textId="77777777" w:rsidR="00314B4B" w:rsidRPr="00354C14" w:rsidRDefault="00314B4B" w:rsidP="00DD20CC">
            <w:pPr>
              <w:jc w:val="center"/>
              <w:rPr>
                <w:sz w:val="14"/>
                <w:szCs w:val="14"/>
              </w:rPr>
            </w:pPr>
            <w:r w:rsidRPr="00354C14">
              <w:rPr>
                <w:sz w:val="14"/>
                <w:szCs w:val="14"/>
              </w:rPr>
              <w:t>-</w:t>
            </w:r>
          </w:p>
        </w:tc>
        <w:tc>
          <w:tcPr>
            <w:tcW w:w="1039" w:type="dxa"/>
            <w:vAlign w:val="center"/>
          </w:tcPr>
          <w:p w14:paraId="1072E75F" w14:textId="77777777" w:rsidR="00314B4B" w:rsidRPr="00354C14" w:rsidRDefault="00314B4B" w:rsidP="00DD20CC">
            <w:pPr>
              <w:jc w:val="center"/>
              <w:rPr>
                <w:sz w:val="14"/>
                <w:szCs w:val="14"/>
              </w:rPr>
            </w:pPr>
            <w:r w:rsidRPr="00354C14">
              <w:rPr>
                <w:sz w:val="14"/>
                <w:szCs w:val="14"/>
              </w:rPr>
              <w:t>-</w:t>
            </w:r>
          </w:p>
        </w:tc>
        <w:tc>
          <w:tcPr>
            <w:tcW w:w="1039" w:type="dxa"/>
            <w:vAlign w:val="center"/>
          </w:tcPr>
          <w:p w14:paraId="2322E22F" w14:textId="3FF89288" w:rsidR="00314B4B" w:rsidRPr="00354C14" w:rsidRDefault="00DE41D1" w:rsidP="00DD20CC">
            <w:pPr>
              <w:jc w:val="center"/>
              <w:rPr>
                <w:sz w:val="14"/>
                <w:szCs w:val="14"/>
              </w:rPr>
            </w:pPr>
            <w:r>
              <w:rPr>
                <w:sz w:val="14"/>
                <w:szCs w:val="14"/>
              </w:rPr>
              <w:t>1.7</w:t>
            </w:r>
          </w:p>
        </w:tc>
        <w:tc>
          <w:tcPr>
            <w:tcW w:w="1039" w:type="dxa"/>
            <w:vAlign w:val="center"/>
          </w:tcPr>
          <w:p w14:paraId="0C4BE12C" w14:textId="188C02C5" w:rsidR="00314B4B" w:rsidRPr="00354C14" w:rsidRDefault="001D2F1F" w:rsidP="00DD20CC">
            <w:pPr>
              <w:jc w:val="center"/>
              <w:rPr>
                <w:sz w:val="14"/>
                <w:szCs w:val="14"/>
              </w:rPr>
            </w:pPr>
            <w:r>
              <w:rPr>
                <w:sz w:val="14"/>
                <w:szCs w:val="14"/>
              </w:rPr>
              <w:t>Diverging</w:t>
            </w:r>
          </w:p>
        </w:tc>
        <w:tc>
          <w:tcPr>
            <w:tcW w:w="1039" w:type="dxa"/>
            <w:vAlign w:val="center"/>
          </w:tcPr>
          <w:p w14:paraId="5609FC05" w14:textId="77777777" w:rsidR="00314B4B" w:rsidRPr="00354C14" w:rsidRDefault="00314B4B" w:rsidP="00DD20CC">
            <w:pPr>
              <w:jc w:val="center"/>
              <w:rPr>
                <w:sz w:val="14"/>
                <w:szCs w:val="14"/>
              </w:rPr>
            </w:pPr>
            <w:r w:rsidRPr="00354C14">
              <w:rPr>
                <w:sz w:val="14"/>
                <w:szCs w:val="14"/>
              </w:rPr>
              <w:t>1</w:t>
            </w:r>
          </w:p>
        </w:tc>
        <w:tc>
          <w:tcPr>
            <w:tcW w:w="1039" w:type="dxa"/>
            <w:vAlign w:val="center"/>
          </w:tcPr>
          <w:p w14:paraId="58163E02" w14:textId="77777777" w:rsidR="00314B4B" w:rsidRPr="00354C14" w:rsidRDefault="00314B4B" w:rsidP="00DD20CC">
            <w:pPr>
              <w:jc w:val="center"/>
              <w:rPr>
                <w:sz w:val="14"/>
                <w:szCs w:val="14"/>
              </w:rPr>
            </w:pPr>
            <w:r w:rsidRPr="00354C14">
              <w:rPr>
                <w:sz w:val="14"/>
                <w:szCs w:val="14"/>
              </w:rPr>
              <w:t>4650</w:t>
            </w:r>
          </w:p>
        </w:tc>
      </w:tr>
      <w:tr w:rsidR="00314B4B" w:rsidRPr="00354C14" w14:paraId="72CB72D6" w14:textId="77777777" w:rsidTr="00DD20CC">
        <w:trPr>
          <w:jc w:val="center"/>
        </w:trPr>
        <w:tc>
          <w:tcPr>
            <w:tcW w:w="1038" w:type="dxa"/>
          </w:tcPr>
          <w:p w14:paraId="38C1943F" w14:textId="77777777" w:rsidR="00314B4B" w:rsidRPr="00354C14" w:rsidRDefault="00314B4B" w:rsidP="00DD20CC">
            <w:pPr>
              <w:rPr>
                <w:b/>
                <w:sz w:val="14"/>
                <w:szCs w:val="14"/>
              </w:rPr>
            </w:pPr>
            <w:r w:rsidRPr="00354C14">
              <w:rPr>
                <w:b/>
                <w:sz w:val="14"/>
                <w:szCs w:val="14"/>
              </w:rPr>
              <w:t>RM3</w:t>
            </w:r>
          </w:p>
        </w:tc>
        <w:tc>
          <w:tcPr>
            <w:tcW w:w="1039" w:type="dxa"/>
            <w:vAlign w:val="center"/>
          </w:tcPr>
          <w:p w14:paraId="756109C7" w14:textId="77777777" w:rsidR="00314B4B" w:rsidRPr="00354C14" w:rsidRDefault="00314B4B" w:rsidP="00DD20CC">
            <w:pPr>
              <w:jc w:val="center"/>
              <w:rPr>
                <w:sz w:val="14"/>
                <w:szCs w:val="14"/>
              </w:rPr>
            </w:pPr>
            <w:r w:rsidRPr="00354C14">
              <w:rPr>
                <w:sz w:val="14"/>
                <w:szCs w:val="14"/>
              </w:rPr>
              <w:t>200</w:t>
            </w:r>
          </w:p>
        </w:tc>
        <w:tc>
          <w:tcPr>
            <w:tcW w:w="1039" w:type="dxa"/>
            <w:vAlign w:val="center"/>
          </w:tcPr>
          <w:p w14:paraId="26C10FC8" w14:textId="77777777" w:rsidR="00314B4B" w:rsidRPr="00354C14" w:rsidRDefault="00314B4B" w:rsidP="00DD20CC">
            <w:pPr>
              <w:jc w:val="center"/>
              <w:rPr>
                <w:sz w:val="14"/>
                <w:szCs w:val="14"/>
              </w:rPr>
            </w:pPr>
            <w:r w:rsidRPr="00354C14">
              <w:rPr>
                <w:sz w:val="14"/>
                <w:szCs w:val="14"/>
              </w:rPr>
              <w:t>30</w:t>
            </w:r>
          </w:p>
        </w:tc>
        <w:tc>
          <w:tcPr>
            <w:tcW w:w="1039" w:type="dxa"/>
            <w:vAlign w:val="center"/>
          </w:tcPr>
          <w:p w14:paraId="57872221" w14:textId="77777777" w:rsidR="00314B4B" w:rsidRPr="00354C14" w:rsidRDefault="00314B4B" w:rsidP="00DD20CC">
            <w:pPr>
              <w:jc w:val="center"/>
              <w:rPr>
                <w:sz w:val="14"/>
                <w:szCs w:val="14"/>
              </w:rPr>
            </w:pPr>
            <w:r w:rsidRPr="00354C14">
              <w:rPr>
                <w:sz w:val="14"/>
                <w:szCs w:val="14"/>
              </w:rPr>
              <w:t>-</w:t>
            </w:r>
          </w:p>
        </w:tc>
        <w:tc>
          <w:tcPr>
            <w:tcW w:w="1039" w:type="dxa"/>
            <w:vAlign w:val="center"/>
          </w:tcPr>
          <w:p w14:paraId="763527D9" w14:textId="77777777" w:rsidR="00314B4B" w:rsidRPr="00354C14" w:rsidRDefault="00314B4B" w:rsidP="00DD20CC">
            <w:pPr>
              <w:jc w:val="center"/>
              <w:rPr>
                <w:sz w:val="14"/>
                <w:szCs w:val="14"/>
              </w:rPr>
            </w:pPr>
            <w:r w:rsidRPr="00354C14">
              <w:rPr>
                <w:sz w:val="14"/>
                <w:szCs w:val="14"/>
              </w:rPr>
              <w:t>-</w:t>
            </w:r>
          </w:p>
        </w:tc>
        <w:tc>
          <w:tcPr>
            <w:tcW w:w="1039" w:type="dxa"/>
            <w:vAlign w:val="center"/>
          </w:tcPr>
          <w:p w14:paraId="7046A431" w14:textId="3E1A3F2D" w:rsidR="00314B4B" w:rsidRPr="00354C14" w:rsidRDefault="00DE41D1" w:rsidP="00DD20CC">
            <w:pPr>
              <w:jc w:val="center"/>
              <w:rPr>
                <w:sz w:val="14"/>
                <w:szCs w:val="14"/>
              </w:rPr>
            </w:pPr>
            <w:r>
              <w:rPr>
                <w:sz w:val="14"/>
                <w:szCs w:val="14"/>
              </w:rPr>
              <w:t>2.1</w:t>
            </w:r>
          </w:p>
        </w:tc>
        <w:tc>
          <w:tcPr>
            <w:tcW w:w="1039" w:type="dxa"/>
            <w:vAlign w:val="center"/>
          </w:tcPr>
          <w:p w14:paraId="6115EF73" w14:textId="4E52FDAE" w:rsidR="00314B4B" w:rsidRPr="00354C14" w:rsidRDefault="001D2F1F" w:rsidP="00DD20CC">
            <w:pPr>
              <w:jc w:val="center"/>
              <w:rPr>
                <w:sz w:val="14"/>
                <w:szCs w:val="14"/>
              </w:rPr>
            </w:pPr>
            <w:r>
              <w:rPr>
                <w:sz w:val="14"/>
                <w:szCs w:val="14"/>
              </w:rPr>
              <w:t>Diverging</w:t>
            </w:r>
          </w:p>
        </w:tc>
        <w:tc>
          <w:tcPr>
            <w:tcW w:w="1039" w:type="dxa"/>
            <w:vAlign w:val="center"/>
          </w:tcPr>
          <w:p w14:paraId="218FEE2A" w14:textId="77777777" w:rsidR="00314B4B" w:rsidRPr="00354C14" w:rsidRDefault="00314B4B" w:rsidP="00DD20CC">
            <w:pPr>
              <w:jc w:val="center"/>
              <w:rPr>
                <w:sz w:val="14"/>
                <w:szCs w:val="14"/>
              </w:rPr>
            </w:pPr>
            <w:r w:rsidRPr="00354C14">
              <w:rPr>
                <w:sz w:val="14"/>
                <w:szCs w:val="14"/>
              </w:rPr>
              <w:t>1</w:t>
            </w:r>
          </w:p>
        </w:tc>
        <w:tc>
          <w:tcPr>
            <w:tcW w:w="1039" w:type="dxa"/>
            <w:vAlign w:val="center"/>
          </w:tcPr>
          <w:p w14:paraId="29B07D80" w14:textId="77777777" w:rsidR="00314B4B" w:rsidRPr="00354C14" w:rsidRDefault="00314B4B" w:rsidP="00DD20CC">
            <w:pPr>
              <w:jc w:val="center"/>
              <w:rPr>
                <w:sz w:val="14"/>
                <w:szCs w:val="14"/>
              </w:rPr>
            </w:pPr>
            <w:r w:rsidRPr="00354C14">
              <w:rPr>
                <w:sz w:val="14"/>
                <w:szCs w:val="14"/>
              </w:rPr>
              <w:t>6667</w:t>
            </w:r>
          </w:p>
        </w:tc>
      </w:tr>
      <w:tr w:rsidR="00314B4B" w:rsidRPr="00354C14" w14:paraId="1B689A8D" w14:textId="77777777" w:rsidTr="00DD20CC">
        <w:trPr>
          <w:jc w:val="center"/>
        </w:trPr>
        <w:tc>
          <w:tcPr>
            <w:tcW w:w="1038" w:type="dxa"/>
          </w:tcPr>
          <w:p w14:paraId="020165B2" w14:textId="77777777" w:rsidR="00314B4B" w:rsidRPr="00354C14" w:rsidRDefault="00314B4B" w:rsidP="00DD20CC">
            <w:pPr>
              <w:rPr>
                <w:b/>
                <w:sz w:val="14"/>
                <w:szCs w:val="14"/>
              </w:rPr>
            </w:pPr>
            <w:r w:rsidRPr="00354C14">
              <w:rPr>
                <w:b/>
                <w:sz w:val="14"/>
                <w:szCs w:val="14"/>
              </w:rPr>
              <w:t>RM4</w:t>
            </w:r>
          </w:p>
        </w:tc>
        <w:tc>
          <w:tcPr>
            <w:tcW w:w="1039" w:type="dxa"/>
            <w:vAlign w:val="center"/>
          </w:tcPr>
          <w:p w14:paraId="0AA70B26" w14:textId="77777777" w:rsidR="00314B4B" w:rsidRPr="00354C14" w:rsidRDefault="00314B4B" w:rsidP="00DD20CC">
            <w:pPr>
              <w:jc w:val="center"/>
              <w:rPr>
                <w:sz w:val="14"/>
                <w:szCs w:val="14"/>
              </w:rPr>
            </w:pPr>
            <w:r w:rsidRPr="00354C14">
              <w:rPr>
                <w:sz w:val="14"/>
                <w:szCs w:val="14"/>
              </w:rPr>
              <w:t>365</w:t>
            </w:r>
          </w:p>
        </w:tc>
        <w:tc>
          <w:tcPr>
            <w:tcW w:w="1039" w:type="dxa"/>
            <w:vAlign w:val="center"/>
          </w:tcPr>
          <w:p w14:paraId="45636E19" w14:textId="77777777" w:rsidR="00314B4B" w:rsidRPr="00354C14" w:rsidRDefault="00314B4B" w:rsidP="00DD20CC">
            <w:pPr>
              <w:jc w:val="center"/>
              <w:rPr>
                <w:sz w:val="14"/>
                <w:szCs w:val="14"/>
              </w:rPr>
            </w:pPr>
            <w:r w:rsidRPr="00354C14">
              <w:rPr>
                <w:sz w:val="14"/>
                <w:szCs w:val="14"/>
              </w:rPr>
              <w:t>100</w:t>
            </w:r>
          </w:p>
        </w:tc>
        <w:tc>
          <w:tcPr>
            <w:tcW w:w="1039" w:type="dxa"/>
            <w:vAlign w:val="center"/>
          </w:tcPr>
          <w:p w14:paraId="128395E2" w14:textId="77777777" w:rsidR="00314B4B" w:rsidRPr="00354C14" w:rsidRDefault="00314B4B" w:rsidP="00DD20CC">
            <w:pPr>
              <w:jc w:val="center"/>
              <w:rPr>
                <w:sz w:val="14"/>
                <w:szCs w:val="14"/>
              </w:rPr>
            </w:pPr>
            <w:r w:rsidRPr="00354C14">
              <w:rPr>
                <w:sz w:val="14"/>
                <w:szCs w:val="14"/>
              </w:rPr>
              <w:t>-</w:t>
            </w:r>
          </w:p>
        </w:tc>
        <w:tc>
          <w:tcPr>
            <w:tcW w:w="1039" w:type="dxa"/>
            <w:vAlign w:val="center"/>
          </w:tcPr>
          <w:p w14:paraId="5D19BD5E" w14:textId="77777777" w:rsidR="00314B4B" w:rsidRPr="00354C14" w:rsidRDefault="00314B4B" w:rsidP="00DD20CC">
            <w:pPr>
              <w:jc w:val="center"/>
              <w:rPr>
                <w:sz w:val="14"/>
                <w:szCs w:val="14"/>
              </w:rPr>
            </w:pPr>
            <w:r w:rsidRPr="00354C14">
              <w:rPr>
                <w:sz w:val="14"/>
                <w:szCs w:val="14"/>
              </w:rPr>
              <w:t>-</w:t>
            </w:r>
          </w:p>
        </w:tc>
        <w:tc>
          <w:tcPr>
            <w:tcW w:w="1039" w:type="dxa"/>
            <w:vAlign w:val="center"/>
          </w:tcPr>
          <w:p w14:paraId="3F8296D1" w14:textId="0FF67E0A" w:rsidR="00314B4B" w:rsidRPr="00354C14" w:rsidRDefault="00DE41D1" w:rsidP="00DD20CC">
            <w:pPr>
              <w:jc w:val="center"/>
              <w:rPr>
                <w:sz w:val="14"/>
                <w:szCs w:val="14"/>
              </w:rPr>
            </w:pPr>
            <w:r>
              <w:rPr>
                <w:sz w:val="14"/>
                <w:szCs w:val="14"/>
              </w:rPr>
              <w:t>2.1</w:t>
            </w:r>
          </w:p>
        </w:tc>
        <w:tc>
          <w:tcPr>
            <w:tcW w:w="1039" w:type="dxa"/>
            <w:vAlign w:val="center"/>
          </w:tcPr>
          <w:p w14:paraId="0FE09756" w14:textId="60DAEC4D" w:rsidR="00314B4B" w:rsidRPr="00354C14" w:rsidRDefault="001D2F1F" w:rsidP="00DD20CC">
            <w:pPr>
              <w:jc w:val="center"/>
              <w:rPr>
                <w:sz w:val="14"/>
                <w:szCs w:val="14"/>
              </w:rPr>
            </w:pPr>
            <w:r>
              <w:rPr>
                <w:sz w:val="14"/>
                <w:szCs w:val="14"/>
              </w:rPr>
              <w:t>Diverging</w:t>
            </w:r>
          </w:p>
        </w:tc>
        <w:tc>
          <w:tcPr>
            <w:tcW w:w="1039" w:type="dxa"/>
            <w:vAlign w:val="center"/>
          </w:tcPr>
          <w:p w14:paraId="361A75B1" w14:textId="77777777" w:rsidR="00314B4B" w:rsidRPr="00354C14" w:rsidRDefault="00314B4B" w:rsidP="00DD20CC">
            <w:pPr>
              <w:jc w:val="center"/>
              <w:rPr>
                <w:sz w:val="14"/>
                <w:szCs w:val="14"/>
              </w:rPr>
            </w:pPr>
            <w:r w:rsidRPr="00354C14">
              <w:rPr>
                <w:sz w:val="14"/>
                <w:szCs w:val="14"/>
              </w:rPr>
              <w:t>1</w:t>
            </w:r>
          </w:p>
        </w:tc>
        <w:tc>
          <w:tcPr>
            <w:tcW w:w="1039" w:type="dxa"/>
            <w:vAlign w:val="center"/>
          </w:tcPr>
          <w:p w14:paraId="3021CAAA" w14:textId="77777777" w:rsidR="00314B4B" w:rsidRPr="00354C14" w:rsidRDefault="00314B4B" w:rsidP="00DD20CC">
            <w:pPr>
              <w:jc w:val="center"/>
              <w:rPr>
                <w:sz w:val="14"/>
                <w:szCs w:val="14"/>
              </w:rPr>
            </w:pPr>
            <w:r w:rsidRPr="00354C14">
              <w:rPr>
                <w:sz w:val="14"/>
                <w:szCs w:val="14"/>
              </w:rPr>
              <w:t>3650</w:t>
            </w:r>
          </w:p>
        </w:tc>
      </w:tr>
      <w:tr w:rsidR="00314B4B" w:rsidRPr="00354C14" w14:paraId="69657E5F" w14:textId="77777777" w:rsidTr="00DD20CC">
        <w:trPr>
          <w:jc w:val="center"/>
        </w:trPr>
        <w:tc>
          <w:tcPr>
            <w:tcW w:w="1038" w:type="dxa"/>
          </w:tcPr>
          <w:p w14:paraId="16FDCEF1" w14:textId="77777777" w:rsidR="00314B4B" w:rsidRPr="00354C14" w:rsidRDefault="00314B4B" w:rsidP="00DD20CC">
            <w:pPr>
              <w:rPr>
                <w:b/>
                <w:sz w:val="14"/>
                <w:szCs w:val="14"/>
              </w:rPr>
            </w:pPr>
            <w:r>
              <w:rPr>
                <w:b/>
                <w:sz w:val="14"/>
                <w:szCs w:val="14"/>
              </w:rPr>
              <w:t>RM5</w:t>
            </w:r>
          </w:p>
        </w:tc>
        <w:tc>
          <w:tcPr>
            <w:tcW w:w="1039" w:type="dxa"/>
            <w:vAlign w:val="center"/>
          </w:tcPr>
          <w:p w14:paraId="21F8C47A" w14:textId="77777777" w:rsidR="00314B4B" w:rsidRPr="00354C14" w:rsidRDefault="00314B4B" w:rsidP="00DD20CC">
            <w:pPr>
              <w:jc w:val="center"/>
              <w:rPr>
                <w:sz w:val="14"/>
                <w:szCs w:val="14"/>
              </w:rPr>
            </w:pPr>
            <w:r>
              <w:rPr>
                <w:sz w:val="14"/>
                <w:szCs w:val="14"/>
              </w:rPr>
              <w:t>447</w:t>
            </w:r>
          </w:p>
        </w:tc>
        <w:tc>
          <w:tcPr>
            <w:tcW w:w="1039" w:type="dxa"/>
            <w:vAlign w:val="center"/>
          </w:tcPr>
          <w:p w14:paraId="5F963663" w14:textId="77777777" w:rsidR="00314B4B" w:rsidRPr="00354C14" w:rsidRDefault="00314B4B" w:rsidP="00DD20CC">
            <w:pPr>
              <w:jc w:val="center"/>
              <w:rPr>
                <w:sz w:val="14"/>
                <w:szCs w:val="14"/>
              </w:rPr>
            </w:pPr>
            <w:r>
              <w:rPr>
                <w:sz w:val="14"/>
                <w:szCs w:val="14"/>
              </w:rPr>
              <w:t>150</w:t>
            </w:r>
          </w:p>
        </w:tc>
        <w:tc>
          <w:tcPr>
            <w:tcW w:w="1039" w:type="dxa"/>
            <w:vAlign w:val="center"/>
          </w:tcPr>
          <w:p w14:paraId="20B16B67" w14:textId="77777777" w:rsidR="00314B4B" w:rsidRPr="00354C14" w:rsidRDefault="00314B4B" w:rsidP="00DD20CC">
            <w:pPr>
              <w:jc w:val="center"/>
              <w:rPr>
                <w:sz w:val="14"/>
                <w:szCs w:val="14"/>
              </w:rPr>
            </w:pPr>
            <w:r>
              <w:rPr>
                <w:sz w:val="14"/>
                <w:szCs w:val="14"/>
              </w:rPr>
              <w:t>-</w:t>
            </w:r>
          </w:p>
        </w:tc>
        <w:tc>
          <w:tcPr>
            <w:tcW w:w="1039" w:type="dxa"/>
            <w:vAlign w:val="center"/>
          </w:tcPr>
          <w:p w14:paraId="5172166C" w14:textId="77777777" w:rsidR="00314B4B" w:rsidRPr="00354C14" w:rsidRDefault="00314B4B" w:rsidP="00DD20CC">
            <w:pPr>
              <w:jc w:val="center"/>
              <w:rPr>
                <w:sz w:val="14"/>
                <w:szCs w:val="14"/>
              </w:rPr>
            </w:pPr>
            <w:r>
              <w:rPr>
                <w:sz w:val="14"/>
                <w:szCs w:val="14"/>
              </w:rPr>
              <w:t>-</w:t>
            </w:r>
          </w:p>
        </w:tc>
        <w:tc>
          <w:tcPr>
            <w:tcW w:w="1039" w:type="dxa"/>
            <w:vAlign w:val="center"/>
          </w:tcPr>
          <w:p w14:paraId="20D31C6E" w14:textId="7E4DED31" w:rsidR="00314B4B" w:rsidRPr="00354C14" w:rsidRDefault="00DE41D1" w:rsidP="00DD20CC">
            <w:pPr>
              <w:jc w:val="center"/>
              <w:rPr>
                <w:sz w:val="14"/>
                <w:szCs w:val="14"/>
              </w:rPr>
            </w:pPr>
            <w:r>
              <w:rPr>
                <w:sz w:val="14"/>
                <w:szCs w:val="14"/>
              </w:rPr>
              <w:t>2.1</w:t>
            </w:r>
          </w:p>
        </w:tc>
        <w:tc>
          <w:tcPr>
            <w:tcW w:w="1039" w:type="dxa"/>
            <w:vAlign w:val="center"/>
          </w:tcPr>
          <w:p w14:paraId="5DF670B7" w14:textId="49A83BFC" w:rsidR="00314B4B" w:rsidRPr="00354C14" w:rsidRDefault="001D2F1F" w:rsidP="00DD20CC">
            <w:pPr>
              <w:jc w:val="center"/>
              <w:rPr>
                <w:sz w:val="14"/>
                <w:szCs w:val="14"/>
              </w:rPr>
            </w:pPr>
            <w:r>
              <w:rPr>
                <w:sz w:val="14"/>
                <w:szCs w:val="14"/>
              </w:rPr>
              <w:t>Diverging</w:t>
            </w:r>
          </w:p>
        </w:tc>
        <w:tc>
          <w:tcPr>
            <w:tcW w:w="1039" w:type="dxa"/>
            <w:vAlign w:val="center"/>
          </w:tcPr>
          <w:p w14:paraId="524F04A1" w14:textId="77777777" w:rsidR="00314B4B" w:rsidRPr="00354C14" w:rsidRDefault="00314B4B" w:rsidP="00DD20CC">
            <w:pPr>
              <w:jc w:val="center"/>
              <w:rPr>
                <w:sz w:val="14"/>
                <w:szCs w:val="14"/>
              </w:rPr>
            </w:pPr>
            <w:r>
              <w:rPr>
                <w:sz w:val="14"/>
                <w:szCs w:val="14"/>
              </w:rPr>
              <w:t>1</w:t>
            </w:r>
          </w:p>
        </w:tc>
        <w:tc>
          <w:tcPr>
            <w:tcW w:w="1039" w:type="dxa"/>
            <w:vAlign w:val="center"/>
          </w:tcPr>
          <w:p w14:paraId="3C7180C3" w14:textId="77777777" w:rsidR="00314B4B" w:rsidRPr="00354C14" w:rsidRDefault="00314B4B" w:rsidP="00DD20CC">
            <w:pPr>
              <w:jc w:val="center"/>
              <w:rPr>
                <w:sz w:val="14"/>
                <w:szCs w:val="14"/>
              </w:rPr>
            </w:pPr>
            <w:r>
              <w:rPr>
                <w:sz w:val="14"/>
                <w:szCs w:val="14"/>
              </w:rPr>
              <w:t>2980</w:t>
            </w:r>
          </w:p>
        </w:tc>
      </w:tr>
      <w:tr w:rsidR="00314B4B" w:rsidRPr="00354C14" w14:paraId="061FEDA4" w14:textId="77777777" w:rsidTr="00DD20CC">
        <w:trPr>
          <w:jc w:val="center"/>
        </w:trPr>
        <w:tc>
          <w:tcPr>
            <w:tcW w:w="1038" w:type="dxa"/>
          </w:tcPr>
          <w:p w14:paraId="75ADF1ED" w14:textId="77777777" w:rsidR="00314B4B" w:rsidRPr="00354C14" w:rsidRDefault="00314B4B" w:rsidP="00DD20CC">
            <w:pPr>
              <w:rPr>
                <w:b/>
                <w:sz w:val="14"/>
                <w:szCs w:val="14"/>
              </w:rPr>
            </w:pPr>
            <w:r w:rsidRPr="00354C14">
              <w:rPr>
                <w:b/>
                <w:sz w:val="14"/>
                <w:szCs w:val="14"/>
              </w:rPr>
              <w:t>RM</w:t>
            </w:r>
            <w:r>
              <w:rPr>
                <w:b/>
                <w:sz w:val="14"/>
                <w:szCs w:val="14"/>
              </w:rPr>
              <w:t>6</w:t>
            </w:r>
          </w:p>
        </w:tc>
        <w:tc>
          <w:tcPr>
            <w:tcW w:w="1039" w:type="dxa"/>
            <w:vAlign w:val="center"/>
          </w:tcPr>
          <w:p w14:paraId="2D27151F" w14:textId="77777777" w:rsidR="00314B4B" w:rsidRPr="00354C14" w:rsidRDefault="00314B4B" w:rsidP="00DD20CC">
            <w:pPr>
              <w:jc w:val="center"/>
              <w:rPr>
                <w:sz w:val="14"/>
                <w:szCs w:val="14"/>
              </w:rPr>
            </w:pPr>
            <w:r w:rsidRPr="00354C14">
              <w:rPr>
                <w:sz w:val="14"/>
                <w:szCs w:val="14"/>
              </w:rPr>
              <w:t>186</w:t>
            </w:r>
          </w:p>
        </w:tc>
        <w:tc>
          <w:tcPr>
            <w:tcW w:w="1039" w:type="dxa"/>
            <w:vAlign w:val="center"/>
          </w:tcPr>
          <w:p w14:paraId="4F622233" w14:textId="77777777" w:rsidR="00314B4B" w:rsidRPr="00354C14" w:rsidRDefault="00314B4B" w:rsidP="00DD20CC">
            <w:pPr>
              <w:jc w:val="center"/>
              <w:rPr>
                <w:sz w:val="14"/>
                <w:szCs w:val="14"/>
              </w:rPr>
            </w:pPr>
            <w:r w:rsidRPr="00354C14">
              <w:rPr>
                <w:sz w:val="14"/>
                <w:szCs w:val="14"/>
              </w:rPr>
              <w:t>40</w:t>
            </w:r>
          </w:p>
        </w:tc>
        <w:tc>
          <w:tcPr>
            <w:tcW w:w="1039" w:type="dxa"/>
            <w:vAlign w:val="center"/>
          </w:tcPr>
          <w:p w14:paraId="02C6D380" w14:textId="77777777" w:rsidR="00314B4B" w:rsidRPr="00354C14" w:rsidRDefault="00314B4B" w:rsidP="00DD20CC">
            <w:pPr>
              <w:jc w:val="center"/>
              <w:rPr>
                <w:sz w:val="14"/>
                <w:szCs w:val="14"/>
              </w:rPr>
            </w:pPr>
            <w:r w:rsidRPr="00354C14">
              <w:rPr>
                <w:sz w:val="14"/>
                <w:szCs w:val="14"/>
              </w:rPr>
              <w:t>-</w:t>
            </w:r>
          </w:p>
        </w:tc>
        <w:tc>
          <w:tcPr>
            <w:tcW w:w="1039" w:type="dxa"/>
            <w:vAlign w:val="center"/>
          </w:tcPr>
          <w:p w14:paraId="20AC883B" w14:textId="77777777" w:rsidR="00314B4B" w:rsidRPr="00354C14" w:rsidRDefault="00314B4B" w:rsidP="00DD20CC">
            <w:pPr>
              <w:jc w:val="center"/>
              <w:rPr>
                <w:sz w:val="14"/>
                <w:szCs w:val="14"/>
              </w:rPr>
            </w:pPr>
            <w:r w:rsidRPr="00354C14">
              <w:rPr>
                <w:sz w:val="14"/>
                <w:szCs w:val="14"/>
              </w:rPr>
              <w:t>-</w:t>
            </w:r>
          </w:p>
        </w:tc>
        <w:tc>
          <w:tcPr>
            <w:tcW w:w="1039" w:type="dxa"/>
            <w:vAlign w:val="center"/>
          </w:tcPr>
          <w:p w14:paraId="15F2F1CA" w14:textId="0E916D69" w:rsidR="00314B4B" w:rsidRPr="00354C14" w:rsidRDefault="00DE41D1" w:rsidP="00DD20CC">
            <w:pPr>
              <w:jc w:val="center"/>
              <w:rPr>
                <w:sz w:val="14"/>
                <w:szCs w:val="14"/>
              </w:rPr>
            </w:pPr>
            <w:r>
              <w:rPr>
                <w:sz w:val="14"/>
                <w:szCs w:val="14"/>
              </w:rPr>
              <w:t>-1.9</w:t>
            </w:r>
          </w:p>
        </w:tc>
        <w:tc>
          <w:tcPr>
            <w:tcW w:w="1039" w:type="dxa"/>
            <w:vAlign w:val="center"/>
          </w:tcPr>
          <w:p w14:paraId="24329F43" w14:textId="56120F9B" w:rsidR="00314B4B" w:rsidRPr="00354C14" w:rsidRDefault="001D2F1F" w:rsidP="00DD20CC">
            <w:pPr>
              <w:jc w:val="center"/>
              <w:rPr>
                <w:sz w:val="14"/>
                <w:szCs w:val="14"/>
              </w:rPr>
            </w:pPr>
            <w:r>
              <w:rPr>
                <w:sz w:val="14"/>
                <w:szCs w:val="14"/>
              </w:rPr>
              <w:t>Converging</w:t>
            </w:r>
          </w:p>
        </w:tc>
        <w:tc>
          <w:tcPr>
            <w:tcW w:w="1039" w:type="dxa"/>
            <w:vAlign w:val="center"/>
          </w:tcPr>
          <w:p w14:paraId="45148EC1" w14:textId="77777777" w:rsidR="00314B4B" w:rsidRPr="00354C14" w:rsidRDefault="00314B4B" w:rsidP="00DD20CC">
            <w:pPr>
              <w:jc w:val="center"/>
              <w:rPr>
                <w:sz w:val="14"/>
                <w:szCs w:val="14"/>
              </w:rPr>
            </w:pPr>
            <w:r>
              <w:rPr>
                <w:sz w:val="14"/>
                <w:szCs w:val="14"/>
              </w:rPr>
              <w:t>1</w:t>
            </w:r>
          </w:p>
        </w:tc>
        <w:tc>
          <w:tcPr>
            <w:tcW w:w="1039" w:type="dxa"/>
            <w:vAlign w:val="center"/>
          </w:tcPr>
          <w:p w14:paraId="40B54B8B" w14:textId="77777777" w:rsidR="00314B4B" w:rsidRPr="00354C14" w:rsidRDefault="00314B4B" w:rsidP="00DD20CC">
            <w:pPr>
              <w:jc w:val="center"/>
              <w:rPr>
                <w:sz w:val="14"/>
                <w:szCs w:val="14"/>
              </w:rPr>
            </w:pPr>
            <w:r w:rsidRPr="00354C14">
              <w:rPr>
                <w:sz w:val="14"/>
                <w:szCs w:val="14"/>
              </w:rPr>
              <w:t>4650</w:t>
            </w:r>
          </w:p>
        </w:tc>
      </w:tr>
      <w:tr w:rsidR="00314B4B" w:rsidRPr="00354C14" w14:paraId="19B02BA8" w14:textId="77777777" w:rsidTr="008F0046">
        <w:trPr>
          <w:trHeight w:val="42"/>
          <w:jc w:val="center"/>
        </w:trPr>
        <w:tc>
          <w:tcPr>
            <w:tcW w:w="1038" w:type="dxa"/>
          </w:tcPr>
          <w:p w14:paraId="11EC4D66" w14:textId="77777777" w:rsidR="00314B4B" w:rsidRPr="00354C14" w:rsidRDefault="00314B4B" w:rsidP="00DD20CC">
            <w:pPr>
              <w:rPr>
                <w:b/>
                <w:sz w:val="14"/>
                <w:szCs w:val="14"/>
              </w:rPr>
            </w:pPr>
            <w:r w:rsidRPr="00354C14">
              <w:rPr>
                <w:b/>
                <w:sz w:val="14"/>
                <w:szCs w:val="14"/>
              </w:rPr>
              <w:t>RM</w:t>
            </w:r>
            <w:r>
              <w:rPr>
                <w:b/>
                <w:sz w:val="14"/>
                <w:szCs w:val="14"/>
              </w:rPr>
              <w:t>7</w:t>
            </w:r>
          </w:p>
        </w:tc>
        <w:tc>
          <w:tcPr>
            <w:tcW w:w="1039" w:type="dxa"/>
            <w:vAlign w:val="center"/>
          </w:tcPr>
          <w:p w14:paraId="31620AF6" w14:textId="77777777" w:rsidR="00314B4B" w:rsidRPr="00354C14" w:rsidRDefault="00314B4B" w:rsidP="00DD20CC">
            <w:pPr>
              <w:jc w:val="center"/>
              <w:rPr>
                <w:sz w:val="14"/>
                <w:szCs w:val="14"/>
              </w:rPr>
            </w:pPr>
            <w:r w:rsidRPr="00354C14">
              <w:rPr>
                <w:sz w:val="14"/>
                <w:szCs w:val="14"/>
              </w:rPr>
              <w:t>186</w:t>
            </w:r>
          </w:p>
        </w:tc>
        <w:tc>
          <w:tcPr>
            <w:tcW w:w="1039" w:type="dxa"/>
            <w:vAlign w:val="center"/>
          </w:tcPr>
          <w:p w14:paraId="194B4F18" w14:textId="77777777" w:rsidR="00314B4B" w:rsidRPr="00354C14" w:rsidRDefault="00314B4B" w:rsidP="00DD20CC">
            <w:pPr>
              <w:jc w:val="center"/>
              <w:rPr>
                <w:sz w:val="14"/>
                <w:szCs w:val="14"/>
              </w:rPr>
            </w:pPr>
            <w:r w:rsidRPr="00354C14">
              <w:rPr>
                <w:sz w:val="14"/>
                <w:szCs w:val="14"/>
              </w:rPr>
              <w:t>40</w:t>
            </w:r>
          </w:p>
        </w:tc>
        <w:tc>
          <w:tcPr>
            <w:tcW w:w="1039" w:type="dxa"/>
            <w:vAlign w:val="center"/>
          </w:tcPr>
          <w:p w14:paraId="79260962" w14:textId="77777777" w:rsidR="00314B4B" w:rsidRPr="00354C14" w:rsidRDefault="00314B4B" w:rsidP="00DD20CC">
            <w:pPr>
              <w:jc w:val="center"/>
              <w:rPr>
                <w:sz w:val="14"/>
                <w:szCs w:val="14"/>
              </w:rPr>
            </w:pPr>
            <w:r w:rsidRPr="00354C14">
              <w:rPr>
                <w:sz w:val="14"/>
                <w:szCs w:val="14"/>
              </w:rPr>
              <w:t>-</w:t>
            </w:r>
          </w:p>
        </w:tc>
        <w:tc>
          <w:tcPr>
            <w:tcW w:w="1039" w:type="dxa"/>
            <w:vAlign w:val="center"/>
          </w:tcPr>
          <w:p w14:paraId="4342E13F" w14:textId="77777777" w:rsidR="00314B4B" w:rsidRPr="00354C14" w:rsidRDefault="00314B4B" w:rsidP="00DD20CC">
            <w:pPr>
              <w:jc w:val="center"/>
              <w:rPr>
                <w:sz w:val="14"/>
                <w:szCs w:val="14"/>
              </w:rPr>
            </w:pPr>
            <w:r w:rsidRPr="00354C14">
              <w:rPr>
                <w:sz w:val="14"/>
                <w:szCs w:val="14"/>
              </w:rPr>
              <w:t>-</w:t>
            </w:r>
          </w:p>
        </w:tc>
        <w:tc>
          <w:tcPr>
            <w:tcW w:w="1039" w:type="dxa"/>
            <w:vAlign w:val="center"/>
          </w:tcPr>
          <w:p w14:paraId="77C81669" w14:textId="7C1F0B50" w:rsidR="00314B4B" w:rsidRPr="00354C14" w:rsidRDefault="00DE41D1" w:rsidP="00DD20CC">
            <w:pPr>
              <w:jc w:val="center"/>
              <w:rPr>
                <w:sz w:val="14"/>
                <w:szCs w:val="14"/>
              </w:rPr>
            </w:pPr>
            <w:r>
              <w:rPr>
                <w:sz w:val="14"/>
                <w:szCs w:val="14"/>
              </w:rPr>
              <w:t>-1.9</w:t>
            </w:r>
          </w:p>
        </w:tc>
        <w:tc>
          <w:tcPr>
            <w:tcW w:w="1039" w:type="dxa"/>
            <w:vAlign w:val="center"/>
          </w:tcPr>
          <w:p w14:paraId="5210A2E5" w14:textId="0DED9E14" w:rsidR="00314B4B" w:rsidRPr="00354C14" w:rsidRDefault="001D2F1F" w:rsidP="00DD20CC">
            <w:pPr>
              <w:jc w:val="center"/>
              <w:rPr>
                <w:sz w:val="14"/>
                <w:szCs w:val="14"/>
              </w:rPr>
            </w:pPr>
            <w:r>
              <w:rPr>
                <w:sz w:val="14"/>
                <w:szCs w:val="14"/>
              </w:rPr>
              <w:t>Converging</w:t>
            </w:r>
          </w:p>
        </w:tc>
        <w:tc>
          <w:tcPr>
            <w:tcW w:w="1039" w:type="dxa"/>
            <w:vAlign w:val="center"/>
          </w:tcPr>
          <w:p w14:paraId="634602A2" w14:textId="77777777" w:rsidR="00314B4B" w:rsidRPr="00354C14" w:rsidRDefault="00314B4B" w:rsidP="00DD20CC">
            <w:pPr>
              <w:jc w:val="center"/>
              <w:rPr>
                <w:sz w:val="14"/>
                <w:szCs w:val="14"/>
              </w:rPr>
            </w:pPr>
            <w:r w:rsidRPr="00354C14">
              <w:rPr>
                <w:sz w:val="14"/>
                <w:szCs w:val="14"/>
              </w:rPr>
              <w:t>2</w:t>
            </w:r>
          </w:p>
        </w:tc>
        <w:tc>
          <w:tcPr>
            <w:tcW w:w="1039" w:type="dxa"/>
            <w:vAlign w:val="center"/>
          </w:tcPr>
          <w:p w14:paraId="0FDFD9B8" w14:textId="77777777" w:rsidR="00314B4B" w:rsidRPr="00354C14" w:rsidRDefault="00314B4B" w:rsidP="00DD20CC">
            <w:pPr>
              <w:keepNext/>
              <w:jc w:val="center"/>
              <w:rPr>
                <w:sz w:val="14"/>
                <w:szCs w:val="14"/>
              </w:rPr>
            </w:pPr>
            <w:r w:rsidRPr="00354C14">
              <w:rPr>
                <w:sz w:val="14"/>
                <w:szCs w:val="14"/>
              </w:rPr>
              <w:t>4650</w:t>
            </w:r>
          </w:p>
        </w:tc>
      </w:tr>
    </w:tbl>
    <w:p w14:paraId="5C500115" w14:textId="124572BF" w:rsidR="00314B4B" w:rsidRPr="00A47B43" w:rsidRDefault="001167F1" w:rsidP="001167F1">
      <w:pPr>
        <w:pStyle w:val="Caption"/>
        <w:jc w:val="both"/>
      </w:pPr>
      <w:bookmarkStart w:id="5" w:name="_Ref120981855"/>
      <w:bookmarkStart w:id="6" w:name="_Ref121667996"/>
      <w:r w:rsidRPr="001167F1">
        <w:rPr>
          <w:b/>
        </w:rPr>
        <w:t xml:space="preserve">Supplementary </w:t>
      </w:r>
      <w:r w:rsidR="00314B4B" w:rsidRPr="001167F1">
        <w:rPr>
          <w:b/>
        </w:rPr>
        <w:t xml:space="preserve">Table </w:t>
      </w:r>
      <w:r w:rsidR="00314B4B" w:rsidRPr="001167F1">
        <w:rPr>
          <w:b/>
        </w:rPr>
        <w:fldChar w:fldCharType="begin"/>
      </w:r>
      <w:r w:rsidR="00314B4B" w:rsidRPr="001167F1">
        <w:rPr>
          <w:b/>
        </w:rPr>
        <w:instrText xml:space="preserve"> SEQ Table \* ARABIC </w:instrText>
      </w:r>
      <w:r w:rsidR="00314B4B" w:rsidRPr="001167F1">
        <w:rPr>
          <w:b/>
        </w:rPr>
        <w:fldChar w:fldCharType="separate"/>
      </w:r>
      <w:r w:rsidR="00314B4B" w:rsidRPr="001167F1">
        <w:rPr>
          <w:b/>
          <w:noProof/>
        </w:rPr>
        <w:t>2</w:t>
      </w:r>
      <w:r w:rsidR="00314B4B" w:rsidRPr="001167F1">
        <w:rPr>
          <w:b/>
          <w:noProof/>
        </w:rPr>
        <w:fldChar w:fldCharType="end"/>
      </w:r>
      <w:bookmarkEnd w:id="5"/>
      <w:r w:rsidR="00314B4B">
        <w:t xml:space="preserve"> – Process parameters for fabrication of the parts and for the subsequent re-melting (RM) passes.</w:t>
      </w:r>
      <w:bookmarkEnd w:id="6"/>
    </w:p>
    <w:p w14:paraId="52EE1CF4" w14:textId="77777777" w:rsidR="00434ABB" w:rsidRDefault="00434ABB">
      <w:pPr>
        <w:rPr>
          <w:rFonts w:ascii="Calibri" w:eastAsiaTheme="majorEastAsia" w:hAnsi="Calibri" w:cstheme="majorBidi"/>
          <w:b/>
          <w:color w:val="000000" w:themeColor="text1"/>
          <w:sz w:val="24"/>
          <w:szCs w:val="26"/>
        </w:rPr>
      </w:pPr>
      <w:bookmarkStart w:id="7" w:name="_Ref121926134"/>
      <w:r>
        <w:rPr>
          <w:rFonts w:ascii="Calibri" w:eastAsiaTheme="majorEastAsia" w:hAnsi="Calibri" w:cstheme="majorBidi"/>
          <w:b/>
          <w:color w:val="000000" w:themeColor="text1"/>
          <w:sz w:val="24"/>
          <w:szCs w:val="26"/>
        </w:rPr>
        <w:br w:type="page"/>
      </w:r>
    </w:p>
    <w:p w14:paraId="1121C67E" w14:textId="4C82D9E6" w:rsidR="001E1777" w:rsidRPr="00C02702" w:rsidRDefault="001E1777" w:rsidP="00C02702">
      <w:pPr>
        <w:keepNext/>
        <w:keepLines/>
        <w:numPr>
          <w:ilvl w:val="1"/>
          <w:numId w:val="0"/>
        </w:numPr>
        <w:spacing w:before="40" w:after="0"/>
        <w:ind w:left="576" w:hanging="576"/>
        <w:jc w:val="both"/>
        <w:outlineLvl w:val="1"/>
        <w:rPr>
          <w:rFonts w:eastAsiaTheme="majorEastAsia"/>
        </w:rPr>
      </w:pPr>
      <w:r w:rsidRPr="00C02702">
        <w:rPr>
          <w:rFonts w:ascii="Calibri" w:eastAsiaTheme="majorEastAsia" w:hAnsi="Calibri" w:cstheme="majorBidi"/>
          <w:b/>
          <w:color w:val="000000" w:themeColor="text1"/>
          <w:sz w:val="24"/>
          <w:szCs w:val="26"/>
        </w:rPr>
        <w:lastRenderedPageBreak/>
        <w:t>Supplementary Method 4</w:t>
      </w:r>
    </w:p>
    <w:bookmarkEnd w:id="7"/>
    <w:p w14:paraId="4015ACC1" w14:textId="3C3BBED7" w:rsidR="001E1777" w:rsidRPr="00C02702" w:rsidRDefault="00F02829" w:rsidP="00C02702">
      <w:pPr>
        <w:keepNext/>
        <w:keepLines/>
        <w:numPr>
          <w:ilvl w:val="1"/>
          <w:numId w:val="0"/>
        </w:numPr>
        <w:spacing w:before="40" w:after="0"/>
        <w:ind w:left="576" w:hanging="576"/>
        <w:jc w:val="both"/>
        <w:outlineLvl w:val="1"/>
        <w:rPr>
          <w:rFonts w:eastAsiaTheme="majorEastAsia"/>
          <w:i/>
        </w:rPr>
      </w:pPr>
      <w:r>
        <w:rPr>
          <w:rFonts w:ascii="Calibri" w:eastAsiaTheme="majorEastAsia" w:hAnsi="Calibri" w:cstheme="majorBidi"/>
          <w:i/>
          <w:color w:val="000000" w:themeColor="text1"/>
          <w:sz w:val="24"/>
          <w:szCs w:val="26"/>
        </w:rPr>
        <w:t>Assessment of total energy absorption</w:t>
      </w:r>
    </w:p>
    <w:p w14:paraId="1A913FEF" w14:textId="77777777" w:rsidR="001E1777" w:rsidRDefault="001E1777" w:rsidP="001E1777"/>
    <w:p w14:paraId="514E62CE" w14:textId="243476EF" w:rsidR="00DD20CC" w:rsidRDefault="001E1777" w:rsidP="001E1777">
      <w:pPr>
        <w:jc w:val="both"/>
        <w:rPr>
          <w:rFonts w:eastAsiaTheme="minorEastAsia"/>
        </w:rPr>
      </w:pPr>
      <w:r>
        <w:t xml:space="preserve">The mean keyhole wall angle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θ</m:t>
                </m:r>
              </m:e>
            </m:acc>
          </m:e>
          <m:sub>
            <m:r>
              <w:rPr>
                <w:rFonts w:ascii="Cambria Math" w:hAnsi="Cambria Math"/>
              </w:rPr>
              <m:t>w</m:t>
            </m:r>
          </m:sub>
        </m:sSub>
      </m:oMath>
      <w:r>
        <w:rPr>
          <w:rFonts w:eastAsiaTheme="minorEastAsia"/>
        </w:rPr>
        <w:t xml:space="preserve"> for each radiograph was determined using the procedure explained in</w:t>
      </w:r>
      <w:r w:rsidR="005C741D">
        <w:rPr>
          <w:rFonts w:eastAsiaTheme="minorEastAsia"/>
        </w:rPr>
        <w:t xml:space="preserve"> Kaplan</w:t>
      </w:r>
      <w:r>
        <w:rPr>
          <w:rFonts w:eastAsiaTheme="minorEastAsia"/>
        </w:rPr>
        <w:t xml:space="preserve"> </w:t>
      </w:r>
      <w:r>
        <w:rPr>
          <w:rFonts w:eastAsiaTheme="minorEastAsia"/>
        </w:rPr>
        <w:fldChar w:fldCharType="begin" w:fldLock="1"/>
      </w:r>
      <w:r w:rsidR="001308BA">
        <w:rPr>
          <w:rFonts w:eastAsiaTheme="minorEastAsia"/>
        </w:rPr>
        <w:instrText>ADDIN CSL_CITATION {"citationItems":[{"id":"ITEM-1","itemData":{"DOI":"10.1088/0022-3727/27/9/002","ISSN":"13616463","abstract":"A model describing the process of deep-penetration laser welding has been developed by calculating the keyhole profile using a point-by-point determination of the energy balance at the keyhole wall. A formula for heat conduction was derived from the model of a moving line source of heat. The various absorption mechanisms were modelled. The corresponding absorbed power transferred to the keyhole wall balances the conduction losses, which yields the local inclination of the wall. The thermodynamics and the flow of metal vapour inside the keyhole have been calculated. Accordingly, beam damping due to the plasma plume above the workpiece and the mean plasma absorption coefficient in the keyhole could be estimated. The keyhole profile tends to a geometry that distributes the major part of the beam to the front wall owing to higher conduction losses at the upstream side. The reasons for decreasing energy absorption with increasing welding speed are discussed. © 1994 IOP Publishing Ltd.","author":[{"dropping-particle":"","family":"Kaplan","given":"A.","non-dropping-particle":"","parse-names":false,"suffix":""}],"container-title":"Journal of Physics D: Applied Physics","id":"ITEM-1","issue":"9","issued":{"date-parts":[["1994"]]},"page":"1805-1814","publisher":"IOP Publishing","title":"A model of deep penetration laser welding based on calculation of the keyhole profile","type":"article-journal","volume":"27"},"uris":["http://www.mendeley.com/documents/?uuid=d2860abd-266a-4667-ac6c-157f172c2f7b"]}],"mendeley":{"formattedCitation":"&lt;sup&gt;5&lt;/sup&gt;","plainTextFormattedCitation":"5","previouslyFormattedCitation":"&lt;sup&gt;5&lt;/sup&gt;"},"properties":{"noteIndex":0},"schema":"https://github.com/citation-style-language/schema/raw/master/csl-citation.json"}</w:instrText>
      </w:r>
      <w:r>
        <w:rPr>
          <w:rFonts w:eastAsiaTheme="minorEastAsia"/>
        </w:rPr>
        <w:fldChar w:fldCharType="separate"/>
      </w:r>
      <w:r w:rsidR="001308BA" w:rsidRPr="001308BA">
        <w:rPr>
          <w:rFonts w:eastAsiaTheme="minorEastAsia"/>
          <w:noProof/>
          <w:vertAlign w:val="superscript"/>
        </w:rPr>
        <w:t>5</w:t>
      </w:r>
      <w:r>
        <w:rPr>
          <w:rFonts w:eastAsiaTheme="minorEastAsia"/>
        </w:rPr>
        <w:fldChar w:fldCharType="end"/>
      </w:r>
      <w:r>
        <w:rPr>
          <w:rFonts w:eastAsiaTheme="minorEastAsia"/>
        </w:rPr>
        <w:t xml:space="preserve">, where the front and rear keyhole wall angles are measured between equally distanced points alongside the depth of the keyhole depression zone, followed up by an average of the measured angles. Consequently, the total number of reflections </w:t>
      </w:r>
      <m:oMath>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mr</m:t>
            </m:r>
          </m:sub>
        </m:sSub>
      </m:oMath>
      <w:r>
        <w:rPr>
          <w:rFonts w:eastAsiaTheme="minorEastAsia"/>
        </w:rPr>
        <w:t xml:space="preserve"> was calculated via </w:t>
      </w:r>
      <m:oMath>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mr</m:t>
            </m:r>
          </m:sub>
        </m:sSub>
        <m:r>
          <w:rPr>
            <w:rFonts w:ascii="Cambria Math" w:eastAsiaTheme="minorEastAsia" w:hAnsi="Cambria Math"/>
          </w:rPr>
          <m:t>=</m:t>
        </m:r>
        <m:f>
          <m:fPr>
            <m:type m:val="lin"/>
            <m:ctrlPr>
              <w:rPr>
                <w:rFonts w:ascii="Cambria Math" w:eastAsiaTheme="minorEastAsia" w:hAnsi="Cambria Math"/>
                <w:i/>
              </w:rPr>
            </m:ctrlPr>
          </m:fPr>
          <m:num>
            <m:r>
              <w:rPr>
                <w:rFonts w:ascii="Cambria Math" w:eastAsiaTheme="minorEastAsia" w:hAnsi="Cambria Math"/>
              </w:rPr>
              <m:t>π</m:t>
            </m:r>
          </m:num>
          <m:den>
            <m:r>
              <w:rPr>
                <w:rFonts w:ascii="Cambria Math" w:eastAsiaTheme="minorEastAsia" w:hAnsi="Cambria Math"/>
              </w:rPr>
              <m:t>4</m:t>
            </m:r>
            <m:sSub>
              <m:sSubPr>
                <m:ctrlPr>
                  <w:rPr>
                    <w:rFonts w:ascii="Cambria Math" w:eastAsiaTheme="minorEastAsia" w:hAnsi="Cambria Math"/>
                    <w:i/>
                  </w:rPr>
                </m:ctrlPr>
              </m:sSubPr>
              <m:e>
                <m:acc>
                  <m:accPr>
                    <m:chr m:val="̅"/>
                    <m:ctrlPr>
                      <w:rPr>
                        <w:rFonts w:ascii="Cambria Math" w:eastAsiaTheme="minorEastAsia" w:hAnsi="Cambria Math"/>
                        <w:i/>
                      </w:rPr>
                    </m:ctrlPr>
                  </m:accPr>
                  <m:e>
                    <m:r>
                      <w:rPr>
                        <w:rFonts w:ascii="Cambria Math" w:eastAsiaTheme="minorEastAsia" w:hAnsi="Cambria Math"/>
                      </w:rPr>
                      <m:t>θ</m:t>
                    </m:r>
                  </m:e>
                </m:acc>
              </m:e>
              <m:sub>
                <m:r>
                  <w:rPr>
                    <w:rFonts w:ascii="Cambria Math" w:eastAsiaTheme="minorEastAsia" w:hAnsi="Cambria Math"/>
                  </w:rPr>
                  <m:t>w</m:t>
                </m:r>
              </m:sub>
            </m:sSub>
          </m:den>
        </m:f>
      </m:oMath>
      <w:r>
        <w:rPr>
          <w:rFonts w:eastAsiaTheme="minorEastAsia"/>
        </w:rPr>
        <w:t xml:space="preserve">, assuming a limiting reflection angle of </w:t>
      </w:r>
      <m:oMath>
        <m:f>
          <m:fPr>
            <m:type m:val="lin"/>
            <m:ctrlPr>
              <w:rPr>
                <w:rFonts w:ascii="Cambria Math" w:eastAsiaTheme="minorEastAsia" w:hAnsi="Cambria Math"/>
                <w:i/>
              </w:rPr>
            </m:ctrlPr>
          </m:fPr>
          <m:num>
            <m:r>
              <w:rPr>
                <w:rFonts w:ascii="Cambria Math" w:eastAsiaTheme="minorEastAsia" w:hAnsi="Cambria Math"/>
              </w:rPr>
              <m:t>π</m:t>
            </m:r>
          </m:num>
          <m:den>
            <m:r>
              <w:rPr>
                <w:rFonts w:ascii="Cambria Math" w:eastAsiaTheme="minorEastAsia" w:hAnsi="Cambria Math"/>
              </w:rPr>
              <m:t>2</m:t>
            </m:r>
          </m:den>
        </m:f>
      </m:oMath>
      <w:r>
        <w:rPr>
          <w:rFonts w:eastAsiaTheme="minorEastAsia"/>
        </w:rPr>
        <w:t xml:space="preserve">, after which there would be no more reflections. Excluding the first reflection, the reflection coefficient for multiple reflections </w:t>
      </w:r>
      <m:oMath>
        <m:sSub>
          <m:sSubPr>
            <m:ctrlPr>
              <w:rPr>
                <w:rFonts w:ascii="Cambria Math" w:eastAsiaTheme="minorEastAsia" w:hAnsi="Cambria Math"/>
                <w:i/>
              </w:rPr>
            </m:ctrlPr>
          </m:sSubPr>
          <m:e>
            <m:r>
              <w:rPr>
                <w:rFonts w:ascii="Cambria Math" w:eastAsiaTheme="minorEastAsia" w:hAnsi="Cambria Math"/>
              </w:rPr>
              <m:t>ρ</m:t>
            </m:r>
          </m:e>
          <m:sub>
            <m:r>
              <w:rPr>
                <w:rFonts w:ascii="Cambria Math" w:eastAsiaTheme="minorEastAsia" w:hAnsi="Cambria Math"/>
              </w:rPr>
              <m:t>mr</m:t>
            </m:r>
          </m:sub>
        </m:sSub>
      </m:oMath>
      <w:r>
        <w:rPr>
          <w:rFonts w:eastAsiaTheme="minorEastAsia"/>
        </w:rPr>
        <w:t xml:space="preserve"> can be calculated according to </w:t>
      </w:r>
      <m:oMath>
        <m:sSub>
          <m:sSubPr>
            <m:ctrlPr>
              <w:rPr>
                <w:rFonts w:ascii="Cambria Math" w:eastAsiaTheme="minorEastAsia" w:hAnsi="Cambria Math"/>
                <w:i/>
              </w:rPr>
            </m:ctrlPr>
          </m:sSubPr>
          <m:e>
            <m:r>
              <w:rPr>
                <w:rFonts w:ascii="Cambria Math" w:eastAsiaTheme="minorEastAsia" w:hAnsi="Cambria Math"/>
              </w:rPr>
              <m:t>ρ</m:t>
            </m:r>
          </m:e>
          <m:sub>
            <m:r>
              <w:rPr>
                <w:rFonts w:ascii="Cambria Math" w:eastAsiaTheme="minorEastAsia" w:hAnsi="Cambria Math"/>
              </w:rPr>
              <m:t>mr</m:t>
            </m:r>
          </m:sub>
        </m:sSub>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ρ</m:t>
                </m:r>
              </m:e>
              <m:sub>
                <m:r>
                  <w:rPr>
                    <w:rFonts w:ascii="Cambria Math" w:eastAsiaTheme="minorEastAsia" w:hAnsi="Cambria Math"/>
                  </w:rPr>
                  <m:t>Fr</m:t>
                </m:r>
              </m:sub>
            </m:sSub>
            <m:r>
              <w:rPr>
                <w:rFonts w:ascii="Cambria Math" w:eastAsiaTheme="minorEastAsia" w:hAnsi="Cambria Math"/>
              </w:rPr>
              <m:t>(θ=</m:t>
            </m:r>
            <m:f>
              <m:fPr>
                <m:type m:val="lin"/>
                <m:ctrlPr>
                  <w:rPr>
                    <w:rFonts w:ascii="Cambria Math" w:eastAsiaTheme="minorEastAsia" w:hAnsi="Cambria Math"/>
                    <w:i/>
                  </w:rPr>
                </m:ctrlPr>
              </m:fPr>
              <m:num>
                <m:r>
                  <w:rPr>
                    <w:rFonts w:ascii="Cambria Math" w:eastAsiaTheme="minorEastAsia" w:hAnsi="Cambria Math"/>
                  </w:rPr>
                  <m:t>π</m:t>
                </m:r>
              </m:num>
              <m:den>
                <m:r>
                  <w:rPr>
                    <w:rFonts w:ascii="Cambria Math" w:eastAsiaTheme="minorEastAsia" w:hAnsi="Cambria Math"/>
                  </w:rPr>
                  <m:t>2)</m:t>
                </m:r>
              </m:den>
            </m:f>
            <m:r>
              <w:rPr>
                <w:rFonts w:ascii="Cambria Math" w:eastAsiaTheme="minorEastAsia" w:hAnsi="Cambria Math"/>
              </w:rPr>
              <m:t>]</m:t>
            </m:r>
          </m:e>
          <m:sup>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mr</m:t>
                </m:r>
              </m:sub>
            </m:sSub>
            <m:r>
              <w:rPr>
                <w:rFonts w:ascii="Cambria Math" w:eastAsiaTheme="minorEastAsia" w:hAnsi="Cambria Math"/>
              </w:rPr>
              <m:t>-1)</m:t>
            </m:r>
          </m:sup>
        </m:sSup>
      </m:oMath>
      <w:r>
        <w:rPr>
          <w:rFonts w:eastAsiaTheme="minorEastAsia"/>
        </w:rPr>
        <w:t xml:space="preserve"> where, </w:t>
      </w:r>
      <m:oMath>
        <m:sSub>
          <m:sSubPr>
            <m:ctrlPr>
              <w:rPr>
                <w:rFonts w:ascii="Cambria Math" w:eastAsiaTheme="minorEastAsia" w:hAnsi="Cambria Math"/>
                <w:i/>
              </w:rPr>
            </m:ctrlPr>
          </m:sSubPr>
          <m:e>
            <m:r>
              <w:rPr>
                <w:rFonts w:ascii="Cambria Math" w:eastAsiaTheme="minorEastAsia" w:hAnsi="Cambria Math"/>
              </w:rPr>
              <m:t>ρ</m:t>
            </m:r>
          </m:e>
          <m:sub>
            <m:r>
              <w:rPr>
                <w:rFonts w:ascii="Cambria Math" w:eastAsiaTheme="minorEastAsia" w:hAnsi="Cambria Math"/>
              </w:rPr>
              <m:t>Fr</m:t>
            </m:r>
          </m:sub>
        </m:sSub>
      </m:oMath>
      <w:r>
        <w:rPr>
          <w:rFonts w:eastAsiaTheme="minorEastAsia"/>
        </w:rPr>
        <w:t xml:space="preserve"> is the Fresnel reflectivity assuming a normal incident angle. Accordingly, the absorption coefficient for multiple reflections is  </w:t>
      </w:r>
      <m:oMath>
        <m:sSub>
          <m:sSubPr>
            <m:ctrlPr>
              <w:rPr>
                <w:rFonts w:ascii="Cambria Math" w:eastAsiaTheme="minorEastAsia" w:hAnsi="Cambria Math"/>
                <w:i/>
              </w:rPr>
            </m:ctrlPr>
          </m:sSubPr>
          <m:e>
            <m:r>
              <w:rPr>
                <w:rFonts w:ascii="Cambria Math" w:eastAsiaTheme="minorEastAsia" w:hAnsi="Cambria Math"/>
              </w:rPr>
              <m:t>α</m:t>
            </m:r>
          </m:e>
          <m:sub>
            <m:r>
              <w:rPr>
                <w:rFonts w:ascii="Cambria Math" w:eastAsiaTheme="minorEastAsia" w:hAnsi="Cambria Math"/>
              </w:rPr>
              <m:t>mr</m:t>
            </m:r>
          </m:sub>
        </m:sSub>
        <m:r>
          <w:rPr>
            <w:rFonts w:ascii="Cambria Math" w:eastAsiaTheme="minorEastAsia" w:hAnsi="Cambria Math"/>
          </w:rPr>
          <m:t>=1-</m:t>
        </m:r>
        <m:sSub>
          <m:sSubPr>
            <m:ctrlPr>
              <w:rPr>
                <w:rFonts w:ascii="Cambria Math" w:eastAsiaTheme="minorEastAsia" w:hAnsi="Cambria Math"/>
                <w:i/>
              </w:rPr>
            </m:ctrlPr>
          </m:sSubPr>
          <m:e>
            <m:r>
              <w:rPr>
                <w:rFonts w:ascii="Cambria Math" w:eastAsiaTheme="minorEastAsia" w:hAnsi="Cambria Math"/>
              </w:rPr>
              <m:t>ρ</m:t>
            </m:r>
          </m:e>
          <m:sub>
            <m:r>
              <w:rPr>
                <w:rFonts w:ascii="Cambria Math" w:eastAsiaTheme="minorEastAsia" w:hAnsi="Cambria Math"/>
              </w:rPr>
              <m:t>mr</m:t>
            </m:r>
          </m:sub>
        </m:sSub>
      </m:oMath>
      <w:r>
        <w:rPr>
          <w:rFonts w:eastAsiaTheme="minorEastAsia"/>
        </w:rPr>
        <w:t xml:space="preserve">. The total absorption, including the first absorption, was then calculated using </w:t>
      </w:r>
      <m:oMath>
        <m:sSub>
          <m:sSubPr>
            <m:ctrlPr>
              <w:rPr>
                <w:rFonts w:ascii="Cambria Math" w:eastAsiaTheme="minorEastAsia" w:hAnsi="Cambria Math"/>
                <w:i/>
              </w:rPr>
            </m:ctrlPr>
          </m:sSubPr>
          <m:e>
            <m:r>
              <w:rPr>
                <w:rFonts w:ascii="Cambria Math" w:eastAsiaTheme="minorEastAsia" w:hAnsi="Cambria Math"/>
              </w:rPr>
              <m:t>α</m:t>
            </m:r>
          </m:e>
          <m:sub>
            <m:r>
              <w:rPr>
                <w:rFonts w:ascii="Cambria Math" w:eastAsiaTheme="minorEastAsia" w:hAnsi="Cambria Math"/>
              </w:rPr>
              <m:t>tot</m:t>
            </m:r>
          </m:sub>
        </m:sSub>
        <m:r>
          <w:rPr>
            <w:rFonts w:ascii="Cambria Math" w:eastAsiaTheme="minorEastAsia" w:hAnsi="Cambria Math"/>
          </w:rPr>
          <m:t>=1-</m:t>
        </m:r>
        <m:d>
          <m:dPr>
            <m:ctrlPr>
              <w:rPr>
                <w:rFonts w:ascii="Cambria Math" w:eastAsiaTheme="minorEastAsia" w:hAnsi="Cambria Math"/>
                <w:i/>
              </w:rPr>
            </m:ctrlPr>
          </m:dPr>
          <m:e>
            <m:r>
              <w:rPr>
                <w:rFonts w:ascii="Cambria Math" w:eastAsiaTheme="minorEastAsia" w:hAnsi="Cambria Math"/>
              </w:rPr>
              <m:t>1-</m:t>
            </m:r>
            <m:sSub>
              <m:sSubPr>
                <m:ctrlPr>
                  <w:rPr>
                    <w:rFonts w:ascii="Cambria Math" w:eastAsiaTheme="minorEastAsia" w:hAnsi="Cambria Math"/>
                    <w:i/>
                  </w:rPr>
                </m:ctrlPr>
              </m:sSubPr>
              <m:e>
                <m:r>
                  <w:rPr>
                    <w:rFonts w:ascii="Cambria Math" w:eastAsiaTheme="minorEastAsia" w:hAnsi="Cambria Math"/>
                  </w:rPr>
                  <m:t>α</m:t>
                </m:r>
              </m:e>
              <m:sub>
                <m:r>
                  <w:rPr>
                    <w:rFonts w:ascii="Cambria Math" w:eastAsiaTheme="minorEastAsia" w:hAnsi="Cambria Math"/>
                  </w:rPr>
                  <m:t>Fr</m:t>
                </m:r>
              </m:sub>
            </m:sSub>
          </m:e>
        </m:d>
        <m:r>
          <w:rPr>
            <w:rFonts w:ascii="Cambria Math" w:eastAsiaTheme="minorEastAsia" w:hAnsi="Cambria Math"/>
          </w:rPr>
          <m:t>*(1-</m:t>
        </m:r>
        <m:sSub>
          <m:sSubPr>
            <m:ctrlPr>
              <w:rPr>
                <w:rFonts w:ascii="Cambria Math" w:eastAsiaTheme="minorEastAsia" w:hAnsi="Cambria Math"/>
                <w:i/>
              </w:rPr>
            </m:ctrlPr>
          </m:sSubPr>
          <m:e>
            <m:r>
              <w:rPr>
                <w:rFonts w:ascii="Cambria Math" w:eastAsiaTheme="minorEastAsia" w:hAnsi="Cambria Math"/>
              </w:rPr>
              <m:t>α</m:t>
            </m:r>
          </m:e>
          <m:sub>
            <m:r>
              <w:rPr>
                <w:rFonts w:ascii="Cambria Math" w:eastAsiaTheme="minorEastAsia" w:hAnsi="Cambria Math"/>
              </w:rPr>
              <m:t>mr</m:t>
            </m:r>
          </m:sub>
        </m:sSub>
        <m:r>
          <w:rPr>
            <w:rFonts w:ascii="Cambria Math" w:eastAsiaTheme="minorEastAsia" w:hAnsi="Cambria Math"/>
          </w:rPr>
          <m:t>)</m:t>
        </m:r>
      </m:oMath>
      <w:r>
        <w:rPr>
          <w:rFonts w:eastAsiaTheme="minorEastAsia"/>
        </w:rPr>
        <w:t xml:space="preserve">, where </w:t>
      </w:r>
      <m:oMath>
        <m:sSub>
          <m:sSubPr>
            <m:ctrlPr>
              <w:rPr>
                <w:rFonts w:ascii="Cambria Math" w:eastAsiaTheme="minorEastAsia" w:hAnsi="Cambria Math"/>
                <w:i/>
              </w:rPr>
            </m:ctrlPr>
          </m:sSubPr>
          <m:e>
            <m:r>
              <w:rPr>
                <w:rFonts w:ascii="Cambria Math" w:eastAsiaTheme="minorEastAsia" w:hAnsi="Cambria Math"/>
              </w:rPr>
              <m:t>α</m:t>
            </m:r>
          </m:e>
          <m:sub>
            <m:r>
              <w:rPr>
                <w:rFonts w:ascii="Cambria Math" w:eastAsiaTheme="minorEastAsia" w:hAnsi="Cambria Math"/>
              </w:rPr>
              <m:t>Fr</m:t>
            </m:r>
          </m:sub>
        </m:sSub>
      </m:oMath>
      <w:r>
        <w:rPr>
          <w:rFonts w:eastAsiaTheme="minorEastAsia"/>
        </w:rPr>
        <w:t xml:space="preserve"> is the Fresnel absorptivity taken from </w:t>
      </w:r>
      <w:r>
        <w:rPr>
          <w:rFonts w:eastAsiaTheme="minorEastAsia"/>
        </w:rPr>
        <w:fldChar w:fldCharType="begin" w:fldLock="1"/>
      </w:r>
      <w:r w:rsidR="001308BA">
        <w:rPr>
          <w:rFonts w:eastAsiaTheme="minorEastAsia"/>
        </w:rPr>
        <w:instrText>ADDIN CSL_CITATION {"citationItems":[{"id":"ITEM-1","itemData":{"DOI":"10.1038/s41467-022-28694-x","ISSN":"2041-1723","abstract":"Keyhole porosity is a key concern in laser powder-bed fusion (LPBF), potentially impacting component fatigue life. However, some keyhole porosity formation mechanisms, e.g., keyhole fluctuation, collapse and bubble growth and shrinkage, remain unclear. Using synchrotron X-ray imaging we reveal keyhole and bubble behaviour, quantifying their formation dynamics. The findings support the hypotheses that: (i) keyhole porosity can initiate not only in unstable, but also in the transition keyhole regimes created by high laser power-velocity conditions, causing fast radial keyhole fluctuations (2.5–10 kHz); (ii) transition regime collapse tends to occur part way up the rear-wall; and (iii) immediately after keyhole collapse, bubbles undergo rapid growth due to pressure equilibration, then shrink due to metal-vapour condensation. Concurrent with condensation, hydrogen diffusion into the bubble slows the shrinkage and stabilises the bubble size. The keyhole fluctuation and bubble evolution mechanisms revealed here may guide the development of control systems for minimising porosity.","author":[{"dropping-particle":"","family":"Huang","given":"Yuze","non-dropping-particle":"","parse-names":false,"suffix":""},{"dropping-particle":"","family":"Fleming","given":"Tristan G","non-dropping-particle":"","parse-names":false,"suffix":""},{"dropping-particle":"","family":"Clark","given":"Samuel J","non-dropping-particle":"","parse-names":false,"suffix":""},{"dropping-particle":"","family":"Marussi","given":"Sebastian","non-dropping-particle":"","parse-names":false,"suffix":""},{"dropping-particle":"","family":"Fezzaa","given":"Kamel","non-dropping-particle":"","parse-names":false,"suffix":""},{"dropping-particle":"","family":"Thiyagalingam","given":"Jeyan","non-dropping-particle":"","parse-names":false,"suffix":""},{"dropping-particle":"","family":"Leung","given":"Chu Lun Alex","non-dropping-particle":"","parse-names":false,"suffix":""},{"dropping-particle":"","family":"Lee","given":"Peter D","non-dropping-particle":"","parse-names":false,"suffix":""}],"container-title":"Nature Communications","id":"ITEM-1","issue":"1","issued":{"date-parts":[["2022","3","14"]]},"language":"en","page":"1170","title":"Keyhole fluctuation and pore formation mechanisms during laser powder bed fusion additive manufacturing","type":"article-journal","volume":"13"},"uris":["http://www.mendeley.com/documents/?uuid=caa68bd9-6406-4f33-a0ed-7371d30574a6"]}],"mendeley":{"formattedCitation":"&lt;sup&gt;6&lt;/sup&gt;","plainTextFormattedCitation":"6","previouslyFormattedCitation":"&lt;sup&gt;6&lt;/sup&gt;"},"properties":{"noteIndex":0},"schema":"https://github.com/citation-style-language/schema/raw/master/csl-citation.json"}</w:instrText>
      </w:r>
      <w:r>
        <w:rPr>
          <w:rFonts w:eastAsiaTheme="minorEastAsia"/>
        </w:rPr>
        <w:fldChar w:fldCharType="separate"/>
      </w:r>
      <w:r w:rsidR="001308BA" w:rsidRPr="001308BA">
        <w:rPr>
          <w:rFonts w:eastAsiaTheme="minorEastAsia"/>
          <w:noProof/>
          <w:vertAlign w:val="superscript"/>
        </w:rPr>
        <w:t>6</w:t>
      </w:r>
      <w:r>
        <w:rPr>
          <w:rFonts w:eastAsiaTheme="minorEastAsia"/>
        </w:rPr>
        <w:fldChar w:fldCharType="end"/>
      </w:r>
      <w:r>
        <w:rPr>
          <w:rFonts w:eastAsiaTheme="minorEastAsia"/>
        </w:rPr>
        <w:t>.</w:t>
      </w:r>
    </w:p>
    <w:p w14:paraId="713FC9BF" w14:textId="77777777" w:rsidR="00DD20CC" w:rsidRDefault="00DD20CC">
      <w:pPr>
        <w:rPr>
          <w:rFonts w:eastAsiaTheme="minorEastAsia"/>
        </w:rPr>
      </w:pPr>
      <w:r>
        <w:rPr>
          <w:rFonts w:eastAsiaTheme="minorEastAsia"/>
        </w:rPr>
        <w:br w:type="page"/>
      </w:r>
    </w:p>
    <w:p w14:paraId="63376E51" w14:textId="2EFE2A54" w:rsidR="00DD20CC" w:rsidRPr="008F0046" w:rsidRDefault="00DD20CC" w:rsidP="008F0046">
      <w:pPr>
        <w:keepNext/>
        <w:keepLines/>
        <w:numPr>
          <w:ilvl w:val="1"/>
          <w:numId w:val="0"/>
        </w:numPr>
        <w:spacing w:before="40" w:after="0"/>
        <w:ind w:left="576" w:hanging="576"/>
        <w:jc w:val="both"/>
        <w:outlineLvl w:val="1"/>
        <w:rPr>
          <w:rFonts w:eastAsiaTheme="majorEastAsia"/>
        </w:rPr>
      </w:pPr>
      <w:bookmarkStart w:id="8" w:name="_Ref115687181"/>
      <w:r w:rsidRPr="00C02702">
        <w:rPr>
          <w:rFonts w:ascii="Calibri" w:eastAsiaTheme="majorEastAsia" w:hAnsi="Calibri" w:cstheme="majorBidi"/>
          <w:b/>
          <w:color w:val="000000" w:themeColor="text1"/>
          <w:sz w:val="24"/>
          <w:szCs w:val="26"/>
        </w:rPr>
        <w:lastRenderedPageBreak/>
        <w:t xml:space="preserve">Supplementary Method </w:t>
      </w:r>
      <w:r>
        <w:rPr>
          <w:rFonts w:ascii="Calibri" w:eastAsiaTheme="majorEastAsia" w:hAnsi="Calibri" w:cstheme="majorBidi"/>
          <w:b/>
          <w:color w:val="000000" w:themeColor="text1"/>
          <w:sz w:val="24"/>
          <w:szCs w:val="26"/>
        </w:rPr>
        <w:t>5</w:t>
      </w:r>
    </w:p>
    <w:p w14:paraId="1BB46621" w14:textId="54C34B95" w:rsidR="00DD20CC" w:rsidRPr="008F0046" w:rsidRDefault="00DD20CC" w:rsidP="008F0046">
      <w:pPr>
        <w:keepNext/>
        <w:keepLines/>
        <w:numPr>
          <w:ilvl w:val="1"/>
          <w:numId w:val="0"/>
        </w:numPr>
        <w:spacing w:before="40" w:after="0"/>
        <w:ind w:left="576" w:hanging="576"/>
        <w:jc w:val="both"/>
        <w:outlineLvl w:val="1"/>
        <w:rPr>
          <w:rFonts w:ascii="Calibri" w:eastAsiaTheme="majorEastAsia" w:hAnsi="Calibri" w:cstheme="majorBidi"/>
          <w:i/>
          <w:color w:val="000000" w:themeColor="text1"/>
          <w:sz w:val="24"/>
          <w:szCs w:val="26"/>
        </w:rPr>
      </w:pPr>
      <w:r w:rsidRPr="008F0046">
        <w:rPr>
          <w:rFonts w:ascii="Calibri" w:eastAsiaTheme="majorEastAsia" w:hAnsi="Calibri" w:cstheme="majorBidi"/>
          <w:i/>
          <w:color w:val="000000" w:themeColor="text1"/>
          <w:sz w:val="24"/>
          <w:szCs w:val="26"/>
        </w:rPr>
        <w:t>Signal pre-processing</w:t>
      </w:r>
      <w:bookmarkEnd w:id="8"/>
      <w:r w:rsidRPr="008F0046">
        <w:rPr>
          <w:rFonts w:ascii="Calibri" w:eastAsiaTheme="majorEastAsia" w:hAnsi="Calibri" w:cstheme="majorBidi"/>
          <w:i/>
          <w:color w:val="000000" w:themeColor="text1"/>
          <w:sz w:val="24"/>
          <w:szCs w:val="26"/>
        </w:rPr>
        <w:t xml:space="preserve"> </w:t>
      </w:r>
    </w:p>
    <w:p w14:paraId="72BEC824" w14:textId="77777777" w:rsidR="00DD20CC" w:rsidRPr="00A62145" w:rsidRDefault="00DD20CC" w:rsidP="00DD20CC"/>
    <w:p w14:paraId="1C110A36" w14:textId="30DD78B7" w:rsidR="00DD20CC" w:rsidRDefault="00DD20CC" w:rsidP="00DD20CC">
      <w:pPr>
        <w:jc w:val="both"/>
      </w:pPr>
      <w:r>
        <w:t>In our experiments, the acoustic data acquisition was triggered manually shortly before the start of the laser irradiation. However, due to the high signal-to-noise ratio</w:t>
      </w:r>
      <w:r w:rsidR="005C741D">
        <w:t xml:space="preserve"> (SNR)</w:t>
      </w:r>
      <w:r>
        <w:t xml:space="preserve">, the beginning and the end of laser processing were clearly detectable in the XARION raw acoustic data, allowing for the removal of the signal sections corresponding to the laser being off by simple thresholding. This operation is hereafter referred to as preliminary segmentation. The so-processed signals are then normalized using the RobustScaler algorithm according to the following formula: </w:t>
      </w:r>
    </w:p>
    <w:p w14:paraId="54C17A48" w14:textId="75B53FC0" w:rsidR="00DD20CC" w:rsidRDefault="00BD7108" w:rsidP="00DD20CC">
      <w:pPr>
        <w:jc w:val="center"/>
      </w:pPr>
      <m:oMath>
        <m:sSub>
          <m:sSubPr>
            <m:ctrlPr>
              <w:rPr>
                <w:rFonts w:ascii="Cambria Math" w:hAnsi="Cambria Math"/>
                <w:i/>
              </w:rPr>
            </m:ctrlPr>
          </m:sSubPr>
          <m:e>
            <m:r>
              <w:rPr>
                <w:rFonts w:ascii="Cambria Math" w:hAnsi="Cambria Math"/>
              </w:rPr>
              <m:t>x</m:t>
            </m:r>
          </m:e>
          <m:sub>
            <m:r>
              <w:rPr>
                <w:rFonts w:ascii="Cambria Math" w:hAnsi="Cambria Math"/>
              </w:rPr>
              <m:t>n,  i</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r</m:t>
                </m:r>
              </m:e>
              <m:sub>
                <m:r>
                  <w:rPr>
                    <w:rFonts w:ascii="Cambria Math" w:hAnsi="Cambria Math"/>
                  </w:rPr>
                  <m:t>n,i</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n</m:t>
                </m:r>
              </m:sub>
            </m:sSub>
            <m:r>
              <w:rPr>
                <w:rFonts w:ascii="Cambria Math" w:hAnsi="Cambria Math"/>
              </w:rPr>
              <m:t>)</m:t>
            </m:r>
          </m:num>
          <m:den>
            <m:sSub>
              <m:sSubPr>
                <m:ctrlPr>
                  <w:rPr>
                    <w:rFonts w:ascii="Cambria Math" w:hAnsi="Cambria Math"/>
                    <w:i/>
                  </w:rPr>
                </m:ctrlPr>
              </m:sSubPr>
              <m:e>
                <m:r>
                  <w:rPr>
                    <w:rFonts w:ascii="Cambria Math" w:hAnsi="Cambria Math"/>
                  </w:rPr>
                  <m:t>P</m:t>
                </m:r>
              </m:e>
              <m:sub>
                <m:r>
                  <w:rPr>
                    <w:rFonts w:ascii="Cambria Math" w:hAnsi="Cambria Math"/>
                  </w:rPr>
                  <m:t>99</m:t>
                </m:r>
              </m:sub>
            </m:sSub>
            <m:d>
              <m:dPr>
                <m:ctrlPr>
                  <w:rPr>
                    <w:rFonts w:ascii="Cambria Math" w:hAnsi="Cambria Math"/>
                    <w:i/>
                  </w:rPr>
                </m:ctrlPr>
              </m:dPr>
              <m:e>
                <m:sSub>
                  <m:sSubPr>
                    <m:ctrlPr>
                      <w:rPr>
                        <w:rFonts w:ascii="Cambria Math" w:hAnsi="Cambria Math"/>
                        <w:i/>
                      </w:rPr>
                    </m:ctrlPr>
                  </m:sSubPr>
                  <m:e>
                    <m:r>
                      <w:rPr>
                        <w:rFonts w:ascii="Cambria Math" w:hAnsi="Cambria Math"/>
                      </w:rPr>
                      <m:t>r</m:t>
                    </m:r>
                  </m:e>
                  <m:sub>
                    <m:r>
                      <w:rPr>
                        <w:rFonts w:ascii="Cambria Math" w:hAnsi="Cambria Math"/>
                      </w:rPr>
                      <m:t>n</m:t>
                    </m:r>
                  </m:sub>
                </m:sSub>
              </m:e>
            </m:d>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n</m:t>
                </m:r>
              </m:sub>
            </m:sSub>
            <m:r>
              <w:rPr>
                <w:rFonts w:ascii="Cambria Math" w:hAnsi="Cambria Math"/>
              </w:rPr>
              <m:t>)</m:t>
            </m:r>
          </m:den>
        </m:f>
        <m:r>
          <w:rPr>
            <w:rFonts w:ascii="Cambria Math" w:hAnsi="Cambria Math"/>
          </w:rPr>
          <m:t>,</m:t>
        </m:r>
      </m:oMath>
      <w:r w:rsidR="00DD20CC">
        <w:rPr>
          <w:rFonts w:eastAsiaTheme="minorEastAsia"/>
        </w:rPr>
        <w:t xml:space="preserve"> (2)</w:t>
      </w:r>
    </w:p>
    <w:p w14:paraId="1D7CECA2" w14:textId="61707A04" w:rsidR="00DD20CC" w:rsidRDefault="00DD20CC" w:rsidP="00DD20CC">
      <w:pPr>
        <w:jc w:val="both"/>
      </w:pPr>
      <w:r>
        <w:rPr>
          <w:rFonts w:eastAsiaTheme="minorEastAsia"/>
        </w:rPr>
        <w:t xml:space="preserve">where </w:t>
      </w:r>
      <m:oMath>
        <m:sSub>
          <m:sSubPr>
            <m:ctrlPr>
              <w:rPr>
                <w:rFonts w:ascii="Cambria Math" w:hAnsi="Cambria Math"/>
                <w:i/>
              </w:rPr>
            </m:ctrlPr>
          </m:sSubPr>
          <m:e>
            <m:r>
              <w:rPr>
                <w:rFonts w:ascii="Cambria Math" w:hAnsi="Cambria Math"/>
              </w:rPr>
              <m:t>r</m:t>
            </m:r>
          </m:e>
          <m:sub>
            <m:r>
              <w:rPr>
                <w:rFonts w:ascii="Cambria Math" w:hAnsi="Cambria Math"/>
              </w:rPr>
              <m:t>n,i</m:t>
            </m:r>
          </m:sub>
        </m:sSub>
        <m:r>
          <w:rPr>
            <w:rFonts w:ascii="Cambria Math" w:hAnsi="Cambria Math"/>
          </w:rPr>
          <m:t xml:space="preserve"> </m:t>
        </m:r>
      </m:oMath>
      <w:r>
        <w:rPr>
          <w:rFonts w:eastAsiaTheme="minorEastAsia"/>
        </w:rPr>
        <w:t xml:space="preserve">and </w:t>
      </w:r>
      <m:oMath>
        <m:sSub>
          <m:sSubPr>
            <m:ctrlPr>
              <w:rPr>
                <w:rFonts w:ascii="Cambria Math" w:hAnsi="Cambria Math"/>
                <w:i/>
              </w:rPr>
            </m:ctrlPr>
          </m:sSubPr>
          <m:e>
            <m:r>
              <w:rPr>
                <w:rFonts w:ascii="Cambria Math" w:hAnsi="Cambria Math"/>
              </w:rPr>
              <m:t>x</m:t>
            </m:r>
          </m:e>
          <m:sub>
            <m:r>
              <w:rPr>
                <w:rFonts w:ascii="Cambria Math" w:hAnsi="Cambria Math"/>
              </w:rPr>
              <m:t>n,i</m:t>
            </m:r>
          </m:sub>
        </m:sSub>
        <m:r>
          <w:rPr>
            <w:rFonts w:ascii="Cambria Math" w:hAnsi="Cambria Math"/>
          </w:rPr>
          <m:t xml:space="preserve"> </m:t>
        </m:r>
      </m:oMath>
      <w:r>
        <w:rPr>
          <w:rFonts w:eastAsiaTheme="minorEastAsia"/>
        </w:rPr>
        <w:t xml:space="preserve">denote the </w:t>
      </w:r>
      <w:r w:rsidRPr="0018441B">
        <w:rPr>
          <w:rFonts w:eastAsiaTheme="minorEastAsia"/>
          <w:i/>
        </w:rPr>
        <w:t>i</w:t>
      </w:r>
      <w:r>
        <w:rPr>
          <w:rFonts w:eastAsiaTheme="minorEastAsia"/>
        </w:rPr>
        <w:t xml:space="preserve">-th data point of the </w:t>
      </w:r>
      <w:r w:rsidRPr="00144155">
        <w:rPr>
          <w:rFonts w:eastAsiaTheme="minorEastAsia"/>
          <w:i/>
        </w:rPr>
        <w:t>n</w:t>
      </w:r>
      <w:r>
        <w:rPr>
          <w:rFonts w:eastAsiaTheme="minorEastAsia"/>
        </w:rPr>
        <w:t xml:space="preserve">-th raw AE signal </w:t>
      </w:r>
      <m:oMath>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n</m:t>
            </m:r>
          </m:sub>
        </m:sSub>
      </m:oMath>
      <w:r>
        <w:rPr>
          <w:rFonts w:eastAsiaTheme="minorEastAsia"/>
        </w:rPr>
        <w:t xml:space="preserve"> and the </w:t>
      </w:r>
      <w:r w:rsidRPr="004F41D3">
        <w:rPr>
          <w:rFonts w:eastAsiaTheme="minorEastAsia"/>
          <w:i/>
        </w:rPr>
        <w:t>n</w:t>
      </w:r>
      <w:r>
        <w:rPr>
          <w:rFonts w:eastAsiaTheme="minorEastAsia"/>
        </w:rPr>
        <w:t>-th pre-processed AE signal</w:t>
      </w:r>
      <m:oMath>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n</m:t>
            </m:r>
          </m:sub>
        </m:sSub>
      </m:oMath>
      <w:r>
        <w:rPr>
          <w:rFonts w:eastAsiaTheme="minorEastAsia"/>
        </w:rPr>
        <w:t xml:space="preserve">, respectively, and </w:t>
      </w:r>
      <m:oMath>
        <m:sSub>
          <m:sSubPr>
            <m:ctrlPr>
              <w:rPr>
                <w:rFonts w:ascii="Cambria Math" w:hAnsi="Cambria Math"/>
                <w:i/>
              </w:rPr>
            </m:ctrlPr>
          </m:sSubPr>
          <m:e>
            <m:r>
              <w:rPr>
                <w:rFonts w:ascii="Cambria Math" w:hAnsi="Cambria Math"/>
              </w:rPr>
              <m:t>P</m:t>
            </m:r>
          </m:e>
          <m:sub>
            <m:r>
              <w:rPr>
                <w:rFonts w:ascii="Cambria Math" w:hAnsi="Cambria Math"/>
              </w:rPr>
              <m:t>99</m:t>
            </m:r>
          </m:sub>
        </m:sSub>
        <m:r>
          <w:rPr>
            <w:rFonts w:ascii="Cambria Math"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n</m:t>
            </m:r>
          </m:sub>
        </m:sSub>
        <m:r>
          <w:rPr>
            <w:rFonts w:ascii="Cambria Math" w:hAnsi="Cambria Math"/>
          </w:rPr>
          <m:t>)</m:t>
        </m:r>
      </m:oMath>
      <w:r>
        <w:rPr>
          <w:rFonts w:eastAsiaTheme="minorEastAsia"/>
        </w:rPr>
        <w:t xml:space="preserve"> and </w:t>
      </w:r>
      <m:oMath>
        <m:sSub>
          <m:sSubPr>
            <m:ctrlPr>
              <w:rPr>
                <w:rFonts w:ascii="Cambria Math" w:hAnsi="Cambria Math"/>
                <w:i/>
              </w:rPr>
            </m:ctrlPr>
          </m:sSubPr>
          <m:e>
            <m:r>
              <w:rPr>
                <w:rFonts w:ascii="Cambria Math" w:hAnsi="Cambria Math"/>
              </w:rPr>
              <m:t>P</m:t>
            </m:r>
          </m:e>
          <m:sub>
            <m:r>
              <w:rPr>
                <w:rFonts w:ascii="Cambria Math" w:hAnsi="Cambria Math"/>
              </w:rPr>
              <m:t>1</m:t>
            </m:r>
          </m:sub>
        </m:sSub>
        <m:r>
          <w:rPr>
            <w:rFonts w:ascii="Cambria Math"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n</m:t>
            </m:r>
          </m:sub>
        </m:sSub>
        <m:r>
          <w:rPr>
            <w:rFonts w:ascii="Cambria Math" w:hAnsi="Cambria Math"/>
          </w:rPr>
          <m:t>)</m:t>
        </m:r>
      </m:oMath>
      <w:r>
        <w:rPr>
          <w:rFonts w:eastAsiaTheme="minorEastAsia"/>
        </w:rPr>
        <w:t xml:space="preserve"> are the 9</w:t>
      </w:r>
      <w:r w:rsidR="006C6EE4">
        <w:rPr>
          <w:rFonts w:eastAsiaTheme="minorEastAsia"/>
        </w:rPr>
        <w:t>9</w:t>
      </w:r>
      <w:r>
        <w:rPr>
          <w:rFonts w:eastAsiaTheme="minorEastAsia"/>
        </w:rPr>
        <w:t xml:space="preserve">th and the </w:t>
      </w:r>
      <w:r w:rsidR="006C6EE4">
        <w:rPr>
          <w:rFonts w:eastAsiaTheme="minorEastAsia"/>
        </w:rPr>
        <w:t>1st</w:t>
      </w:r>
      <w:r>
        <w:rPr>
          <w:rFonts w:eastAsiaTheme="minorEastAsia"/>
        </w:rPr>
        <w:t xml:space="preserve"> percentiles of </w:t>
      </w:r>
      <m:oMath>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n</m:t>
            </m:r>
          </m:sub>
        </m:sSub>
        <m:r>
          <w:rPr>
            <w:rFonts w:ascii="Cambria Math" w:eastAsiaTheme="minorEastAsia" w:hAnsi="Cambria Math"/>
          </w:rPr>
          <m:t>.</m:t>
        </m:r>
      </m:oMath>
      <w:r>
        <w:rPr>
          <w:rFonts w:eastAsiaTheme="minorEastAsia"/>
        </w:rPr>
        <w:t xml:space="preserve"> This operation is more insensitive to outliers compared to </w:t>
      </w:r>
      <w:r w:rsidRPr="00DC61E2">
        <w:rPr>
          <w:rFonts w:eastAsiaTheme="minorEastAsia"/>
          <w:i/>
        </w:rPr>
        <w:t>min</w:t>
      </w:r>
      <w:r w:rsidRPr="0057478E">
        <w:rPr>
          <w:rFonts w:eastAsiaTheme="minorEastAsia"/>
        </w:rPr>
        <w:t>-</w:t>
      </w:r>
      <w:r w:rsidRPr="00DC61E2">
        <w:rPr>
          <w:rFonts w:eastAsiaTheme="minorEastAsia"/>
          <w:i/>
        </w:rPr>
        <w:t>max</w:t>
      </w:r>
      <w:r>
        <w:rPr>
          <w:rFonts w:eastAsiaTheme="minorEastAsia"/>
        </w:rPr>
        <w:t xml:space="preserve"> normalization — where </w:t>
      </w:r>
      <m:oMath>
        <m:sSub>
          <m:sSubPr>
            <m:ctrlPr>
              <w:rPr>
                <w:rFonts w:ascii="Cambria Math" w:hAnsi="Cambria Math"/>
                <w:i/>
              </w:rPr>
            </m:ctrlPr>
          </m:sSubPr>
          <m:e>
            <m:r>
              <w:rPr>
                <w:rFonts w:ascii="Cambria Math" w:hAnsi="Cambria Math"/>
              </w:rPr>
              <m:t>P</m:t>
            </m:r>
          </m:e>
          <m:sub>
            <m:r>
              <w:rPr>
                <w:rFonts w:ascii="Cambria Math" w:hAnsi="Cambria Math"/>
              </w:rPr>
              <m:t>1</m:t>
            </m:r>
          </m:sub>
        </m:sSub>
        <m:r>
          <w:rPr>
            <w:rFonts w:ascii="Cambria Math"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n</m:t>
            </m:r>
          </m:sub>
        </m:sSub>
        <m:r>
          <w:rPr>
            <w:rFonts w:ascii="Cambria Math" w:hAnsi="Cambria Math"/>
          </w:rPr>
          <m:t>)</m:t>
        </m:r>
      </m:oMath>
      <w:r>
        <w:rPr>
          <w:rFonts w:eastAsiaTheme="minorEastAsia"/>
        </w:rPr>
        <w:t xml:space="preserve"> is replaced by </w:t>
      </w:r>
      <m:oMath>
        <m:r>
          <w:rPr>
            <w:rFonts w:ascii="Cambria Math" w:eastAsiaTheme="minorEastAsia" w:hAnsi="Cambria Math"/>
          </w:rPr>
          <m:t>min</m:t>
        </m:r>
        <m:r>
          <w:rPr>
            <w:rFonts w:ascii="Cambria Math"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n</m:t>
            </m:r>
          </m:sub>
        </m:sSub>
        <m:r>
          <w:rPr>
            <w:rFonts w:ascii="Cambria Math" w:hAnsi="Cambria Math"/>
          </w:rPr>
          <m:t>)</m:t>
        </m:r>
      </m:oMath>
      <w:r>
        <w:rPr>
          <w:rFonts w:eastAsiaTheme="minorEastAsia"/>
        </w:rPr>
        <w:t xml:space="preserve"> and </w:t>
      </w:r>
      <m:oMath>
        <m:sSub>
          <m:sSubPr>
            <m:ctrlPr>
              <w:rPr>
                <w:rFonts w:ascii="Cambria Math" w:hAnsi="Cambria Math"/>
                <w:i/>
              </w:rPr>
            </m:ctrlPr>
          </m:sSubPr>
          <m:e>
            <m:r>
              <w:rPr>
                <w:rFonts w:ascii="Cambria Math" w:hAnsi="Cambria Math"/>
              </w:rPr>
              <m:t>P</m:t>
            </m:r>
          </m:e>
          <m:sub>
            <m:r>
              <w:rPr>
                <w:rFonts w:ascii="Cambria Math" w:hAnsi="Cambria Math"/>
              </w:rPr>
              <m:t>99</m:t>
            </m:r>
          </m:sub>
        </m:sSub>
        <m:r>
          <w:rPr>
            <w:rFonts w:ascii="Cambria Math"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n</m:t>
            </m:r>
          </m:sub>
        </m:sSub>
        <m:r>
          <w:rPr>
            <w:rFonts w:ascii="Cambria Math" w:hAnsi="Cambria Math"/>
          </w:rPr>
          <m:t>)</m:t>
        </m:r>
      </m:oMath>
      <w:r>
        <w:rPr>
          <w:rFonts w:eastAsiaTheme="minorEastAsia"/>
        </w:rPr>
        <w:t xml:space="preserve"> by </w:t>
      </w:r>
      <m:oMath>
        <m:r>
          <w:rPr>
            <w:rFonts w:ascii="Cambria Math" w:hAnsi="Cambria Math"/>
          </w:rPr>
          <m:t>max(</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n</m:t>
            </m:r>
          </m:sub>
        </m:sSub>
        <m:r>
          <w:rPr>
            <w:rFonts w:ascii="Cambria Math" w:hAnsi="Cambria Math"/>
          </w:rPr>
          <m:t>)</m:t>
        </m:r>
      </m:oMath>
      <w:r>
        <w:rPr>
          <w:rFonts w:eastAsiaTheme="minorEastAsia"/>
        </w:rPr>
        <w:t xml:space="preserve"> — making the whole process less dependent on </w:t>
      </w:r>
      <w:r>
        <w:t>the signal amplitude and the distance from the process zone to the microphone.</w:t>
      </w:r>
    </w:p>
    <w:p w14:paraId="7A59EFBE" w14:textId="77777777" w:rsidR="00DD20CC" w:rsidRDefault="00DD20CC">
      <w:r>
        <w:br w:type="page"/>
      </w:r>
    </w:p>
    <w:p w14:paraId="674F4A6D" w14:textId="7933EDC1" w:rsidR="00DD20CC" w:rsidRPr="00C02702" w:rsidRDefault="00DD20CC" w:rsidP="00DD20CC">
      <w:pPr>
        <w:keepNext/>
        <w:keepLines/>
        <w:numPr>
          <w:ilvl w:val="1"/>
          <w:numId w:val="0"/>
        </w:numPr>
        <w:spacing w:before="40" w:after="0"/>
        <w:ind w:left="576" w:hanging="576"/>
        <w:jc w:val="both"/>
        <w:outlineLvl w:val="1"/>
        <w:rPr>
          <w:rFonts w:eastAsiaTheme="majorEastAsia"/>
        </w:rPr>
      </w:pPr>
      <w:r w:rsidRPr="00C02702">
        <w:rPr>
          <w:rFonts w:ascii="Calibri" w:eastAsiaTheme="majorEastAsia" w:hAnsi="Calibri" w:cstheme="majorBidi"/>
          <w:b/>
          <w:color w:val="000000" w:themeColor="text1"/>
          <w:sz w:val="24"/>
          <w:szCs w:val="26"/>
        </w:rPr>
        <w:lastRenderedPageBreak/>
        <w:t xml:space="preserve">Supplementary Method </w:t>
      </w:r>
      <w:r>
        <w:rPr>
          <w:rFonts w:ascii="Calibri" w:eastAsiaTheme="majorEastAsia" w:hAnsi="Calibri" w:cstheme="majorBidi"/>
          <w:b/>
          <w:color w:val="000000" w:themeColor="text1"/>
          <w:sz w:val="24"/>
          <w:szCs w:val="26"/>
        </w:rPr>
        <w:t>6</w:t>
      </w:r>
    </w:p>
    <w:p w14:paraId="67E721EB" w14:textId="66990955" w:rsidR="00DD20CC" w:rsidRPr="00C02702" w:rsidRDefault="00DD20CC" w:rsidP="00DD20CC">
      <w:pPr>
        <w:keepNext/>
        <w:keepLines/>
        <w:numPr>
          <w:ilvl w:val="1"/>
          <w:numId w:val="0"/>
        </w:numPr>
        <w:spacing w:before="40" w:after="0"/>
        <w:ind w:left="576" w:hanging="576"/>
        <w:jc w:val="both"/>
        <w:outlineLvl w:val="1"/>
        <w:rPr>
          <w:rFonts w:eastAsiaTheme="majorEastAsia"/>
          <w:i/>
        </w:rPr>
      </w:pPr>
      <w:r>
        <w:rPr>
          <w:rFonts w:ascii="Calibri" w:eastAsiaTheme="majorEastAsia" w:hAnsi="Calibri" w:cstheme="majorBidi"/>
          <w:i/>
          <w:color w:val="000000" w:themeColor="text1"/>
          <w:sz w:val="24"/>
          <w:szCs w:val="26"/>
        </w:rPr>
        <w:t>Segmentation algorithm</w:t>
      </w:r>
    </w:p>
    <w:p w14:paraId="18C8B2E8" w14:textId="77777777" w:rsidR="00DD20CC" w:rsidRDefault="00DD20CC" w:rsidP="00DD20CC">
      <w:pPr>
        <w:jc w:val="both"/>
      </w:pPr>
    </w:p>
    <w:p w14:paraId="43884CEA" w14:textId="26919CE4" w:rsidR="00DD20CC" w:rsidRDefault="00DD20CC" w:rsidP="00DD20CC">
      <w:pPr>
        <w:jc w:val="both"/>
      </w:pPr>
      <w:r w:rsidRPr="001F29A6">
        <w:t xml:space="preserve">In our study, we began by conducting exploratory data analysis (EDA) on the pre-processed signal spectrograms. As seen in </w:t>
      </w:r>
      <w:r w:rsidRPr="0050288B">
        <w:rPr>
          <w:b/>
        </w:rPr>
        <w:t xml:space="preserve">Figure </w:t>
      </w:r>
      <w:r w:rsidR="001308BA" w:rsidRPr="0050288B">
        <w:rPr>
          <w:b/>
        </w:rPr>
        <w:t>6</w:t>
      </w:r>
      <w:r w:rsidR="001308BA" w:rsidRPr="001308BA">
        <w:t xml:space="preserve"> </w:t>
      </w:r>
      <w:r w:rsidRPr="001308BA">
        <w:t>(of the main text)</w:t>
      </w:r>
      <w:r w:rsidRPr="001F29A6">
        <w:t>, we observed that the majority of the signal energy was concentrated in the frequency range of 3</w:t>
      </w:r>
      <w:r>
        <w:t>5–</w:t>
      </w:r>
      <w:r w:rsidRPr="001F29A6">
        <w:t>105 kHz when the process was in the keyhole regime. This observation prompted us to apply a digital filter to extract only the relevant frequency range. To improve the pipeline</w:t>
      </w:r>
      <w:r>
        <w:t>’</w:t>
      </w:r>
      <w:r w:rsidRPr="001F29A6">
        <w:t>s expressivity, we</w:t>
      </w:r>
      <w:r>
        <w:t xml:space="preserve"> applied a non-linear function </w:t>
      </w:r>
      <w:r w:rsidRPr="001F29A6">
        <w:t xml:space="preserve">point-wise to the filtered signal and smoothed </w:t>
      </w:r>
      <w:r>
        <w:t>it using a moving average</w:t>
      </w:r>
      <w:r w:rsidRPr="001F29A6">
        <w:t>. The selected non-linear function is PReLU</w:t>
      </w:r>
      <w:r>
        <w:t xml:space="preserve"> </w:t>
      </w:r>
      <w:r w:rsidR="001308BA">
        <w:fldChar w:fldCharType="begin" w:fldLock="1"/>
      </w:r>
      <w:r w:rsidR="0050288B">
        <w:instrText>ADDIN CSL_CITATION {"citationItems":[{"id":"ITEM-1","itemData":{"DOI":"10.1109/ICCV.2015.123","ISBN":"2380-7504 VO  -","author":[{"dropping-particle":"","family":"He","given":"K","non-dropping-particle":"","parse-names":false,"suffix":""},{"dropping-particle":"","family":"Zhang","given":"X","non-dropping-particle":"","parse-names":false,"suffix":""},{"dropping-particle":"","family":"Ren","given":"S","non-dropping-particle":"","parse-names":false,"suffix":""},{"dropping-particle":"","family":"Sun","given":"J","non-dropping-particle":"","parse-names":false,"suffix":""}],"container-title":"2015 IEEE International Conference on Computer Vision (ICCV)","id":"ITEM-1","issued":{"date-parts":[["2015"]]},"page":"1026-1034","title":"Delving Deep into Rectifiers: Surpassing Human-Level Performance on ImageNet Classification","type":"paper-conference"},"uris":["http://www.mendeley.com/documents/?uuid=6ed9aeaf-d9a0-4ee3-826d-642e169b2798"]}],"mendeley":{"formattedCitation":"&lt;sup&gt;7&lt;/sup&gt;","plainTextFormattedCitation":"7","previouslyFormattedCitation":"&lt;sup&gt;7&lt;/sup&gt;"},"properties":{"noteIndex":0},"schema":"https://github.com/citation-style-language/schema/raw/master/csl-citation.json"}</w:instrText>
      </w:r>
      <w:r w:rsidR="001308BA">
        <w:fldChar w:fldCharType="separate"/>
      </w:r>
      <w:r w:rsidR="001308BA" w:rsidRPr="001308BA">
        <w:rPr>
          <w:noProof/>
          <w:vertAlign w:val="superscript"/>
        </w:rPr>
        <w:t>7</w:t>
      </w:r>
      <w:r w:rsidR="001308BA">
        <w:fldChar w:fldCharType="end"/>
      </w:r>
      <w:r w:rsidRPr="001F29A6">
        <w:t>, which facilitates the application of the successive smoothing filters by making the signal running average positive (the former is zero in the raw data due to the oscillatory nature of AE signals). This process is illustrated in</w:t>
      </w:r>
      <w:r>
        <w:t xml:space="preserve"> </w:t>
      </w:r>
      <w:r w:rsidR="001308BA">
        <w:fldChar w:fldCharType="begin"/>
      </w:r>
      <w:r w:rsidR="001308BA">
        <w:instrText xml:space="preserve"> REF _Ref125449068 \h </w:instrText>
      </w:r>
      <w:r w:rsidR="001308BA">
        <w:fldChar w:fldCharType="separate"/>
      </w:r>
      <w:r w:rsidR="001308BA" w:rsidRPr="008F0046">
        <w:rPr>
          <w:b/>
        </w:rPr>
        <w:t xml:space="preserve">Supplementary Figure </w:t>
      </w:r>
      <w:r w:rsidR="001308BA">
        <w:rPr>
          <w:b/>
          <w:noProof/>
        </w:rPr>
        <w:t>5</w:t>
      </w:r>
      <w:r w:rsidR="001308BA">
        <w:fldChar w:fldCharType="end"/>
      </w:r>
      <w:r w:rsidR="001308BA" w:rsidRPr="004313C0">
        <w:rPr>
          <w:b/>
        </w:rPr>
        <w:t>a</w:t>
      </w:r>
      <w:r w:rsidRPr="001F29A6">
        <w:t>, where one of the pre-processed AE signals and the result of all the aforementioned operations are shown.</w:t>
      </w:r>
    </w:p>
    <w:p w14:paraId="5EFB87D2" w14:textId="6A62822C" w:rsidR="00DD20CC" w:rsidRDefault="00DD20CC" w:rsidP="00DD20CC">
      <w:pPr>
        <w:jc w:val="both"/>
      </w:pPr>
      <w:r w:rsidRPr="001F29A6">
        <w:t>Additionally, we duplicated the filtering pipeline to produce two signals, each corresponding to a specific regime of interest. To do this, we initialized two filters</w:t>
      </w:r>
      <w:r>
        <w:t>: a band-pass filter with a passband frequency range of 35–105 kHz and</w:t>
      </w:r>
      <w:r w:rsidRPr="001F29A6">
        <w:t xml:space="preserve"> a band-stop filter with the same stopband frequency. The impulse response duration was set to 1.25 ms, corresponding to 2501 data points at a 2 MHz sampling rate, to achieve at least 80 dB of attenuation (corresponding to the signals</w:t>
      </w:r>
      <w:r w:rsidR="00F7545A">
        <w:t>’</w:t>
      </w:r>
      <w:r w:rsidRPr="001F29A6">
        <w:t xml:space="preserve"> mean SNR) for the band-pass (or band-stop) filter.</w:t>
      </w:r>
    </w:p>
    <w:p w14:paraId="729662D2" w14:textId="77777777" w:rsidR="00DD20CC" w:rsidRDefault="00DD20CC" w:rsidP="00DD20CC">
      <w:pPr>
        <w:jc w:val="both"/>
      </w:pPr>
      <w:r w:rsidRPr="00381DA1">
        <w:t xml:space="preserve">The implementation of two filtering branches offers several benefits to our approach. Firstly, it increases the robustness of the procedure as, even in the case of uncertain detection from one of the signals, the prediction can be supported by the second signal. Secondly, it creates a framework that can be easily expanded to detect multiple regimes by adding additional filtering branches. Lastly, </w:t>
      </w:r>
      <w:r>
        <w:t>it allows for generating</w:t>
      </w:r>
      <w:r w:rsidRPr="00381DA1">
        <w:t xml:space="preserve"> predi</w:t>
      </w:r>
      <w:r>
        <w:t xml:space="preserve">ctions by applying </w:t>
      </w:r>
      <w:r w:rsidRPr="00381DA1">
        <w:t>the SoftMax function to the output of our filters.</w:t>
      </w:r>
      <w:r>
        <w:t xml:space="preserve"> Specifically, the following </w:t>
      </w:r>
      <w:r w:rsidRPr="00381DA1">
        <w:t xml:space="preserve">SoftMax </w:t>
      </w:r>
      <w:r>
        <w:t>function is point-wise applied to the filtered signals:</w:t>
      </w:r>
    </w:p>
    <w:p w14:paraId="0E5A02D6" w14:textId="77777777" w:rsidR="00DD20CC" w:rsidRPr="00705E93" w:rsidRDefault="00BD7108" w:rsidP="00DD20CC">
      <w:pPr>
        <w:jc w:val="center"/>
        <w:rPr>
          <w:rFonts w:eastAsiaTheme="minorEastAsia"/>
        </w:rPr>
      </w:pPr>
      <m:oMath>
        <m:sSub>
          <m:sSubPr>
            <m:ctrlPr>
              <w:rPr>
                <w:rFonts w:ascii="Cambria Math" w:hAnsi="Cambria Math"/>
                <w:i/>
              </w:rPr>
            </m:ctrlPr>
          </m:sSubPr>
          <m:e>
            <m:r>
              <w:rPr>
                <w:rFonts w:ascii="Cambria Math" w:hAnsi="Cambria Math"/>
              </w:rPr>
              <m:t>σ</m:t>
            </m:r>
          </m:e>
          <m:sub>
            <m:r>
              <w:rPr>
                <w:rFonts w:ascii="Cambria Math" w:hAnsi="Cambria Math"/>
              </w:rPr>
              <m:t>c</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n,i</m:t>
            </m:r>
          </m:sub>
        </m:sSub>
        <m:r>
          <w:rPr>
            <w:rFonts w:ascii="Cambria Math" w:hAnsi="Cambria Math"/>
          </w:rPr>
          <m:t xml:space="preserve">)= </m:t>
        </m:r>
        <m:f>
          <m:fPr>
            <m:ctrlPr>
              <w:rPr>
                <w:rFonts w:ascii="Cambria Math" w:hAnsi="Cambria Math"/>
                <w:i/>
              </w:rPr>
            </m:ctrlPr>
          </m:fPr>
          <m:num>
            <m:sSup>
              <m:sSupPr>
                <m:ctrlPr>
                  <w:rPr>
                    <w:rFonts w:ascii="Cambria Math" w:hAnsi="Cambria Math"/>
                    <w:i/>
                  </w:rPr>
                </m:ctrlPr>
              </m:sSupPr>
              <m:e>
                <m:r>
                  <w:rPr>
                    <w:rFonts w:ascii="Cambria Math" w:hAnsi="Cambria Math"/>
                  </w:rPr>
                  <m:t>e</m:t>
                </m:r>
              </m:e>
              <m:sup>
                <m:r>
                  <w:rPr>
                    <w:rFonts w:ascii="Cambria Math" w:hAnsi="Cambria Math"/>
                  </w:rPr>
                  <m:t>c(</m:t>
                </m:r>
                <m:sSub>
                  <m:sSubPr>
                    <m:ctrlPr>
                      <w:rPr>
                        <w:rFonts w:ascii="Cambria Math" w:hAnsi="Cambria Math"/>
                        <w:i/>
                      </w:rPr>
                    </m:ctrlPr>
                  </m:sSubPr>
                  <m:e>
                    <m:r>
                      <w:rPr>
                        <w:rFonts w:ascii="Cambria Math" w:hAnsi="Cambria Math"/>
                      </w:rPr>
                      <m:t>x</m:t>
                    </m:r>
                  </m:e>
                  <m:sub>
                    <m:r>
                      <w:rPr>
                        <w:rFonts w:ascii="Cambria Math" w:hAnsi="Cambria Math"/>
                      </w:rPr>
                      <m:t>n,i</m:t>
                    </m:r>
                  </m:sub>
                </m:sSub>
                <m:r>
                  <w:rPr>
                    <w:rFonts w:ascii="Cambria Math" w:hAnsi="Cambria Math"/>
                  </w:rPr>
                  <m:t>)</m:t>
                </m:r>
              </m:sup>
            </m:sSup>
          </m:num>
          <m:den>
            <m:sSup>
              <m:sSupPr>
                <m:ctrlPr>
                  <w:rPr>
                    <w:rFonts w:ascii="Cambria Math" w:hAnsi="Cambria Math"/>
                    <w:i/>
                  </w:rPr>
                </m:ctrlPr>
              </m:sSupPr>
              <m:e>
                <m:r>
                  <w:rPr>
                    <w:rFonts w:ascii="Cambria Math" w:hAnsi="Cambria Math"/>
                  </w:rPr>
                  <m:t>e</m:t>
                </m:r>
              </m:e>
              <m:sup>
                <m:r>
                  <w:rPr>
                    <w:rFonts w:ascii="Cambria Math" w:hAnsi="Cambria Math"/>
                  </w:rPr>
                  <m:t>c(</m:t>
                </m:r>
                <m:sSub>
                  <m:sSubPr>
                    <m:ctrlPr>
                      <w:rPr>
                        <w:rFonts w:ascii="Cambria Math" w:hAnsi="Cambria Math"/>
                        <w:i/>
                      </w:rPr>
                    </m:ctrlPr>
                  </m:sSubPr>
                  <m:e>
                    <m:r>
                      <w:rPr>
                        <w:rFonts w:ascii="Cambria Math" w:hAnsi="Cambria Math"/>
                      </w:rPr>
                      <m:t>x</m:t>
                    </m:r>
                  </m:e>
                  <m:sub>
                    <m:r>
                      <w:rPr>
                        <w:rFonts w:ascii="Cambria Math" w:hAnsi="Cambria Math"/>
                      </w:rPr>
                      <m:t>n,i</m:t>
                    </m:r>
                  </m:sub>
                </m:sSub>
                <m:r>
                  <w:rPr>
                    <w:rFonts w:ascii="Cambria Math" w:hAnsi="Cambria Math"/>
                  </w:rPr>
                  <m:t>)</m:t>
                </m:r>
              </m:sup>
            </m:sSup>
            <m:r>
              <w:rPr>
                <w:rFonts w:ascii="Cambria Math" w:hAnsi="Cambria Math"/>
              </w:rPr>
              <m:t xml:space="preserve"> + </m:t>
            </m:r>
            <m:sSup>
              <m:sSupPr>
                <m:ctrlPr>
                  <w:rPr>
                    <w:rFonts w:ascii="Cambria Math" w:hAnsi="Cambria Math"/>
                    <w:i/>
                  </w:rPr>
                </m:ctrlPr>
              </m:sSupPr>
              <m:e>
                <m:r>
                  <w:rPr>
                    <w:rFonts w:ascii="Cambria Math" w:hAnsi="Cambria Math"/>
                  </w:rPr>
                  <m:t>e</m:t>
                </m:r>
              </m:e>
              <m:sup>
                <m:r>
                  <w:rPr>
                    <w:rFonts w:ascii="Cambria Math" w:hAnsi="Cambria Math"/>
                  </w:rPr>
                  <m:t>k(</m:t>
                </m:r>
                <m:sSub>
                  <m:sSubPr>
                    <m:ctrlPr>
                      <w:rPr>
                        <w:rFonts w:ascii="Cambria Math" w:hAnsi="Cambria Math"/>
                        <w:i/>
                      </w:rPr>
                    </m:ctrlPr>
                  </m:sSubPr>
                  <m:e>
                    <m:r>
                      <w:rPr>
                        <w:rFonts w:ascii="Cambria Math" w:hAnsi="Cambria Math"/>
                      </w:rPr>
                      <m:t>x</m:t>
                    </m:r>
                  </m:e>
                  <m:sub>
                    <m:r>
                      <w:rPr>
                        <w:rFonts w:ascii="Cambria Math" w:hAnsi="Cambria Math"/>
                      </w:rPr>
                      <m:t>n,i</m:t>
                    </m:r>
                  </m:sub>
                </m:sSub>
                <m:r>
                  <w:rPr>
                    <w:rFonts w:ascii="Cambria Math" w:hAnsi="Cambria Math"/>
                  </w:rPr>
                  <m:t>)</m:t>
                </m:r>
              </m:sup>
            </m:sSup>
          </m:den>
        </m:f>
        <m:r>
          <w:rPr>
            <w:rFonts w:ascii="Cambria Math" w:hAnsi="Cambria Math"/>
          </w:rPr>
          <m:t>,</m:t>
        </m:r>
      </m:oMath>
      <w:r w:rsidR="00DD20CC" w:rsidRPr="00705E93">
        <w:rPr>
          <w:rFonts w:eastAsiaTheme="minorEastAsia"/>
        </w:rPr>
        <w:t xml:space="preserve"> (</w:t>
      </w:r>
      <w:r w:rsidR="00DD20CC">
        <w:rPr>
          <w:rFonts w:eastAsiaTheme="minorEastAsia"/>
        </w:rPr>
        <w:t>3</w:t>
      </w:r>
      <w:r w:rsidR="00DD20CC" w:rsidRPr="00705E93">
        <w:rPr>
          <w:rFonts w:eastAsiaTheme="minorEastAsia"/>
        </w:rPr>
        <w:t>)</w:t>
      </w:r>
    </w:p>
    <w:p w14:paraId="2E2B78A0" w14:textId="77777777" w:rsidR="00DD20CC" w:rsidRPr="00705E93" w:rsidRDefault="00BD7108" w:rsidP="00DD20CC">
      <w:pPr>
        <w:jc w:val="center"/>
        <w:rPr>
          <w:rFonts w:eastAsiaTheme="minorEastAsia"/>
        </w:rPr>
      </w:pPr>
      <m:oMath>
        <m:sSub>
          <m:sSubPr>
            <m:ctrlPr>
              <w:rPr>
                <w:rFonts w:ascii="Cambria Math" w:hAnsi="Cambria Math"/>
                <w:i/>
              </w:rPr>
            </m:ctrlPr>
          </m:sSubPr>
          <m:e>
            <m:r>
              <w:rPr>
                <w:rFonts w:ascii="Cambria Math" w:hAnsi="Cambria Math"/>
              </w:rPr>
              <m:t>σ</m:t>
            </m:r>
          </m:e>
          <m:sub>
            <m:r>
              <w:rPr>
                <w:rFonts w:ascii="Cambria Math" w:hAnsi="Cambria Math"/>
              </w:rPr>
              <m:t>k</m:t>
            </m:r>
          </m:sub>
        </m:sSub>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n,i</m:t>
                </m:r>
              </m:sub>
            </m:sSub>
          </m:e>
        </m:d>
        <m:r>
          <w:rPr>
            <w:rFonts w:ascii="Cambria Math" w:hAnsi="Cambria Math"/>
          </w:rPr>
          <m:t xml:space="preserve">= </m:t>
        </m:r>
        <m:f>
          <m:fPr>
            <m:ctrlPr>
              <w:rPr>
                <w:rFonts w:ascii="Cambria Math" w:hAnsi="Cambria Math"/>
                <w:i/>
              </w:rPr>
            </m:ctrlPr>
          </m:fPr>
          <m:num>
            <m:sSup>
              <m:sSupPr>
                <m:ctrlPr>
                  <w:rPr>
                    <w:rFonts w:ascii="Cambria Math" w:hAnsi="Cambria Math"/>
                    <w:i/>
                  </w:rPr>
                </m:ctrlPr>
              </m:sSupPr>
              <m:e>
                <m:r>
                  <w:rPr>
                    <w:rFonts w:ascii="Cambria Math" w:hAnsi="Cambria Math"/>
                  </w:rPr>
                  <m:t>e</m:t>
                </m:r>
              </m:e>
              <m:sup>
                <m:r>
                  <w:rPr>
                    <w:rFonts w:ascii="Cambria Math" w:hAnsi="Cambria Math"/>
                  </w:rPr>
                  <m:t>k</m:t>
                </m:r>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n,i</m:t>
                        </m:r>
                      </m:sub>
                    </m:sSub>
                  </m:e>
                </m:d>
              </m:sup>
            </m:sSup>
          </m:num>
          <m:den>
            <m:sSup>
              <m:sSupPr>
                <m:ctrlPr>
                  <w:rPr>
                    <w:rFonts w:ascii="Cambria Math" w:hAnsi="Cambria Math"/>
                    <w:i/>
                  </w:rPr>
                </m:ctrlPr>
              </m:sSupPr>
              <m:e>
                <m:r>
                  <w:rPr>
                    <w:rFonts w:ascii="Cambria Math" w:hAnsi="Cambria Math"/>
                  </w:rPr>
                  <m:t>e</m:t>
                </m:r>
              </m:e>
              <m:sup>
                <m:r>
                  <w:rPr>
                    <w:rFonts w:ascii="Cambria Math" w:hAnsi="Cambria Math"/>
                  </w:rPr>
                  <m:t>c</m:t>
                </m:r>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n,i</m:t>
                        </m:r>
                      </m:sub>
                    </m:sSub>
                  </m:e>
                </m:d>
              </m:sup>
            </m:sSup>
            <m:r>
              <w:rPr>
                <w:rFonts w:ascii="Cambria Math" w:hAnsi="Cambria Math"/>
              </w:rPr>
              <m:t xml:space="preserve"> + </m:t>
            </m:r>
            <m:sSup>
              <m:sSupPr>
                <m:ctrlPr>
                  <w:rPr>
                    <w:rFonts w:ascii="Cambria Math" w:hAnsi="Cambria Math"/>
                    <w:i/>
                  </w:rPr>
                </m:ctrlPr>
              </m:sSupPr>
              <m:e>
                <m:r>
                  <w:rPr>
                    <w:rFonts w:ascii="Cambria Math" w:hAnsi="Cambria Math"/>
                  </w:rPr>
                  <m:t>e</m:t>
                </m:r>
              </m:e>
              <m:sup>
                <m:r>
                  <w:rPr>
                    <w:rFonts w:ascii="Cambria Math" w:hAnsi="Cambria Math"/>
                  </w:rPr>
                  <m:t>k</m:t>
                </m:r>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n,i</m:t>
                        </m:r>
                      </m:sub>
                    </m:sSub>
                  </m:e>
                </m:d>
              </m:sup>
            </m:sSup>
          </m:den>
        </m:f>
        <m:r>
          <w:rPr>
            <w:rFonts w:ascii="Cambria Math" w:hAnsi="Cambria Math"/>
          </w:rPr>
          <m:t xml:space="preserve">, </m:t>
        </m:r>
      </m:oMath>
      <w:r w:rsidR="00DD20CC">
        <w:rPr>
          <w:rFonts w:eastAsiaTheme="minorEastAsia"/>
        </w:rPr>
        <w:t>(4)</w:t>
      </w:r>
    </w:p>
    <w:p w14:paraId="54BF6465" w14:textId="2367F5C0" w:rsidR="00DD20CC" w:rsidRDefault="00DD20CC" w:rsidP="00DD20CC">
      <w:pPr>
        <w:jc w:val="both"/>
        <w:rPr>
          <w:sz w:val="16"/>
          <w:szCs w:val="16"/>
        </w:rPr>
      </w:pPr>
      <w:r>
        <w:t xml:space="preserve">where </w:t>
      </w:r>
      <m:oMath>
        <m:sSub>
          <m:sSubPr>
            <m:ctrlPr>
              <w:rPr>
                <w:rFonts w:ascii="Cambria Math" w:hAnsi="Cambria Math"/>
                <w:i/>
              </w:rPr>
            </m:ctrlPr>
          </m:sSubPr>
          <m:e>
            <m:r>
              <w:rPr>
                <w:rFonts w:ascii="Cambria Math" w:hAnsi="Cambria Math"/>
              </w:rPr>
              <m:t>x</m:t>
            </m:r>
          </m:e>
          <m:sub>
            <m:r>
              <w:rPr>
                <w:rFonts w:ascii="Cambria Math" w:hAnsi="Cambria Math"/>
              </w:rPr>
              <m:t>n,i</m:t>
            </m:r>
          </m:sub>
        </m:sSub>
        <m:r>
          <w:rPr>
            <w:rFonts w:ascii="Cambria Math" w:hAnsi="Cambria Math"/>
          </w:rPr>
          <m:t xml:space="preserve"> </m:t>
        </m:r>
      </m:oMath>
      <w:r>
        <w:rPr>
          <w:rFonts w:eastAsiaTheme="minorEastAsia"/>
        </w:rPr>
        <w:t xml:space="preserve">denotes the </w:t>
      </w:r>
      <w:r w:rsidRPr="0018441B">
        <w:rPr>
          <w:rFonts w:eastAsiaTheme="minorEastAsia"/>
          <w:i/>
        </w:rPr>
        <w:t>i</w:t>
      </w:r>
      <w:r>
        <w:rPr>
          <w:rFonts w:eastAsiaTheme="minorEastAsia"/>
        </w:rPr>
        <w:t xml:space="preserve">-th data point of the </w:t>
      </w:r>
      <w:r w:rsidRPr="00144155">
        <w:rPr>
          <w:rFonts w:eastAsiaTheme="minorEastAsia"/>
          <w:i/>
        </w:rPr>
        <w:t>n</w:t>
      </w:r>
      <w:r>
        <w:rPr>
          <w:rFonts w:eastAsiaTheme="minorEastAsia"/>
        </w:rPr>
        <w:t xml:space="preserve">-th pre-processed AE signal </w:t>
      </w:r>
      <m:oMath>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n</m:t>
            </m:r>
          </m:sub>
        </m:sSub>
      </m:oMath>
      <w:r>
        <w:rPr>
          <w:rFonts w:eastAsiaTheme="minorEastAsia"/>
        </w:rPr>
        <w:t>,</w:t>
      </w:r>
      <w:r>
        <w:t xml:space="preserve"> </w:t>
      </w:r>
      <m:oMath>
        <m:r>
          <w:rPr>
            <w:rFonts w:ascii="Cambria Math" w:hAnsi="Cambria Math"/>
          </w:rPr>
          <m:t>c(</m:t>
        </m:r>
        <m:sSub>
          <m:sSubPr>
            <m:ctrlPr>
              <w:rPr>
                <w:rFonts w:ascii="Cambria Math" w:hAnsi="Cambria Math"/>
                <w:i/>
              </w:rPr>
            </m:ctrlPr>
          </m:sSubPr>
          <m:e>
            <m:r>
              <w:rPr>
                <w:rFonts w:ascii="Cambria Math" w:hAnsi="Cambria Math"/>
              </w:rPr>
              <m:t>x</m:t>
            </m:r>
          </m:e>
          <m:sub>
            <m:r>
              <w:rPr>
                <w:rFonts w:ascii="Cambria Math" w:hAnsi="Cambria Math"/>
              </w:rPr>
              <m:t>n,i</m:t>
            </m:r>
          </m:sub>
        </m:sSub>
        <m:r>
          <w:rPr>
            <w:rFonts w:ascii="Cambria Math" w:hAnsi="Cambria Math"/>
          </w:rPr>
          <m:t>)</m:t>
        </m:r>
      </m:oMath>
      <w:r>
        <w:rPr>
          <w:rFonts w:eastAsiaTheme="minorEastAsia"/>
        </w:rPr>
        <w:t xml:space="preserve"> and </w:t>
      </w:r>
      <m:oMath>
        <m:r>
          <w:rPr>
            <w:rFonts w:ascii="Cambria Math" w:hAnsi="Cambria Math"/>
          </w:rPr>
          <m:t>k(</m:t>
        </m:r>
        <m:sSub>
          <m:sSubPr>
            <m:ctrlPr>
              <w:rPr>
                <w:rFonts w:ascii="Cambria Math" w:hAnsi="Cambria Math"/>
                <w:i/>
              </w:rPr>
            </m:ctrlPr>
          </m:sSubPr>
          <m:e>
            <m:r>
              <w:rPr>
                <w:rFonts w:ascii="Cambria Math" w:hAnsi="Cambria Math"/>
              </w:rPr>
              <m:t>x</m:t>
            </m:r>
          </m:e>
          <m:sub>
            <m:r>
              <w:rPr>
                <w:rFonts w:ascii="Cambria Math" w:hAnsi="Cambria Math"/>
              </w:rPr>
              <m:t>n,i</m:t>
            </m:r>
          </m:sub>
        </m:sSub>
        <m:r>
          <w:rPr>
            <w:rFonts w:ascii="Cambria Math" w:hAnsi="Cambria Math"/>
          </w:rPr>
          <m:t>)</m:t>
        </m:r>
      </m:oMath>
      <w:r>
        <w:rPr>
          <w:rFonts w:eastAsiaTheme="minorEastAsia"/>
        </w:rPr>
        <w:t xml:space="preserve"> are the </w:t>
      </w:r>
      <w:r w:rsidRPr="0000740B">
        <w:rPr>
          <w:rFonts w:eastAsiaTheme="minorEastAsia"/>
          <w:i/>
        </w:rPr>
        <w:t>i</w:t>
      </w:r>
      <w:r>
        <w:rPr>
          <w:rFonts w:eastAsiaTheme="minorEastAsia"/>
        </w:rPr>
        <w:t xml:space="preserve">-th data points of the </w:t>
      </w:r>
      <w:r w:rsidRPr="00190FAF">
        <w:rPr>
          <w:rFonts w:eastAsiaTheme="minorEastAsia"/>
          <w:i/>
        </w:rPr>
        <w:t>n</w:t>
      </w:r>
      <w:r>
        <w:rPr>
          <w:rFonts w:eastAsiaTheme="minorEastAsia"/>
        </w:rPr>
        <w:t xml:space="preserve">-th conduction and keyhole signals, respectively, and </w:t>
      </w:r>
      <m:oMath>
        <m:sSub>
          <m:sSubPr>
            <m:ctrlPr>
              <w:rPr>
                <w:rFonts w:ascii="Cambria Math" w:hAnsi="Cambria Math"/>
                <w:i/>
              </w:rPr>
            </m:ctrlPr>
          </m:sSubPr>
          <m:e>
            <m:r>
              <w:rPr>
                <w:rFonts w:ascii="Cambria Math" w:hAnsi="Cambria Math"/>
              </w:rPr>
              <m:t>σ</m:t>
            </m:r>
          </m:e>
          <m:sub>
            <m:r>
              <w:rPr>
                <w:rFonts w:ascii="Cambria Math" w:hAnsi="Cambria Math"/>
              </w:rPr>
              <m:t>c</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n,i</m:t>
            </m:r>
          </m:sub>
        </m:sSub>
        <m:r>
          <w:rPr>
            <w:rFonts w:ascii="Cambria Math" w:hAnsi="Cambria Math"/>
          </w:rPr>
          <m:t>)</m:t>
        </m:r>
      </m:oMath>
      <w:r>
        <w:rPr>
          <w:rFonts w:eastAsiaTheme="minorEastAsia"/>
        </w:rPr>
        <w:t xml:space="preserve"> (</w:t>
      </w:r>
      <m:oMath>
        <m:sSub>
          <m:sSubPr>
            <m:ctrlPr>
              <w:rPr>
                <w:rFonts w:ascii="Cambria Math" w:hAnsi="Cambria Math"/>
                <w:i/>
              </w:rPr>
            </m:ctrlPr>
          </m:sSubPr>
          <m:e>
            <m:r>
              <w:rPr>
                <w:rFonts w:ascii="Cambria Math" w:hAnsi="Cambria Math"/>
              </w:rPr>
              <m:t>σ</m:t>
            </m:r>
          </m:e>
          <m:sub>
            <m:r>
              <w:rPr>
                <w:rFonts w:ascii="Cambria Math" w:hAnsi="Cambria Math"/>
              </w:rPr>
              <m:t>k</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n,i</m:t>
            </m:r>
          </m:sub>
        </m:sSub>
        <m:r>
          <w:rPr>
            <w:rFonts w:ascii="Cambria Math" w:hAnsi="Cambria Math"/>
          </w:rPr>
          <m:t>)</m:t>
        </m:r>
      </m:oMath>
      <w:r>
        <w:rPr>
          <w:rFonts w:eastAsiaTheme="minorEastAsia"/>
        </w:rPr>
        <w:t>) is the prediction denoting conduction (or keyhole) detection for the</w:t>
      </w:r>
      <w:r w:rsidRPr="0028766E">
        <w:rPr>
          <w:rFonts w:eastAsiaTheme="minorEastAsia"/>
          <w:i/>
        </w:rPr>
        <w:t xml:space="preserve"> i</w:t>
      </w:r>
      <w:r>
        <w:rPr>
          <w:rFonts w:eastAsiaTheme="minorEastAsia"/>
        </w:rPr>
        <w:t xml:space="preserve">-th time step of </w:t>
      </w:r>
      <m:oMath>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n</m:t>
            </m:r>
          </m:sub>
        </m:sSub>
      </m:oMath>
      <w:r>
        <w:rPr>
          <w:rFonts w:eastAsiaTheme="minorEastAsia"/>
        </w:rPr>
        <w:t xml:space="preserve">. </w:t>
      </w:r>
      <w:r>
        <w:t>As the name suggests, the SoftMax function finds the maximum between the two signals, which corresponds to our prediction; e.g., if the conduction signal (</w:t>
      </w:r>
      <m:oMath>
        <m:r>
          <w:rPr>
            <w:rFonts w:ascii="Cambria Math" w:hAnsi="Cambria Math"/>
          </w:rPr>
          <m:t>c(</m:t>
        </m:r>
        <m:sSub>
          <m:sSubPr>
            <m:ctrlPr>
              <w:rPr>
                <w:rFonts w:ascii="Cambria Math" w:hAnsi="Cambria Math"/>
                <w:i/>
              </w:rPr>
            </m:ctrlPr>
          </m:sSubPr>
          <m:e>
            <m:r>
              <w:rPr>
                <w:rFonts w:ascii="Cambria Math" w:hAnsi="Cambria Math"/>
              </w:rPr>
              <m:t>x</m:t>
            </m:r>
          </m:e>
          <m:sub>
            <m:r>
              <w:rPr>
                <w:rFonts w:ascii="Cambria Math" w:hAnsi="Cambria Math"/>
              </w:rPr>
              <m:t>n,i</m:t>
            </m:r>
          </m:sub>
        </m:sSub>
        <m:r>
          <w:rPr>
            <w:rFonts w:ascii="Cambria Math" w:hAnsi="Cambria Math"/>
          </w:rPr>
          <m:t>)</m:t>
        </m:r>
      </m:oMath>
      <w:r>
        <w:rPr>
          <w:rFonts w:eastAsiaTheme="minorEastAsia"/>
        </w:rPr>
        <w:t>)</w:t>
      </w:r>
      <w:r>
        <w:t xml:space="preserve"> is higher than the keyhole one (</w:t>
      </w:r>
      <m:oMath>
        <m:r>
          <w:rPr>
            <w:rFonts w:ascii="Cambria Math" w:hAnsi="Cambria Math"/>
          </w:rPr>
          <m:t>k(</m:t>
        </m:r>
        <m:sSub>
          <m:sSubPr>
            <m:ctrlPr>
              <w:rPr>
                <w:rFonts w:ascii="Cambria Math" w:hAnsi="Cambria Math"/>
                <w:i/>
              </w:rPr>
            </m:ctrlPr>
          </m:sSubPr>
          <m:e>
            <m:r>
              <w:rPr>
                <w:rFonts w:ascii="Cambria Math" w:hAnsi="Cambria Math"/>
              </w:rPr>
              <m:t>x</m:t>
            </m:r>
          </m:e>
          <m:sub>
            <m:r>
              <w:rPr>
                <w:rFonts w:ascii="Cambria Math" w:hAnsi="Cambria Math"/>
              </w:rPr>
              <m:t>n,i</m:t>
            </m:r>
          </m:sub>
        </m:sSub>
        <m:r>
          <w:rPr>
            <w:rFonts w:ascii="Cambria Math" w:hAnsi="Cambria Math"/>
          </w:rPr>
          <m:t>)</m:t>
        </m:r>
      </m:oMath>
      <w:r>
        <w:t xml:space="preserve">) at a specific time — which translates to </w:t>
      </w:r>
      <m:oMath>
        <m:sSub>
          <m:sSubPr>
            <m:ctrlPr>
              <w:rPr>
                <w:rFonts w:ascii="Cambria Math" w:hAnsi="Cambria Math"/>
                <w:i/>
              </w:rPr>
            </m:ctrlPr>
          </m:sSubPr>
          <m:e>
            <m:r>
              <w:rPr>
                <w:rFonts w:ascii="Cambria Math" w:hAnsi="Cambria Math"/>
              </w:rPr>
              <m:t>σ</m:t>
            </m:r>
          </m:e>
          <m:sub>
            <m:r>
              <w:rPr>
                <w:rFonts w:ascii="Cambria Math" w:hAnsi="Cambria Math"/>
              </w:rPr>
              <m:t>c</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n,i</m:t>
            </m:r>
          </m:sub>
        </m:sSub>
        <m:r>
          <w:rPr>
            <w:rFonts w:ascii="Cambria Math" w:hAnsi="Cambria Math"/>
          </w:rPr>
          <m:t>)</m:t>
        </m:r>
      </m:oMath>
      <w:r>
        <w:rPr>
          <w:rFonts w:eastAsiaTheme="minorEastAsia"/>
        </w:rPr>
        <w:t xml:space="preserve"> being close to 1 —</w:t>
      </w:r>
      <w:r>
        <w:t xml:space="preserve"> we are predicting conduction at that time. Conversely, if </w:t>
      </w:r>
      <m:oMath>
        <m:r>
          <w:rPr>
            <w:rFonts w:ascii="Cambria Math" w:hAnsi="Cambria Math"/>
          </w:rPr>
          <m:t>k(</m:t>
        </m:r>
        <m:sSub>
          <m:sSubPr>
            <m:ctrlPr>
              <w:rPr>
                <w:rFonts w:ascii="Cambria Math" w:hAnsi="Cambria Math"/>
                <w:i/>
              </w:rPr>
            </m:ctrlPr>
          </m:sSubPr>
          <m:e>
            <m:r>
              <w:rPr>
                <w:rFonts w:ascii="Cambria Math" w:hAnsi="Cambria Math"/>
              </w:rPr>
              <m:t>x</m:t>
            </m:r>
          </m:e>
          <m:sub>
            <m:r>
              <w:rPr>
                <w:rFonts w:ascii="Cambria Math" w:hAnsi="Cambria Math"/>
              </w:rPr>
              <m:t>n,i</m:t>
            </m:r>
          </m:sub>
        </m:sSub>
        <m:r>
          <w:rPr>
            <w:rFonts w:ascii="Cambria Math" w:hAnsi="Cambria Math"/>
          </w:rPr>
          <m:t>)</m:t>
        </m:r>
      </m:oMath>
      <w:r>
        <w:rPr>
          <w:rFonts w:eastAsiaTheme="minorEastAsia"/>
        </w:rPr>
        <w:t xml:space="preserve"> is larger than </w:t>
      </w:r>
      <m:oMath>
        <m:r>
          <w:rPr>
            <w:rFonts w:ascii="Cambria Math" w:hAnsi="Cambria Math"/>
          </w:rPr>
          <m:t>c(</m:t>
        </m:r>
        <m:sSub>
          <m:sSubPr>
            <m:ctrlPr>
              <w:rPr>
                <w:rFonts w:ascii="Cambria Math" w:hAnsi="Cambria Math"/>
                <w:i/>
              </w:rPr>
            </m:ctrlPr>
          </m:sSubPr>
          <m:e>
            <m:r>
              <w:rPr>
                <w:rFonts w:ascii="Cambria Math" w:hAnsi="Cambria Math"/>
              </w:rPr>
              <m:t>x</m:t>
            </m:r>
          </m:e>
          <m:sub>
            <m:r>
              <w:rPr>
                <w:rFonts w:ascii="Cambria Math" w:hAnsi="Cambria Math"/>
              </w:rPr>
              <m:t>n,i</m:t>
            </m:r>
          </m:sub>
        </m:sSub>
        <m:r>
          <w:rPr>
            <w:rFonts w:ascii="Cambria Math" w:hAnsi="Cambria Math"/>
          </w:rPr>
          <m:t>)</m:t>
        </m:r>
      </m:oMath>
      <w:r>
        <w:rPr>
          <w:rFonts w:eastAsiaTheme="minorEastAsia"/>
        </w:rPr>
        <w:t xml:space="preserve"> — i.e., </w:t>
      </w:r>
      <m:oMath>
        <m:sSub>
          <m:sSubPr>
            <m:ctrlPr>
              <w:rPr>
                <w:rFonts w:ascii="Cambria Math" w:hAnsi="Cambria Math"/>
                <w:i/>
              </w:rPr>
            </m:ctrlPr>
          </m:sSubPr>
          <m:e>
            <m:r>
              <w:rPr>
                <w:rFonts w:ascii="Cambria Math" w:hAnsi="Cambria Math"/>
              </w:rPr>
              <m:t>σ</m:t>
            </m:r>
          </m:e>
          <m:sub>
            <m:r>
              <w:rPr>
                <w:rFonts w:ascii="Cambria Math" w:hAnsi="Cambria Math"/>
              </w:rPr>
              <m:t>c</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n,i</m:t>
            </m:r>
          </m:sub>
        </m:sSub>
        <m:r>
          <w:rPr>
            <w:rFonts w:ascii="Cambria Math" w:hAnsi="Cambria Math"/>
          </w:rPr>
          <m:t>)</m:t>
        </m:r>
      </m:oMath>
      <w:r>
        <w:rPr>
          <w:rFonts w:eastAsiaTheme="minorEastAsia"/>
        </w:rPr>
        <w:t xml:space="preserve"> is small, close to 0 — we are predicting </w:t>
      </w:r>
      <w:r w:rsidR="00F7545A">
        <w:rPr>
          <w:rFonts w:eastAsiaTheme="minorEastAsia"/>
        </w:rPr>
        <w:t xml:space="preserve">the </w:t>
      </w:r>
      <w:r>
        <w:rPr>
          <w:rFonts w:eastAsiaTheme="minorEastAsia"/>
        </w:rPr>
        <w:t xml:space="preserve">keyhole at the </w:t>
      </w:r>
      <w:r w:rsidRPr="00AC6F26">
        <w:rPr>
          <w:rFonts w:eastAsiaTheme="minorEastAsia"/>
          <w:i/>
        </w:rPr>
        <w:t>i</w:t>
      </w:r>
      <w:r>
        <w:rPr>
          <w:rFonts w:eastAsiaTheme="minorEastAsia"/>
        </w:rPr>
        <w:t xml:space="preserve">-th time step of </w:t>
      </w:r>
      <m:oMath>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n</m:t>
            </m:r>
          </m:sub>
        </m:sSub>
      </m:oMath>
      <w:r>
        <w:rPr>
          <w:rFonts w:eastAsiaTheme="minorEastAsia"/>
        </w:rPr>
        <w:t xml:space="preserve">. </w:t>
      </w:r>
      <w:r>
        <w:t>See</w:t>
      </w:r>
      <w:r w:rsidRPr="00BE226A">
        <w:rPr>
          <w:color w:val="FF0000"/>
        </w:rPr>
        <w:t xml:space="preserve"> </w:t>
      </w:r>
      <w:r w:rsidR="001308BA">
        <w:rPr>
          <w:color w:val="FF0000"/>
        </w:rPr>
        <w:fldChar w:fldCharType="begin"/>
      </w:r>
      <w:r w:rsidR="001308BA">
        <w:rPr>
          <w:color w:val="FF0000"/>
        </w:rPr>
        <w:instrText xml:space="preserve"> REF _Ref125448852 \h </w:instrText>
      </w:r>
      <w:r w:rsidR="001308BA">
        <w:rPr>
          <w:color w:val="FF0000"/>
        </w:rPr>
      </w:r>
      <w:r w:rsidR="001308BA">
        <w:rPr>
          <w:color w:val="FF0000"/>
        </w:rPr>
        <w:fldChar w:fldCharType="separate"/>
      </w:r>
      <w:r w:rsidR="001308BA" w:rsidRPr="008F0046">
        <w:rPr>
          <w:b/>
        </w:rPr>
        <w:t xml:space="preserve">Supplementary Figure </w:t>
      </w:r>
      <w:r w:rsidR="001308BA">
        <w:rPr>
          <w:b/>
          <w:noProof/>
        </w:rPr>
        <w:t>6</w:t>
      </w:r>
      <w:r w:rsidR="001308BA">
        <w:rPr>
          <w:color w:val="FF0000"/>
        </w:rPr>
        <w:fldChar w:fldCharType="end"/>
      </w:r>
      <w:r w:rsidRPr="0050288B">
        <w:rPr>
          <w:b/>
        </w:rPr>
        <w:t>a</w:t>
      </w:r>
      <w:r w:rsidRPr="008A350A">
        <w:t xml:space="preserve"> </w:t>
      </w:r>
      <w:r>
        <w:t>for the complete block diagram. Notice that by providing a prediction per data point, the complete pipeline results in a segmentation algorithm with the goal of dividing each AE signal into segments, each corresponding to a melting regime between conduction, stable keyhole, and unstable keyhole</w:t>
      </w:r>
      <w:bookmarkStart w:id="9" w:name="_Int_0Ku1LWay"/>
      <w:r w:rsidRPr="005D1925">
        <w:rPr>
          <w:sz w:val="16"/>
          <w:szCs w:val="16"/>
        </w:rPr>
        <w:t xml:space="preserve">. </w:t>
      </w:r>
      <w:bookmarkEnd w:id="9"/>
    </w:p>
    <w:p w14:paraId="794E639E" w14:textId="593CAFA8" w:rsidR="008F0046" w:rsidRDefault="008F0046" w:rsidP="008F0046">
      <w:pPr>
        <w:jc w:val="both"/>
      </w:pPr>
      <w:r>
        <w:lastRenderedPageBreak/>
        <w:t xml:space="preserve">Our approach to segmenting the melting regimes for LPBF processes is built upon initial empirical observations of the available data, specifically </w:t>
      </w:r>
      <w:r w:rsidR="00F7545A">
        <w:t xml:space="preserve">the </w:t>
      </w:r>
      <w:r>
        <w:t>time-frequency analysis of the signals. Through this analysis, we were able to identify specific spectral characteristics that correspond to the conduction and keyhole regimes. However, we recognized that relying solely on these observations may not deliver the most optimal results for all available signals. Therefore, to optimize the discrimination of the regimes, we adopted a data-driven approach to improve the pipeline further.</w:t>
      </w:r>
    </w:p>
    <w:p w14:paraId="4F50A619" w14:textId="77777777" w:rsidR="008F0046" w:rsidRDefault="008F0046" w:rsidP="008F0046">
      <w:pPr>
        <w:jc w:val="both"/>
      </w:pPr>
      <w:r>
        <w:t>This approach utilizes annotated data to fine-tune the pipeline, going beyond the initial time-frequency insights and applying a data-driven filter that allows one of the two output signals to be more intense when the corresponding regime is occurring. This fine-tuning allows for a more accurate and reliable segmentation of the regimes, which is crucial for real-time in-situ monitoring of the LPBF process.</w:t>
      </w:r>
    </w:p>
    <w:p w14:paraId="6400F71B" w14:textId="24D32FC4" w:rsidR="008F0046" w:rsidRDefault="008F0046" w:rsidP="008F0046">
      <w:pPr>
        <w:jc w:val="both"/>
      </w:pPr>
      <w:r>
        <w:t>Precisely, to guide the filter design optimization, we have used a variation over the cross-e</w:t>
      </w:r>
      <w:r w:rsidRPr="00A72558">
        <w:t>ntropy loss</w:t>
      </w:r>
      <w:r>
        <w:t>,</w:t>
      </w:r>
      <w:r w:rsidRPr="00A72558">
        <w:t xml:space="preserve"> </w:t>
      </w:r>
      <w:r>
        <w:t xml:space="preserve">which ensures a low score when the pipeline segmentation matches the ground truth </w:t>
      </w:r>
      <w:r w:rsidRPr="00A72558">
        <w:t>and a high one otherwise</w:t>
      </w:r>
      <w:r>
        <w:t xml:space="preserve"> — e.g., when </w:t>
      </w:r>
      <m:oMath>
        <m:sSub>
          <m:sSubPr>
            <m:ctrlPr>
              <w:rPr>
                <w:rFonts w:ascii="Cambria Math" w:hAnsi="Cambria Math"/>
                <w:i/>
              </w:rPr>
            </m:ctrlPr>
          </m:sSubPr>
          <m:e>
            <m:r>
              <w:rPr>
                <w:rFonts w:ascii="Cambria Math" w:hAnsi="Cambria Math"/>
              </w:rPr>
              <m:t>σ</m:t>
            </m:r>
          </m:e>
          <m:sub>
            <m:r>
              <w:rPr>
                <w:rFonts w:ascii="Cambria Math" w:hAnsi="Cambria Math"/>
              </w:rPr>
              <m:t>c</m:t>
            </m:r>
          </m:sub>
        </m:sSub>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n,i</m:t>
                </m:r>
              </m:sub>
            </m:sSub>
          </m:e>
        </m:d>
      </m:oMath>
      <w:r>
        <w:t xml:space="preserve"> is close to zero, even though </w:t>
      </w:r>
      <m:oMath>
        <m:sSub>
          <m:sSubPr>
            <m:ctrlPr>
              <w:rPr>
                <w:rFonts w:ascii="Cambria Math" w:hAnsi="Cambria Math"/>
                <w:i/>
              </w:rPr>
            </m:ctrlPr>
          </m:sSubPr>
          <m:e>
            <m:r>
              <w:rPr>
                <w:rFonts w:ascii="Cambria Math" w:hAnsi="Cambria Math"/>
              </w:rPr>
              <m:t>x</m:t>
            </m:r>
          </m:e>
          <m:sub>
            <m:r>
              <w:rPr>
                <w:rFonts w:ascii="Cambria Math" w:hAnsi="Cambria Math"/>
              </w:rPr>
              <m:t>n,i</m:t>
            </m:r>
          </m:sub>
        </m:sSub>
      </m:oMath>
      <w:r>
        <w:t xml:space="preserve"> should correspond to conduction mode</w:t>
      </w:r>
      <w:r w:rsidRPr="00A72558">
        <w:t>.</w:t>
      </w:r>
      <w:r>
        <w:t xml:space="preserve"> </w:t>
      </w:r>
      <w:r w:rsidRPr="004D3171">
        <w:t xml:space="preserve">The ground truth in this context refers to the annotated data that provides the true labels </w:t>
      </w:r>
      <w:r>
        <w:t xml:space="preserve">— derived from the X-ray videos, </w:t>
      </w:r>
      <w:r w:rsidRPr="009C2CFF">
        <w:t xml:space="preserve">see Section </w:t>
      </w:r>
      <w:r w:rsidR="006A09B8" w:rsidRPr="009C2CFF">
        <w:t xml:space="preserve">2.1 </w:t>
      </w:r>
      <w:r>
        <w:t xml:space="preserve">— </w:t>
      </w:r>
      <w:r w:rsidRPr="004D3171">
        <w:t>for each data point, indicating whether it corresponds to the conduction or keyhole regime</w:t>
      </w:r>
      <w:r>
        <w:t xml:space="preserve">. Specifically, the risk function (cross-entropy through time) is defined as follows: </w:t>
      </w:r>
    </w:p>
    <w:p w14:paraId="1414A17A" w14:textId="77777777" w:rsidR="008F0046" w:rsidRDefault="00BD7108" w:rsidP="008F0046">
      <w:pPr>
        <w:jc w:val="center"/>
        <w:rPr>
          <w:rFonts w:eastAsiaTheme="minorEastAsia"/>
        </w:rPr>
      </w:pPr>
      <m:oMath>
        <m:sSub>
          <m:sSubPr>
            <m:ctrlPr>
              <w:rPr>
                <w:rFonts w:ascii="Cambria Math" w:hAnsi="Cambria Math"/>
                <w:i/>
              </w:rPr>
            </m:ctrlPr>
          </m:sSubPr>
          <m:e>
            <m:r>
              <w:rPr>
                <w:rFonts w:ascii="Cambria Math" w:hAnsi="Cambria Math"/>
              </w:rPr>
              <m:t>R</m:t>
            </m:r>
          </m:e>
          <m:sub>
            <m:r>
              <w:rPr>
                <w:rFonts w:ascii="Cambria Math" w:hAnsi="Cambria Math"/>
              </w:rPr>
              <m:t>D</m:t>
            </m:r>
          </m:sub>
        </m:sSub>
        <m:d>
          <m:dPr>
            <m:ctrlPr>
              <w:rPr>
                <w:rFonts w:ascii="Cambria Math" w:hAnsi="Cambria Math"/>
                <w:i/>
              </w:rPr>
            </m:ctrlPr>
          </m:dPr>
          <m:e>
            <m:sSub>
              <m:sSubPr>
                <m:ctrlPr>
                  <w:rPr>
                    <w:rFonts w:ascii="Cambria Math" w:hAnsi="Cambria Math"/>
                    <w:i/>
                  </w:rPr>
                </m:ctrlPr>
              </m:sSubPr>
              <m:e>
                <m:r>
                  <w:rPr>
                    <w:rFonts w:ascii="Cambria Math" w:hAnsi="Cambria Math"/>
                  </w:rPr>
                  <m:t>ϑ</m:t>
                </m:r>
              </m:e>
              <m:sub>
                <m:r>
                  <w:rPr>
                    <w:rFonts w:ascii="Cambria Math" w:hAnsi="Cambria Math"/>
                  </w:rPr>
                  <m:t>c</m:t>
                </m:r>
              </m:sub>
            </m:sSub>
            <m:r>
              <w:rPr>
                <w:rFonts w:ascii="Cambria Math" w:hAnsi="Cambria Math"/>
              </w:rPr>
              <m:t>,</m:t>
            </m:r>
            <m:sSub>
              <m:sSubPr>
                <m:ctrlPr>
                  <w:rPr>
                    <w:rFonts w:ascii="Cambria Math" w:hAnsi="Cambria Math"/>
                    <w:i/>
                  </w:rPr>
                </m:ctrlPr>
              </m:sSubPr>
              <m:e>
                <m:r>
                  <w:rPr>
                    <w:rFonts w:ascii="Cambria Math" w:hAnsi="Cambria Math"/>
                  </w:rPr>
                  <m:t>ϑ</m:t>
                </m:r>
              </m:e>
              <m:sub>
                <m:r>
                  <w:rPr>
                    <w:rFonts w:ascii="Cambria Math" w:hAnsi="Cambria Math"/>
                  </w:rPr>
                  <m:t>k</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n</m:t>
                </m:r>
              </m:sub>
            </m:sSub>
          </m:e>
        </m:d>
        <m:r>
          <w:rPr>
            <w:rFonts w:ascii="Cambria Math" w:hAnsi="Cambria Math"/>
          </w:rPr>
          <m:t xml:space="preserve"> = -</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T</m:t>
                </m:r>
              </m:e>
              <m:sub>
                <m:r>
                  <w:rPr>
                    <w:rFonts w:ascii="Cambria Math" w:hAnsi="Cambria Math"/>
                  </w:rPr>
                  <m:t>n</m:t>
                </m:r>
              </m:sub>
            </m:sSub>
          </m:den>
        </m:f>
        <m:nary>
          <m:naryPr>
            <m:chr m:val="∑"/>
            <m:limLoc m:val="undOvr"/>
            <m:ctrlPr>
              <w:rPr>
                <w:rFonts w:ascii="Cambria Math" w:hAnsi="Cambria Math"/>
                <w:i/>
              </w:rPr>
            </m:ctrlPr>
          </m:naryPr>
          <m:sub>
            <m:r>
              <w:rPr>
                <w:rFonts w:ascii="Cambria Math" w:hAnsi="Cambria Math"/>
              </w:rPr>
              <m:t>i=1</m:t>
            </m:r>
          </m:sub>
          <m:sup>
            <m:sSub>
              <m:sSubPr>
                <m:ctrlPr>
                  <w:rPr>
                    <w:rFonts w:ascii="Cambria Math" w:hAnsi="Cambria Math"/>
                    <w:i/>
                  </w:rPr>
                </m:ctrlPr>
              </m:sSubPr>
              <m:e>
                <m:r>
                  <w:rPr>
                    <w:rFonts w:ascii="Cambria Math" w:hAnsi="Cambria Math"/>
                  </w:rPr>
                  <m:t>T</m:t>
                </m:r>
              </m:e>
              <m:sub>
                <m:r>
                  <w:rPr>
                    <w:rFonts w:ascii="Cambria Math" w:hAnsi="Cambria Math"/>
                  </w:rPr>
                  <m:t>n</m:t>
                </m:r>
              </m:sub>
            </m:sSub>
          </m:sup>
          <m:e>
            <m:sSub>
              <m:sSubPr>
                <m:ctrlPr>
                  <w:rPr>
                    <w:rFonts w:ascii="Cambria Math" w:hAnsi="Cambria Math"/>
                    <w:i/>
                  </w:rPr>
                </m:ctrlPr>
              </m:sSubPr>
              <m:e>
                <m:r>
                  <w:rPr>
                    <w:rFonts w:ascii="Cambria Math" w:hAnsi="Cambria Math"/>
                  </w:rPr>
                  <m:t>β</m:t>
                </m:r>
              </m:e>
              <m:sub>
                <m:r>
                  <w:rPr>
                    <w:rFonts w:ascii="Cambria Math" w:hAnsi="Cambria Math"/>
                  </w:rPr>
                  <m:t>k</m:t>
                </m:r>
              </m:sub>
            </m:sSub>
            <m:r>
              <w:rPr>
                <w:rFonts w:ascii="Cambria Math" w:hAnsi="Cambria Math"/>
              </w:rPr>
              <m:t>γ</m:t>
            </m:r>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n,i</m:t>
                    </m:r>
                  </m:sub>
                </m:sSub>
              </m:e>
            </m:d>
            <m:func>
              <m:funcPr>
                <m:ctrlPr>
                  <w:rPr>
                    <w:rFonts w:ascii="Cambria Math" w:hAnsi="Cambria Math"/>
                    <w:i/>
                  </w:rPr>
                </m:ctrlPr>
              </m:funcPr>
              <m:fName>
                <m:r>
                  <m:rPr>
                    <m:sty m:val="p"/>
                  </m:rPr>
                  <w:rPr>
                    <w:rFonts w:ascii="Cambria Math" w:hAnsi="Cambria Math"/>
                  </w:rPr>
                  <m:t>ln</m:t>
                </m:r>
                <m:d>
                  <m:dPr>
                    <m:ctrlPr>
                      <w:rPr>
                        <w:rFonts w:ascii="Cambria Math" w:hAnsi="Cambria Math"/>
                      </w:rPr>
                    </m:ctrlPr>
                  </m:dPr>
                  <m:e>
                    <m:sSub>
                      <m:sSubPr>
                        <m:ctrlPr>
                          <w:rPr>
                            <w:rFonts w:ascii="Cambria Math" w:hAnsi="Cambria Math"/>
                            <w:i/>
                          </w:rPr>
                        </m:ctrlPr>
                      </m:sSubPr>
                      <m:e>
                        <m:r>
                          <w:rPr>
                            <w:rFonts w:ascii="Cambria Math" w:hAnsi="Cambria Math"/>
                          </w:rPr>
                          <m:t>σ</m:t>
                        </m:r>
                      </m:e>
                      <m:sub>
                        <m:r>
                          <w:rPr>
                            <w:rFonts w:ascii="Cambria Math" w:hAnsi="Cambria Math"/>
                          </w:rPr>
                          <m:t>k</m:t>
                        </m:r>
                      </m:sub>
                    </m:sSub>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n,i</m:t>
                            </m:r>
                          </m:sub>
                        </m:sSub>
                      </m:e>
                    </m:d>
                  </m:e>
                </m:d>
              </m:fName>
              <m:e>
                <m:r>
                  <w:rPr>
                    <w:rFonts w:ascii="Cambria Math" w:hAnsi="Cambria Math"/>
                  </w:rPr>
                  <m:t xml:space="preserve"> </m:t>
                </m:r>
              </m:e>
            </m:func>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c</m:t>
                </m:r>
              </m:sub>
            </m:sSub>
            <m:d>
              <m:dPr>
                <m:ctrlPr>
                  <w:rPr>
                    <w:rFonts w:ascii="Cambria Math" w:hAnsi="Cambria Math"/>
                    <w:i/>
                  </w:rPr>
                </m:ctrlPr>
              </m:dPr>
              <m:e>
                <m:r>
                  <w:rPr>
                    <w:rFonts w:ascii="Cambria Math" w:hAnsi="Cambria Math"/>
                  </w:rPr>
                  <m:t>1-γ</m:t>
                </m:r>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n,i</m:t>
                        </m:r>
                      </m:sub>
                    </m:sSub>
                  </m:e>
                </m:d>
              </m:e>
            </m:d>
            <m:r>
              <m:rPr>
                <m:sty m:val="p"/>
              </m:rPr>
              <w:rPr>
                <w:rFonts w:ascii="Cambria Math" w:hAnsi="Cambria Math"/>
              </w:rPr>
              <m:t>ln</m:t>
            </m:r>
            <m:d>
              <m:dPr>
                <m:ctrlPr>
                  <w:rPr>
                    <w:rFonts w:ascii="Cambria Math" w:hAnsi="Cambria Math"/>
                  </w:rPr>
                </m:ctrlPr>
              </m:dPr>
              <m:e>
                <m:sSub>
                  <m:sSubPr>
                    <m:ctrlPr>
                      <w:rPr>
                        <w:rFonts w:ascii="Cambria Math" w:hAnsi="Cambria Math"/>
                        <w:i/>
                      </w:rPr>
                    </m:ctrlPr>
                  </m:sSubPr>
                  <m:e>
                    <m:r>
                      <w:rPr>
                        <w:rFonts w:ascii="Cambria Math" w:hAnsi="Cambria Math"/>
                      </w:rPr>
                      <m:t>σ</m:t>
                    </m:r>
                  </m:e>
                  <m:sub>
                    <m:r>
                      <w:rPr>
                        <w:rFonts w:ascii="Cambria Math" w:hAnsi="Cambria Math"/>
                      </w:rPr>
                      <m:t>c</m:t>
                    </m:r>
                  </m:sub>
                </m:sSub>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n,i</m:t>
                        </m:r>
                      </m:sub>
                    </m:sSub>
                  </m:e>
                </m:d>
              </m:e>
            </m:d>
          </m:e>
        </m:nary>
      </m:oMath>
      <w:r w:rsidR="008F0046">
        <w:rPr>
          <w:rFonts w:eastAsiaTheme="minorEastAsia"/>
        </w:rPr>
        <w:t>, (5)</w:t>
      </w:r>
    </w:p>
    <w:p w14:paraId="7683708D" w14:textId="77777777" w:rsidR="008F0046" w:rsidRDefault="008F0046" w:rsidP="008F0046">
      <w:pPr>
        <w:jc w:val="both"/>
        <w:rPr>
          <w:rFonts w:eastAsiaTheme="minorEastAsia"/>
        </w:rPr>
      </w:pPr>
      <w:r w:rsidRPr="181118EF">
        <w:rPr>
          <w:rFonts w:eastAsiaTheme="minorEastAsia"/>
        </w:rPr>
        <w:t xml:space="preserve">where </w:t>
      </w:r>
      <m:oMath>
        <m:sSub>
          <m:sSubPr>
            <m:ctrlPr>
              <w:rPr>
                <w:rFonts w:ascii="Cambria Math" w:hAnsi="Cambria Math"/>
                <w:i/>
              </w:rPr>
            </m:ctrlPr>
          </m:sSubPr>
          <m:e>
            <m:r>
              <w:rPr>
                <w:rFonts w:ascii="Cambria Math" w:hAnsi="Cambria Math"/>
              </w:rPr>
              <m:t>T</m:t>
            </m:r>
          </m:e>
          <m:sub>
            <m:r>
              <w:rPr>
                <w:rFonts w:ascii="Cambria Math" w:hAnsi="Cambria Math"/>
              </w:rPr>
              <m:t>n</m:t>
            </m:r>
          </m:sub>
        </m:sSub>
      </m:oMath>
      <w:r w:rsidRPr="181118EF">
        <w:rPr>
          <w:rFonts w:eastAsiaTheme="minorEastAsia"/>
        </w:rPr>
        <w:t xml:space="preserve"> denotes the number of </w:t>
      </w:r>
      <w:proofErr w:type="gramStart"/>
      <w:r w:rsidRPr="181118EF">
        <w:rPr>
          <w:rFonts w:eastAsiaTheme="minorEastAsia"/>
        </w:rPr>
        <w:t>data</w:t>
      </w:r>
      <w:proofErr w:type="gramEnd"/>
      <w:r w:rsidRPr="181118EF">
        <w:rPr>
          <w:rFonts w:eastAsiaTheme="minorEastAsia"/>
        </w:rPr>
        <w:t xml:space="preserve"> points the signal </w:t>
      </w:r>
      <m:oMath>
        <m:sSub>
          <m:sSubPr>
            <m:ctrlPr>
              <w:rPr>
                <w:rFonts w:ascii="Cambria Math" w:hAnsi="Cambria Math"/>
                <w:i/>
              </w:rPr>
            </m:ctrlPr>
          </m:sSubPr>
          <m:e>
            <m:r>
              <w:rPr>
                <w:rFonts w:ascii="Cambria Math" w:hAnsi="Cambria Math"/>
              </w:rPr>
              <m:t>x</m:t>
            </m:r>
          </m:e>
          <m:sub>
            <m:r>
              <w:rPr>
                <w:rFonts w:ascii="Cambria Math" w:hAnsi="Cambria Math"/>
              </w:rPr>
              <m:t>n</m:t>
            </m:r>
          </m:sub>
        </m:sSub>
      </m:oMath>
      <w:r w:rsidRPr="181118EF">
        <w:rPr>
          <w:rFonts w:eastAsiaTheme="minorEastAsia"/>
        </w:rPr>
        <w:t xml:space="preserve"> is made up of, </w:t>
      </w:r>
      <m:oMath>
        <m:r>
          <w:rPr>
            <w:rFonts w:ascii="Cambria Math" w:hAnsi="Cambria Math"/>
          </w:rPr>
          <m:t>γ</m:t>
        </m:r>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n,i</m:t>
                </m:r>
              </m:sub>
            </m:sSub>
          </m:e>
        </m:d>
      </m:oMath>
      <w:r w:rsidRPr="181118EF">
        <w:rPr>
          <w:rFonts w:eastAsiaTheme="minorEastAsia"/>
        </w:rPr>
        <w:t xml:space="preserve"> = 1 if </w:t>
      </w:r>
      <m:oMath>
        <m:sSub>
          <m:sSubPr>
            <m:ctrlPr>
              <w:rPr>
                <w:rFonts w:ascii="Cambria Math" w:hAnsi="Cambria Math"/>
                <w:i/>
              </w:rPr>
            </m:ctrlPr>
          </m:sSubPr>
          <m:e>
            <m:r>
              <w:rPr>
                <w:rFonts w:ascii="Cambria Math" w:hAnsi="Cambria Math"/>
              </w:rPr>
              <m:t>x</m:t>
            </m:r>
          </m:e>
          <m:sub>
            <m:r>
              <w:rPr>
                <w:rFonts w:ascii="Cambria Math" w:hAnsi="Cambria Math"/>
              </w:rPr>
              <m:t>n,i</m:t>
            </m:r>
          </m:sub>
        </m:sSub>
      </m:oMath>
      <w:r w:rsidRPr="181118EF">
        <w:rPr>
          <w:rFonts w:eastAsiaTheme="minorEastAsia"/>
        </w:rPr>
        <w:t xml:space="preserve"> corresponds to keyhole and </w:t>
      </w:r>
      <m:oMath>
        <m:r>
          <w:rPr>
            <w:rFonts w:ascii="Cambria Math" w:hAnsi="Cambria Math"/>
          </w:rPr>
          <m:t>γ</m:t>
        </m:r>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n,i</m:t>
                </m:r>
              </m:sub>
            </m:sSub>
          </m:e>
        </m:d>
      </m:oMath>
      <w:r w:rsidRPr="181118EF">
        <w:rPr>
          <w:rFonts w:eastAsiaTheme="minorEastAsia"/>
        </w:rPr>
        <w:t xml:space="preserve"> = 0 if </w:t>
      </w:r>
      <m:oMath>
        <m:sSub>
          <m:sSubPr>
            <m:ctrlPr>
              <w:rPr>
                <w:rFonts w:ascii="Cambria Math" w:hAnsi="Cambria Math"/>
                <w:i/>
              </w:rPr>
            </m:ctrlPr>
          </m:sSubPr>
          <m:e>
            <m:r>
              <w:rPr>
                <w:rFonts w:ascii="Cambria Math" w:hAnsi="Cambria Math"/>
              </w:rPr>
              <m:t>x</m:t>
            </m:r>
          </m:e>
          <m:sub>
            <m:r>
              <w:rPr>
                <w:rFonts w:ascii="Cambria Math" w:hAnsi="Cambria Math"/>
              </w:rPr>
              <m:t>n,i</m:t>
            </m:r>
          </m:sub>
        </m:sSub>
      </m:oMath>
      <w:r w:rsidRPr="181118EF">
        <w:rPr>
          <w:rFonts w:eastAsiaTheme="minorEastAsia"/>
        </w:rPr>
        <w:t xml:space="preserve"> corresponds to conduction</w:t>
      </w:r>
      <w:r>
        <w:rPr>
          <w:rFonts w:eastAsiaTheme="minorEastAsia"/>
        </w:rPr>
        <w:t xml:space="preserve"> mode</w:t>
      </w:r>
      <w:r w:rsidRPr="181118EF">
        <w:rPr>
          <w:rFonts w:eastAsiaTheme="minorEastAsia"/>
        </w:rPr>
        <w:t xml:space="preserve"> according to the </w:t>
      </w:r>
      <w:r>
        <w:rPr>
          <w:rFonts w:eastAsiaTheme="minorEastAsia"/>
        </w:rPr>
        <w:t>g</w:t>
      </w:r>
      <w:r w:rsidRPr="181118EF">
        <w:rPr>
          <w:rFonts w:eastAsiaTheme="minorEastAsia"/>
        </w:rPr>
        <w:t xml:space="preserve">round </w:t>
      </w:r>
      <w:r>
        <w:rPr>
          <w:rFonts w:eastAsiaTheme="minorEastAsia"/>
        </w:rPr>
        <w:t>t</w:t>
      </w:r>
      <w:r w:rsidRPr="181118EF">
        <w:rPr>
          <w:rFonts w:eastAsiaTheme="minorEastAsia"/>
        </w:rPr>
        <w:t>ruth. The parameter</w:t>
      </w:r>
      <m:oMath>
        <m:r>
          <w:rPr>
            <w:rFonts w:ascii="Cambria Math" w:eastAsiaTheme="minorEastAsia" w:hAnsi="Cambria Math"/>
          </w:rPr>
          <m:t xml:space="preserve">s </m:t>
        </m:r>
        <m:sSub>
          <m:sSubPr>
            <m:ctrlPr>
              <w:rPr>
                <w:rFonts w:ascii="Cambria Math" w:hAnsi="Cambria Math"/>
                <w:i/>
              </w:rPr>
            </m:ctrlPr>
          </m:sSubPr>
          <m:e>
            <m:r>
              <w:rPr>
                <w:rFonts w:ascii="Cambria Math" w:hAnsi="Cambria Math"/>
              </w:rPr>
              <m:t>β</m:t>
            </m:r>
          </m:e>
          <m:sub>
            <m:r>
              <w:rPr>
                <w:rFonts w:ascii="Cambria Math" w:hAnsi="Cambria Math"/>
              </w:rPr>
              <m:t>k</m:t>
            </m:r>
          </m:sub>
        </m:sSub>
      </m:oMath>
      <w:r>
        <w:rPr>
          <w:rFonts w:eastAsiaTheme="minorEastAsia"/>
        </w:rPr>
        <w:t xml:space="preserve"> and </w:t>
      </w:r>
      <m:oMath>
        <m:sSub>
          <m:sSubPr>
            <m:ctrlPr>
              <w:rPr>
                <w:rFonts w:ascii="Cambria Math" w:hAnsi="Cambria Math"/>
                <w:i/>
              </w:rPr>
            </m:ctrlPr>
          </m:sSubPr>
          <m:e>
            <m:r>
              <w:rPr>
                <w:rFonts w:ascii="Cambria Math" w:hAnsi="Cambria Math"/>
              </w:rPr>
              <m:t>β</m:t>
            </m:r>
          </m:e>
          <m:sub>
            <m:r>
              <w:rPr>
                <w:rFonts w:ascii="Cambria Math" w:hAnsi="Cambria Math"/>
              </w:rPr>
              <m:t>c</m:t>
            </m:r>
          </m:sub>
        </m:sSub>
      </m:oMath>
      <w:r w:rsidRPr="181118EF">
        <w:rPr>
          <w:rFonts w:eastAsiaTheme="minorEastAsia"/>
        </w:rPr>
        <w:t xml:space="preserve"> act as</w:t>
      </w:r>
      <w:r w:rsidRPr="181118EF" w:rsidDel="0013200A">
        <w:rPr>
          <w:rFonts w:eastAsiaTheme="minorEastAsia"/>
        </w:rPr>
        <w:t xml:space="preserve"> </w:t>
      </w:r>
      <w:r w:rsidRPr="181118EF">
        <w:rPr>
          <w:rFonts w:eastAsiaTheme="minorEastAsia"/>
        </w:rPr>
        <w:t xml:space="preserve">balancing </w:t>
      </w:r>
      <w:r>
        <w:rPr>
          <w:rFonts w:eastAsiaTheme="minorEastAsia"/>
        </w:rPr>
        <w:t>coefficients</w:t>
      </w:r>
      <w:r w:rsidRPr="181118EF">
        <w:rPr>
          <w:rFonts w:eastAsiaTheme="minorEastAsia"/>
        </w:rPr>
        <w:t xml:space="preserve"> between keyhole and conduction occurrences, which are not equally distributed, and </w:t>
      </w:r>
      <w:r>
        <w:rPr>
          <w:rFonts w:eastAsiaTheme="minorEastAsia"/>
        </w:rPr>
        <w:t>their</w:t>
      </w:r>
      <w:r w:rsidRPr="181118EF" w:rsidDel="004A711D">
        <w:rPr>
          <w:rFonts w:eastAsiaTheme="minorEastAsia"/>
        </w:rPr>
        <w:t xml:space="preserve"> </w:t>
      </w:r>
      <w:r w:rsidRPr="181118EF">
        <w:rPr>
          <w:rFonts w:eastAsiaTheme="minorEastAsia"/>
        </w:rPr>
        <w:t>value</w:t>
      </w:r>
      <w:r>
        <w:rPr>
          <w:rFonts w:eastAsiaTheme="minorEastAsia"/>
        </w:rPr>
        <w:t>s</w:t>
      </w:r>
      <w:r w:rsidRPr="181118EF">
        <w:rPr>
          <w:rFonts w:eastAsiaTheme="minorEastAsia"/>
        </w:rPr>
        <w:t xml:space="preserve"> </w:t>
      </w:r>
      <w:r>
        <w:rPr>
          <w:rFonts w:eastAsiaTheme="minorEastAsia"/>
        </w:rPr>
        <w:t>are</w:t>
      </w:r>
      <w:r w:rsidRPr="181118EF">
        <w:rPr>
          <w:rFonts w:eastAsiaTheme="minorEastAsia"/>
        </w:rPr>
        <w:t xml:space="preserve"> given by:</w:t>
      </w:r>
    </w:p>
    <w:p w14:paraId="2B81CA02" w14:textId="77777777" w:rsidR="008F0046" w:rsidRDefault="00BD7108" w:rsidP="008F0046">
      <w:pPr>
        <w:jc w:val="center"/>
        <w:rPr>
          <w:rFonts w:ascii="Cambria Math" w:eastAsiaTheme="minorEastAsia" w:hAnsi="Cambria Math"/>
        </w:rPr>
      </w:pPr>
      <m:oMath>
        <m:sSub>
          <m:sSubPr>
            <m:ctrlPr>
              <w:rPr>
                <w:rFonts w:ascii="Cambria Math" w:hAnsi="Cambria Math"/>
                <w:i/>
              </w:rPr>
            </m:ctrlPr>
          </m:sSubPr>
          <m:e>
            <m:r>
              <w:rPr>
                <w:rFonts w:ascii="Cambria Math" w:hAnsi="Cambria Math"/>
              </w:rPr>
              <m:t>β</m:t>
            </m:r>
          </m:e>
          <m:sub>
            <m:r>
              <w:rPr>
                <w:rFonts w:ascii="Cambria Math" w:hAnsi="Cambria Math"/>
              </w:rPr>
              <m:t>k</m:t>
            </m:r>
          </m:sub>
        </m:sSub>
        <m:r>
          <w:rPr>
            <w:rFonts w:ascii="Cambria Math" w:hAnsi="Cambria Math"/>
          </w:rPr>
          <m:t xml:space="preserve">= </m:t>
        </m:r>
        <m:f>
          <m:fPr>
            <m:ctrlPr>
              <w:rPr>
                <w:rFonts w:ascii="Cambria Math" w:hAnsi="Cambria Math"/>
                <w:i/>
              </w:rPr>
            </m:ctrlPr>
          </m:fPr>
          <m:num>
            <m:nary>
              <m:naryPr>
                <m:chr m:val="∑"/>
                <m:limLoc m:val="subSup"/>
                <m:supHide m:val="1"/>
                <m:ctrlPr>
                  <w:rPr>
                    <w:rFonts w:ascii="Cambria Math" w:hAnsi="Cambria Math"/>
                    <w:i/>
                  </w:rPr>
                </m:ctrlPr>
              </m:naryPr>
              <m:sub>
                <m:r>
                  <w:rPr>
                    <w:rFonts w:ascii="Cambria Math" w:hAnsi="Cambria Math"/>
                  </w:rPr>
                  <m:t>j</m:t>
                </m:r>
              </m:sub>
              <m:sup/>
              <m:e>
                <m:r>
                  <w:rPr>
                    <w:rFonts w:ascii="Cambria Math" w:hAnsi="Cambria Math"/>
                  </w:rPr>
                  <m:t>I</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GT</m:t>
                        </m:r>
                      </m:e>
                      <m:sub>
                        <m:r>
                          <w:rPr>
                            <w:rFonts w:ascii="Cambria Math" w:hAnsi="Cambria Math"/>
                          </w:rPr>
                          <m:t>j</m:t>
                        </m:r>
                      </m:sub>
                    </m:sSub>
                    <m:r>
                      <w:rPr>
                        <w:rFonts w:ascii="Cambria Math" w:hAnsi="Cambria Math"/>
                      </w:rPr>
                      <m:t>=0</m:t>
                    </m:r>
                  </m:e>
                </m:d>
                <m:r>
                  <w:rPr>
                    <w:rFonts w:ascii="Cambria Math" w:hAnsi="Cambria Math"/>
                  </w:rPr>
                  <m:t xml:space="preserve"> + I[</m:t>
                </m:r>
                <m:sSub>
                  <m:sSubPr>
                    <m:ctrlPr>
                      <w:rPr>
                        <w:rFonts w:ascii="Cambria Math" w:hAnsi="Cambria Math"/>
                        <w:i/>
                      </w:rPr>
                    </m:ctrlPr>
                  </m:sSubPr>
                  <m:e>
                    <m:r>
                      <w:rPr>
                        <w:rFonts w:ascii="Cambria Math" w:hAnsi="Cambria Math"/>
                      </w:rPr>
                      <m:t>GT</m:t>
                    </m:r>
                  </m:e>
                  <m:sub>
                    <m:r>
                      <w:rPr>
                        <w:rFonts w:ascii="Cambria Math" w:hAnsi="Cambria Math"/>
                      </w:rPr>
                      <m:t>j</m:t>
                    </m:r>
                  </m:sub>
                </m:sSub>
                <m:r>
                  <w:rPr>
                    <w:rFonts w:ascii="Cambria Math" w:hAnsi="Cambria Math"/>
                  </w:rPr>
                  <m:t xml:space="preserve">=1] </m:t>
                </m:r>
              </m:e>
            </m:nary>
          </m:num>
          <m:den>
            <m:r>
              <w:rPr>
                <w:rFonts w:ascii="Cambria Math" w:hAnsi="Cambria Math"/>
              </w:rPr>
              <m:t>2</m:t>
            </m:r>
            <m:nary>
              <m:naryPr>
                <m:chr m:val="∑"/>
                <m:limLoc m:val="subSup"/>
                <m:supHide m:val="1"/>
                <m:ctrlPr>
                  <w:rPr>
                    <w:rFonts w:ascii="Cambria Math" w:hAnsi="Cambria Math"/>
                    <w:i/>
                  </w:rPr>
                </m:ctrlPr>
              </m:naryPr>
              <m:sub>
                <m:r>
                  <w:rPr>
                    <w:rFonts w:ascii="Cambria Math" w:hAnsi="Cambria Math"/>
                  </w:rPr>
                  <m:t>j</m:t>
                </m:r>
              </m:sub>
              <m:sup/>
              <m:e>
                <m:r>
                  <w:rPr>
                    <w:rFonts w:ascii="Cambria Math" w:hAnsi="Cambria Math"/>
                  </w:rPr>
                  <m:t>I[</m:t>
                </m:r>
                <m:sSub>
                  <m:sSubPr>
                    <m:ctrlPr>
                      <w:rPr>
                        <w:rFonts w:ascii="Cambria Math" w:hAnsi="Cambria Math"/>
                        <w:i/>
                      </w:rPr>
                    </m:ctrlPr>
                  </m:sSubPr>
                  <m:e>
                    <m:r>
                      <w:rPr>
                        <w:rFonts w:ascii="Cambria Math" w:hAnsi="Cambria Math"/>
                      </w:rPr>
                      <m:t>GT</m:t>
                    </m:r>
                  </m:e>
                  <m:sub>
                    <m:r>
                      <w:rPr>
                        <w:rFonts w:ascii="Cambria Math" w:hAnsi="Cambria Math"/>
                      </w:rPr>
                      <m:t>j</m:t>
                    </m:r>
                  </m:sub>
                </m:sSub>
                <m:r>
                  <w:rPr>
                    <w:rFonts w:ascii="Cambria Math" w:hAnsi="Cambria Math"/>
                  </w:rPr>
                  <m:t xml:space="preserve">=1] </m:t>
                </m:r>
              </m:e>
            </m:nary>
          </m:den>
        </m:f>
        <m:r>
          <w:rPr>
            <w:rFonts w:ascii="Cambria Math" w:hAnsi="Cambria Math"/>
          </w:rPr>
          <m:t xml:space="preserve">,  </m:t>
        </m:r>
        <m:sSub>
          <m:sSubPr>
            <m:ctrlPr>
              <w:rPr>
                <w:rFonts w:ascii="Cambria Math" w:hAnsi="Cambria Math"/>
                <w:i/>
              </w:rPr>
            </m:ctrlPr>
          </m:sSubPr>
          <m:e>
            <m:r>
              <w:rPr>
                <w:rFonts w:ascii="Cambria Math" w:hAnsi="Cambria Math"/>
              </w:rPr>
              <m:t>β</m:t>
            </m:r>
          </m:e>
          <m:sub>
            <m:r>
              <w:rPr>
                <w:rFonts w:ascii="Cambria Math" w:hAnsi="Cambria Math"/>
              </w:rPr>
              <m:t>c</m:t>
            </m:r>
          </m:sub>
        </m:sSub>
        <m:r>
          <w:rPr>
            <w:rFonts w:ascii="Cambria Math" w:hAnsi="Cambria Math"/>
          </w:rPr>
          <m:t xml:space="preserve">= </m:t>
        </m:r>
        <m:f>
          <m:fPr>
            <m:ctrlPr>
              <w:rPr>
                <w:rFonts w:ascii="Cambria Math" w:hAnsi="Cambria Math"/>
                <w:i/>
              </w:rPr>
            </m:ctrlPr>
          </m:fPr>
          <m:num>
            <m:nary>
              <m:naryPr>
                <m:chr m:val="∑"/>
                <m:limLoc m:val="subSup"/>
                <m:supHide m:val="1"/>
                <m:ctrlPr>
                  <w:rPr>
                    <w:rFonts w:ascii="Cambria Math" w:hAnsi="Cambria Math"/>
                    <w:i/>
                  </w:rPr>
                </m:ctrlPr>
              </m:naryPr>
              <m:sub>
                <m:r>
                  <w:rPr>
                    <w:rFonts w:ascii="Cambria Math" w:hAnsi="Cambria Math"/>
                  </w:rPr>
                  <m:t>j</m:t>
                </m:r>
              </m:sub>
              <m:sup/>
              <m:e>
                <m:r>
                  <w:rPr>
                    <w:rFonts w:ascii="Cambria Math" w:hAnsi="Cambria Math"/>
                  </w:rPr>
                  <m:t>I</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GT</m:t>
                        </m:r>
                      </m:e>
                      <m:sub>
                        <m:r>
                          <w:rPr>
                            <w:rFonts w:ascii="Cambria Math" w:hAnsi="Cambria Math"/>
                          </w:rPr>
                          <m:t>j</m:t>
                        </m:r>
                      </m:sub>
                    </m:sSub>
                    <m:r>
                      <w:rPr>
                        <w:rFonts w:ascii="Cambria Math" w:hAnsi="Cambria Math"/>
                      </w:rPr>
                      <m:t>=0</m:t>
                    </m:r>
                  </m:e>
                </m:d>
                <m:r>
                  <w:rPr>
                    <w:rFonts w:ascii="Cambria Math" w:hAnsi="Cambria Math"/>
                  </w:rPr>
                  <m:t xml:space="preserve"> + I[</m:t>
                </m:r>
                <m:sSub>
                  <m:sSubPr>
                    <m:ctrlPr>
                      <w:rPr>
                        <w:rFonts w:ascii="Cambria Math" w:hAnsi="Cambria Math"/>
                        <w:i/>
                      </w:rPr>
                    </m:ctrlPr>
                  </m:sSubPr>
                  <m:e>
                    <m:r>
                      <w:rPr>
                        <w:rFonts w:ascii="Cambria Math" w:hAnsi="Cambria Math"/>
                      </w:rPr>
                      <m:t>GT</m:t>
                    </m:r>
                  </m:e>
                  <m:sub>
                    <m:r>
                      <w:rPr>
                        <w:rFonts w:ascii="Cambria Math" w:hAnsi="Cambria Math"/>
                      </w:rPr>
                      <m:t>j</m:t>
                    </m:r>
                  </m:sub>
                </m:sSub>
                <m:r>
                  <w:rPr>
                    <w:rFonts w:ascii="Cambria Math" w:hAnsi="Cambria Math"/>
                  </w:rPr>
                  <m:t xml:space="preserve">=1] </m:t>
                </m:r>
              </m:e>
            </m:nary>
          </m:num>
          <m:den>
            <m:r>
              <w:rPr>
                <w:rFonts w:ascii="Cambria Math" w:hAnsi="Cambria Math"/>
              </w:rPr>
              <m:t>2</m:t>
            </m:r>
            <m:nary>
              <m:naryPr>
                <m:chr m:val="∑"/>
                <m:limLoc m:val="subSup"/>
                <m:supHide m:val="1"/>
                <m:ctrlPr>
                  <w:rPr>
                    <w:rFonts w:ascii="Cambria Math" w:hAnsi="Cambria Math"/>
                    <w:i/>
                  </w:rPr>
                </m:ctrlPr>
              </m:naryPr>
              <m:sub>
                <m:r>
                  <w:rPr>
                    <w:rFonts w:ascii="Cambria Math" w:hAnsi="Cambria Math"/>
                  </w:rPr>
                  <m:t>j</m:t>
                </m:r>
              </m:sub>
              <m:sup/>
              <m:e>
                <m:r>
                  <w:rPr>
                    <w:rFonts w:ascii="Cambria Math" w:hAnsi="Cambria Math"/>
                  </w:rPr>
                  <m:t>I[</m:t>
                </m:r>
                <m:sSub>
                  <m:sSubPr>
                    <m:ctrlPr>
                      <w:rPr>
                        <w:rFonts w:ascii="Cambria Math" w:hAnsi="Cambria Math"/>
                        <w:i/>
                      </w:rPr>
                    </m:ctrlPr>
                  </m:sSubPr>
                  <m:e>
                    <m:r>
                      <w:rPr>
                        <w:rFonts w:ascii="Cambria Math" w:hAnsi="Cambria Math"/>
                      </w:rPr>
                      <m:t>GT</m:t>
                    </m:r>
                  </m:e>
                  <m:sub>
                    <m:r>
                      <w:rPr>
                        <w:rFonts w:ascii="Cambria Math" w:hAnsi="Cambria Math"/>
                      </w:rPr>
                      <m:t>j</m:t>
                    </m:r>
                  </m:sub>
                </m:sSub>
                <m:r>
                  <w:rPr>
                    <w:rFonts w:ascii="Cambria Math" w:hAnsi="Cambria Math"/>
                  </w:rPr>
                  <m:t xml:space="preserve">=0] </m:t>
                </m:r>
              </m:e>
            </m:nary>
          </m:den>
        </m:f>
      </m:oMath>
      <w:r w:rsidR="008F0046" w:rsidRPr="002F008E">
        <w:rPr>
          <w:rFonts w:ascii="Cambria Math" w:eastAsiaTheme="minorEastAsia" w:hAnsi="Cambria Math"/>
        </w:rPr>
        <w:t>,</w:t>
      </w:r>
      <w:r w:rsidR="008F0046">
        <w:rPr>
          <w:rFonts w:ascii="Cambria Math" w:eastAsiaTheme="minorEastAsia" w:hAnsi="Cambria Math"/>
        </w:rPr>
        <w:t xml:space="preserve"> </w:t>
      </w:r>
      <w:r w:rsidR="008F0046" w:rsidRPr="002F008E">
        <w:t>(</w:t>
      </w:r>
      <w:r w:rsidR="008F0046">
        <w:t>6</w:t>
      </w:r>
      <w:r w:rsidR="008F0046" w:rsidRPr="002F008E">
        <w:t>)</w:t>
      </w:r>
    </w:p>
    <w:p w14:paraId="2D2F8113" w14:textId="77777777" w:rsidR="008F0046" w:rsidRDefault="008F0046" w:rsidP="008F0046">
      <w:pPr>
        <w:jc w:val="both"/>
        <w:rPr>
          <w:rFonts w:eastAsiaTheme="minorEastAsia"/>
        </w:rPr>
      </w:pPr>
      <w:r>
        <w:t xml:space="preserve">where </w:t>
      </w:r>
      <m:oMath>
        <m:r>
          <w:rPr>
            <w:rFonts w:ascii="Cambria Math" w:hAnsi="Cambria Math"/>
          </w:rPr>
          <m:t>I</m:t>
        </m:r>
      </m:oMath>
      <w:r>
        <w:rPr>
          <w:rFonts w:eastAsiaTheme="minorEastAsia"/>
        </w:rPr>
        <w:t xml:space="preserve"> is an indicator function, whose value is 1 if the condition in the argument is true and 0 otherwise, and </w:t>
      </w:r>
      <m:oMath>
        <m:sSub>
          <m:sSubPr>
            <m:ctrlPr>
              <w:rPr>
                <w:rFonts w:ascii="Cambria Math" w:hAnsi="Cambria Math"/>
                <w:i/>
              </w:rPr>
            </m:ctrlPr>
          </m:sSubPr>
          <m:e>
            <m:r>
              <w:rPr>
                <w:rFonts w:ascii="Cambria Math" w:hAnsi="Cambria Math"/>
              </w:rPr>
              <m:t>GT</m:t>
            </m:r>
          </m:e>
          <m:sub>
            <m:r>
              <w:rPr>
                <w:rFonts w:ascii="Cambria Math" w:hAnsi="Cambria Math"/>
              </w:rPr>
              <m:t>j</m:t>
            </m:r>
          </m:sub>
        </m:sSub>
      </m:oMath>
      <w:r>
        <w:rPr>
          <w:rFonts w:eastAsiaTheme="minorEastAsia"/>
        </w:rPr>
        <w:t xml:space="preserve"> is the </w:t>
      </w:r>
      <w:r w:rsidRPr="00E24EB4">
        <w:rPr>
          <w:rFonts w:eastAsiaTheme="minorEastAsia"/>
          <w:i/>
        </w:rPr>
        <w:t>j</w:t>
      </w:r>
      <w:r>
        <w:rPr>
          <w:rFonts w:eastAsiaTheme="minorEastAsia"/>
        </w:rPr>
        <w:t>-th element of the set containing all ground truth values (0 for conduction and 1 for keyhole) for all the available signals. Scaling the risk function by these two balancing coefficients reduces the penalty of wrong predictions for the most common regime while increasing it for the less frequent one</w:t>
      </w:r>
      <w:bookmarkStart w:id="10" w:name="_Int_vxkG655z"/>
      <w:r>
        <w:rPr>
          <w:rFonts w:eastAsiaTheme="minorEastAsia"/>
        </w:rPr>
        <w:t xml:space="preserve">.  </w:t>
      </w:r>
      <w:bookmarkEnd w:id="10"/>
    </w:p>
    <w:p w14:paraId="12778149" w14:textId="79ACC905" w:rsidR="008F0046" w:rsidRDefault="008F0046" w:rsidP="008F0046">
      <w:pPr>
        <w:jc w:val="both"/>
      </w:pPr>
      <w:r>
        <w:t xml:space="preserve">Additionally, note that the risk </w:t>
      </w:r>
      <m:oMath>
        <m:sSub>
          <m:sSubPr>
            <m:ctrlPr>
              <w:rPr>
                <w:rFonts w:ascii="Cambria Math" w:hAnsi="Cambria Math"/>
                <w:i/>
              </w:rPr>
            </m:ctrlPr>
          </m:sSubPr>
          <m:e>
            <m:r>
              <w:rPr>
                <w:rFonts w:ascii="Cambria Math" w:hAnsi="Cambria Math"/>
              </w:rPr>
              <m:t>R</m:t>
            </m:r>
          </m:e>
          <m:sub>
            <m:r>
              <w:rPr>
                <w:rFonts w:ascii="Cambria Math" w:hAnsi="Cambria Math"/>
              </w:rPr>
              <m:t>D</m:t>
            </m:r>
          </m:sub>
        </m:sSub>
        <m:r>
          <w:rPr>
            <w:rFonts w:ascii="Cambria Math" w:hAnsi="Cambria Math"/>
          </w:rPr>
          <m:t xml:space="preserve"> </m:t>
        </m:r>
      </m:oMath>
      <w:r>
        <w:t xml:space="preserve">also depends on </w:t>
      </w:r>
      <m:oMath>
        <m:sSub>
          <m:sSubPr>
            <m:ctrlPr>
              <w:rPr>
                <w:rFonts w:ascii="Cambria Math" w:hAnsi="Cambria Math"/>
                <w:i/>
              </w:rPr>
            </m:ctrlPr>
          </m:sSubPr>
          <m:e>
            <m:r>
              <w:rPr>
                <w:rFonts w:ascii="Cambria Math" w:hAnsi="Cambria Math"/>
              </w:rPr>
              <m:t>ϑ</m:t>
            </m:r>
          </m:e>
          <m:sub>
            <m:r>
              <w:rPr>
                <w:rFonts w:ascii="Cambria Math" w:hAnsi="Cambria Math"/>
              </w:rPr>
              <m:t>c</m:t>
            </m:r>
          </m:sub>
        </m:sSub>
      </m:oMath>
      <w:r>
        <w:t xml:space="preserve"> and </w:t>
      </w:r>
      <m:oMath>
        <m:sSub>
          <m:sSubPr>
            <m:ctrlPr>
              <w:rPr>
                <w:rFonts w:ascii="Cambria Math" w:hAnsi="Cambria Math"/>
                <w:i/>
              </w:rPr>
            </m:ctrlPr>
          </m:sSubPr>
          <m:e>
            <m:r>
              <w:rPr>
                <w:rFonts w:ascii="Cambria Math" w:hAnsi="Cambria Math"/>
              </w:rPr>
              <m:t>ϑ</m:t>
            </m:r>
          </m:e>
          <m:sub>
            <m:r>
              <w:rPr>
                <w:rFonts w:ascii="Cambria Math" w:hAnsi="Cambria Math"/>
              </w:rPr>
              <m:t>k</m:t>
            </m:r>
          </m:sub>
        </m:sSub>
      </m:oMath>
      <w:r>
        <w:t>, which represent</w:t>
      </w:r>
      <w:r w:rsidR="00F7545A">
        <w:t>s</w:t>
      </w:r>
      <w:r>
        <w:t xml:space="preserve"> the vectors comprising all the filters parameters (defining their impulse response), for both conduction </w:t>
      </w:r>
      <m:oMath>
        <m:sSub>
          <m:sSubPr>
            <m:ctrlPr>
              <w:rPr>
                <w:rFonts w:ascii="Cambria Math" w:hAnsi="Cambria Math"/>
                <w:i/>
              </w:rPr>
            </m:ctrlPr>
          </m:sSubPr>
          <m:e>
            <m:r>
              <w:rPr>
                <w:rFonts w:ascii="Cambria Math" w:hAnsi="Cambria Math"/>
              </w:rPr>
              <m:t>(ϑ</m:t>
            </m:r>
          </m:e>
          <m:sub>
            <m:r>
              <w:rPr>
                <w:rFonts w:ascii="Cambria Math" w:hAnsi="Cambria Math"/>
              </w:rPr>
              <m:t>c</m:t>
            </m:r>
          </m:sub>
        </m:sSub>
        <m:r>
          <w:rPr>
            <w:rFonts w:ascii="Cambria Math" w:hAnsi="Cambria Math"/>
          </w:rPr>
          <m:t>)</m:t>
        </m:r>
      </m:oMath>
      <w:r>
        <w:t xml:space="preserve"> and keyhole </w:t>
      </w:r>
      <m:oMath>
        <m:sSub>
          <m:sSubPr>
            <m:ctrlPr>
              <w:rPr>
                <w:rFonts w:ascii="Cambria Math" w:hAnsi="Cambria Math"/>
                <w:i/>
              </w:rPr>
            </m:ctrlPr>
          </m:sSubPr>
          <m:e>
            <m:r>
              <w:rPr>
                <w:rFonts w:ascii="Cambria Math" w:hAnsi="Cambria Math"/>
              </w:rPr>
              <m:t>(ϑ</m:t>
            </m:r>
          </m:e>
          <m:sub>
            <m:r>
              <w:rPr>
                <w:rFonts w:ascii="Cambria Math" w:hAnsi="Cambria Math"/>
              </w:rPr>
              <m:t>k</m:t>
            </m:r>
          </m:sub>
        </m:sSub>
        <m:r>
          <w:rPr>
            <w:rFonts w:ascii="Cambria Math" w:hAnsi="Cambria Math"/>
          </w:rPr>
          <m:t>)</m:t>
        </m:r>
      </m:oMath>
      <w:r>
        <w:t xml:space="preserve"> filtering branches.</w:t>
      </w:r>
    </w:p>
    <w:p w14:paraId="0DA776A9" w14:textId="77777777" w:rsidR="008F0046" w:rsidRDefault="008F0046" w:rsidP="008F0046">
      <w:pPr>
        <w:jc w:val="both"/>
        <w:rPr>
          <w:rFonts w:eastAsiaTheme="minorEastAsia"/>
        </w:rPr>
      </w:pPr>
      <w:r>
        <w:rPr>
          <w:rFonts w:eastAsiaTheme="minorEastAsia"/>
        </w:rPr>
        <w:t xml:space="preserve">Once the risk </w:t>
      </w:r>
      <m:oMath>
        <m:sSub>
          <m:sSubPr>
            <m:ctrlPr>
              <w:rPr>
                <w:rFonts w:ascii="Cambria Math" w:hAnsi="Cambria Math"/>
                <w:i/>
              </w:rPr>
            </m:ctrlPr>
          </m:sSubPr>
          <m:e>
            <m:r>
              <w:rPr>
                <w:rFonts w:ascii="Cambria Math" w:hAnsi="Cambria Math"/>
              </w:rPr>
              <m:t>R</m:t>
            </m:r>
          </m:e>
          <m:sub>
            <m:r>
              <w:rPr>
                <w:rFonts w:ascii="Cambria Math" w:hAnsi="Cambria Math"/>
              </w:rPr>
              <m:t>D</m:t>
            </m:r>
          </m:sub>
        </m:sSub>
        <m:r>
          <w:rPr>
            <w:rFonts w:ascii="Cambria Math" w:hAnsi="Cambria Math"/>
          </w:rPr>
          <m:t xml:space="preserve"> </m:t>
        </m:r>
      </m:oMath>
      <w:r>
        <w:rPr>
          <w:rFonts w:eastAsiaTheme="minorEastAsia"/>
        </w:rPr>
        <w:t xml:space="preserve">is computed for all the available AE signals </w:t>
      </w:r>
      <m:oMath>
        <m:sSub>
          <m:sSubPr>
            <m:ctrlPr>
              <w:rPr>
                <w:rFonts w:ascii="Cambria Math" w:hAnsi="Cambria Math"/>
                <w:i/>
              </w:rPr>
            </m:ctrlPr>
          </m:sSubPr>
          <m:e>
            <m:r>
              <w:rPr>
                <w:rFonts w:ascii="Cambria Math" w:hAnsi="Cambria Math"/>
              </w:rPr>
              <m:t>x</m:t>
            </m:r>
          </m:e>
          <m:sub>
            <m:r>
              <w:rPr>
                <w:rFonts w:ascii="Cambria Math" w:hAnsi="Cambria Math"/>
              </w:rPr>
              <m:t>n</m:t>
            </m:r>
          </m:sub>
        </m:sSub>
      </m:oMath>
      <w:r>
        <w:rPr>
          <w:rFonts w:eastAsiaTheme="minorEastAsia"/>
        </w:rPr>
        <w:t xml:space="preserve"> using the initial parameters </w:t>
      </w:r>
      <m:oMath>
        <m:sSub>
          <m:sSubPr>
            <m:ctrlPr>
              <w:rPr>
                <w:rFonts w:ascii="Cambria Math" w:hAnsi="Cambria Math"/>
                <w:i/>
              </w:rPr>
            </m:ctrlPr>
          </m:sSubPr>
          <m:e>
            <m:r>
              <w:rPr>
                <w:rFonts w:ascii="Cambria Math" w:hAnsi="Cambria Math"/>
              </w:rPr>
              <m:t>ϑ</m:t>
            </m:r>
          </m:e>
          <m:sub>
            <m:r>
              <w:rPr>
                <w:rFonts w:ascii="Cambria Math" w:hAnsi="Cambria Math"/>
              </w:rPr>
              <m:t>c</m:t>
            </m:r>
          </m:sub>
        </m:sSub>
      </m:oMath>
      <w:r>
        <w:rPr>
          <w:rFonts w:eastAsiaTheme="minorEastAsia"/>
        </w:rPr>
        <w:t xml:space="preserve"> and </w:t>
      </w:r>
      <m:oMath>
        <m:sSub>
          <m:sSubPr>
            <m:ctrlPr>
              <w:rPr>
                <w:rFonts w:ascii="Cambria Math" w:hAnsi="Cambria Math"/>
                <w:i/>
              </w:rPr>
            </m:ctrlPr>
          </m:sSubPr>
          <m:e>
            <m:r>
              <w:rPr>
                <w:rFonts w:ascii="Cambria Math" w:hAnsi="Cambria Math"/>
              </w:rPr>
              <m:t>ϑ</m:t>
            </m:r>
          </m:e>
          <m:sub>
            <m:r>
              <w:rPr>
                <w:rFonts w:ascii="Cambria Math" w:hAnsi="Cambria Math"/>
              </w:rPr>
              <m:t>k</m:t>
            </m:r>
          </m:sub>
        </m:sSub>
      </m:oMath>
      <w:r>
        <w:rPr>
          <w:rFonts w:eastAsiaTheme="minorEastAsia"/>
        </w:rPr>
        <w:t>, the latter can be updated as follows:</w:t>
      </w:r>
    </w:p>
    <w:p w14:paraId="6C7FDA27" w14:textId="77777777" w:rsidR="008F0046" w:rsidRDefault="00BD7108" w:rsidP="008F0046">
      <w:pPr>
        <w:jc w:val="center"/>
        <w:rPr>
          <w:rFonts w:eastAsiaTheme="minorEastAsia"/>
        </w:rPr>
      </w:pPr>
      <m:oMath>
        <m:sSub>
          <m:sSubPr>
            <m:ctrlPr>
              <w:rPr>
                <w:rFonts w:ascii="Cambria Math" w:hAnsi="Cambria Math"/>
                <w:i/>
              </w:rPr>
            </m:ctrlPr>
          </m:sSubPr>
          <m:e>
            <m:r>
              <w:rPr>
                <w:rFonts w:ascii="Cambria Math" w:hAnsi="Cambria Math"/>
              </w:rPr>
              <m:t>ϑ</m:t>
            </m:r>
          </m:e>
          <m:sub>
            <m:r>
              <w:rPr>
                <w:rFonts w:ascii="Cambria Math" w:hAnsi="Cambria Math"/>
              </w:rPr>
              <m:t>c</m:t>
            </m:r>
          </m:sub>
        </m:sSub>
        <m:r>
          <w:rPr>
            <w:rFonts w:ascii="Cambria Math" w:eastAsiaTheme="minorEastAsia" w:hAnsi="Cambria Math"/>
          </w:rPr>
          <m:t xml:space="preserve"> ← </m:t>
        </m:r>
        <m:sSub>
          <m:sSubPr>
            <m:ctrlPr>
              <w:rPr>
                <w:rFonts w:ascii="Cambria Math" w:hAnsi="Cambria Math"/>
                <w:i/>
              </w:rPr>
            </m:ctrlPr>
          </m:sSubPr>
          <m:e>
            <m:r>
              <w:rPr>
                <w:rFonts w:ascii="Cambria Math" w:hAnsi="Cambria Math"/>
              </w:rPr>
              <m:t>ϑ</m:t>
            </m:r>
          </m:e>
          <m:sub>
            <m:r>
              <w:rPr>
                <w:rFonts w:ascii="Cambria Math" w:hAnsi="Cambria Math"/>
              </w:rPr>
              <m:t>c</m:t>
            </m:r>
          </m:sub>
        </m:sSub>
        <m:r>
          <w:rPr>
            <w:rFonts w:ascii="Cambria Math" w:eastAsiaTheme="minorEastAsia" w:hAnsi="Cambria Math"/>
          </w:rPr>
          <m:t>- α</m:t>
        </m:r>
        <m:nary>
          <m:naryPr>
            <m:chr m:val="∑"/>
            <m:limLoc m:val="undOvr"/>
            <m:ctrlPr>
              <w:rPr>
                <w:rFonts w:ascii="Cambria Math" w:eastAsiaTheme="minorEastAsia" w:hAnsi="Cambria Math"/>
                <w:i/>
              </w:rPr>
            </m:ctrlPr>
          </m:naryPr>
          <m:sub>
            <m:r>
              <w:rPr>
                <w:rFonts w:ascii="Cambria Math" w:eastAsiaTheme="minorEastAsia" w:hAnsi="Cambria Math"/>
              </w:rPr>
              <m:t>n=1</m:t>
            </m:r>
          </m:sub>
          <m:sup>
            <m:r>
              <w:rPr>
                <w:rFonts w:ascii="Cambria Math" w:eastAsiaTheme="minorEastAsia" w:hAnsi="Cambria Math"/>
              </w:rPr>
              <m:t>N</m:t>
            </m:r>
          </m:sup>
          <m:e>
            <m:sSub>
              <m:sSubPr>
                <m:ctrlPr>
                  <w:rPr>
                    <w:rFonts w:ascii="Cambria Math" w:eastAsiaTheme="minorEastAsia" w:hAnsi="Cambria Math"/>
                    <w:i/>
                  </w:rPr>
                </m:ctrlPr>
              </m:sSubPr>
              <m:e>
                <m:r>
                  <m:rPr>
                    <m:sty m:val="p"/>
                  </m:rPr>
                  <w:rPr>
                    <w:rFonts w:ascii="Cambria Math" w:eastAsiaTheme="minorEastAsia" w:hAnsi="Cambria Math"/>
                  </w:rPr>
                  <m:t>∇</m:t>
                </m:r>
              </m:e>
              <m:sub>
                <m:sSub>
                  <m:sSubPr>
                    <m:ctrlPr>
                      <w:rPr>
                        <w:rFonts w:ascii="Cambria Math" w:hAnsi="Cambria Math"/>
                        <w:i/>
                      </w:rPr>
                    </m:ctrlPr>
                  </m:sSubPr>
                  <m:e>
                    <m:r>
                      <w:rPr>
                        <w:rFonts w:ascii="Cambria Math" w:hAnsi="Cambria Math"/>
                      </w:rPr>
                      <m:t>ϑ</m:t>
                    </m:r>
                  </m:e>
                  <m:sub>
                    <m:r>
                      <w:rPr>
                        <w:rFonts w:ascii="Cambria Math" w:hAnsi="Cambria Math"/>
                      </w:rPr>
                      <m:t>c</m:t>
                    </m:r>
                  </m:sub>
                </m:sSub>
              </m:sub>
            </m:sSub>
          </m:e>
        </m:nary>
        <m:sSub>
          <m:sSubPr>
            <m:ctrlPr>
              <w:rPr>
                <w:rFonts w:ascii="Cambria Math" w:hAnsi="Cambria Math"/>
                <w:i/>
              </w:rPr>
            </m:ctrlPr>
          </m:sSubPr>
          <m:e>
            <m:r>
              <w:rPr>
                <w:rFonts w:ascii="Cambria Math" w:hAnsi="Cambria Math"/>
              </w:rPr>
              <m:t>R</m:t>
            </m:r>
          </m:e>
          <m:sub>
            <m:r>
              <w:rPr>
                <w:rFonts w:ascii="Cambria Math" w:hAnsi="Cambria Math"/>
              </w:rPr>
              <m:t>D</m:t>
            </m:r>
          </m:sub>
        </m:sSub>
        <m:r>
          <w:rPr>
            <w:rFonts w:ascii="Cambria Math" w:hAnsi="Cambria Math"/>
          </w:rPr>
          <m:t>(</m:t>
        </m:r>
        <m:sSub>
          <m:sSubPr>
            <m:ctrlPr>
              <w:rPr>
                <w:rFonts w:ascii="Cambria Math" w:hAnsi="Cambria Math"/>
                <w:i/>
              </w:rPr>
            </m:ctrlPr>
          </m:sSubPr>
          <m:e>
            <m:r>
              <w:rPr>
                <w:rFonts w:ascii="Cambria Math" w:hAnsi="Cambria Math"/>
              </w:rPr>
              <m:t>ϑ</m:t>
            </m:r>
          </m:e>
          <m:sub>
            <m:r>
              <w:rPr>
                <w:rFonts w:ascii="Cambria Math" w:hAnsi="Cambria Math"/>
              </w:rPr>
              <m:t>c</m:t>
            </m:r>
          </m:sub>
        </m:sSub>
        <m:sSub>
          <m:sSubPr>
            <m:ctrlPr>
              <w:rPr>
                <w:rFonts w:ascii="Cambria Math" w:hAnsi="Cambria Math"/>
                <w:i/>
              </w:rPr>
            </m:ctrlPr>
          </m:sSubPr>
          <m:e>
            <m:r>
              <w:rPr>
                <w:rFonts w:ascii="Cambria Math" w:hAnsi="Cambria Math"/>
              </w:rPr>
              <m:t>,ϑ</m:t>
            </m:r>
          </m:e>
          <m:sub>
            <m:r>
              <w:rPr>
                <w:rFonts w:ascii="Cambria Math" w:hAnsi="Cambria Math"/>
              </w:rPr>
              <m:t>k</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n</m:t>
            </m:r>
          </m:sub>
        </m:sSub>
        <m:r>
          <w:rPr>
            <w:rFonts w:ascii="Cambria Math" w:hAnsi="Cambria Math"/>
          </w:rPr>
          <m:t>)</m:t>
        </m:r>
      </m:oMath>
      <w:r w:rsidR="008F0046" w:rsidRPr="31C63FD9">
        <w:rPr>
          <w:rFonts w:eastAsiaTheme="minorEastAsia"/>
        </w:rPr>
        <w:t>, (7)</w:t>
      </w:r>
    </w:p>
    <w:p w14:paraId="7FE1032C" w14:textId="77777777" w:rsidR="008F0046" w:rsidRDefault="00BD7108" w:rsidP="008F0046">
      <w:pPr>
        <w:jc w:val="center"/>
        <w:rPr>
          <w:rFonts w:eastAsiaTheme="minorEastAsia"/>
        </w:rPr>
      </w:pPr>
      <m:oMath>
        <m:sSub>
          <m:sSubPr>
            <m:ctrlPr>
              <w:rPr>
                <w:rFonts w:ascii="Cambria Math" w:hAnsi="Cambria Math"/>
                <w:i/>
              </w:rPr>
            </m:ctrlPr>
          </m:sSubPr>
          <m:e>
            <m:r>
              <w:rPr>
                <w:rFonts w:ascii="Cambria Math" w:hAnsi="Cambria Math"/>
              </w:rPr>
              <m:t>ϑ</m:t>
            </m:r>
          </m:e>
          <m:sub>
            <m:r>
              <w:rPr>
                <w:rFonts w:ascii="Cambria Math" w:hAnsi="Cambria Math"/>
              </w:rPr>
              <m:t>k</m:t>
            </m:r>
          </m:sub>
        </m:sSub>
        <m:r>
          <w:rPr>
            <w:rFonts w:ascii="Cambria Math" w:eastAsiaTheme="minorEastAsia" w:hAnsi="Cambria Math"/>
          </w:rPr>
          <m:t xml:space="preserve"> ← </m:t>
        </m:r>
        <m:sSub>
          <m:sSubPr>
            <m:ctrlPr>
              <w:rPr>
                <w:rFonts w:ascii="Cambria Math" w:hAnsi="Cambria Math"/>
                <w:i/>
              </w:rPr>
            </m:ctrlPr>
          </m:sSubPr>
          <m:e>
            <m:r>
              <w:rPr>
                <w:rFonts w:ascii="Cambria Math" w:hAnsi="Cambria Math"/>
              </w:rPr>
              <m:t>ϑ</m:t>
            </m:r>
          </m:e>
          <m:sub>
            <m:r>
              <w:rPr>
                <w:rFonts w:ascii="Cambria Math" w:hAnsi="Cambria Math"/>
              </w:rPr>
              <m:t>k</m:t>
            </m:r>
          </m:sub>
        </m:sSub>
        <m:r>
          <w:rPr>
            <w:rFonts w:ascii="Cambria Math" w:eastAsiaTheme="minorEastAsia" w:hAnsi="Cambria Math"/>
          </w:rPr>
          <m:t>- α</m:t>
        </m:r>
        <m:nary>
          <m:naryPr>
            <m:chr m:val="∑"/>
            <m:limLoc m:val="undOvr"/>
            <m:ctrlPr>
              <w:rPr>
                <w:rFonts w:ascii="Cambria Math" w:eastAsiaTheme="minorEastAsia" w:hAnsi="Cambria Math"/>
                <w:i/>
              </w:rPr>
            </m:ctrlPr>
          </m:naryPr>
          <m:sub>
            <m:r>
              <w:rPr>
                <w:rFonts w:ascii="Cambria Math" w:eastAsiaTheme="minorEastAsia" w:hAnsi="Cambria Math"/>
              </w:rPr>
              <m:t>n=1</m:t>
            </m:r>
          </m:sub>
          <m:sup>
            <m:r>
              <w:rPr>
                <w:rFonts w:ascii="Cambria Math" w:eastAsiaTheme="minorEastAsia" w:hAnsi="Cambria Math"/>
              </w:rPr>
              <m:t>N</m:t>
            </m:r>
          </m:sup>
          <m:e>
            <m:sSub>
              <m:sSubPr>
                <m:ctrlPr>
                  <w:rPr>
                    <w:rFonts w:ascii="Cambria Math" w:eastAsiaTheme="minorEastAsia" w:hAnsi="Cambria Math"/>
                    <w:i/>
                  </w:rPr>
                </m:ctrlPr>
              </m:sSubPr>
              <m:e>
                <m:r>
                  <m:rPr>
                    <m:sty m:val="p"/>
                  </m:rPr>
                  <w:rPr>
                    <w:rFonts w:ascii="Cambria Math" w:eastAsiaTheme="minorEastAsia" w:hAnsi="Cambria Math"/>
                  </w:rPr>
                  <m:t>∇</m:t>
                </m:r>
              </m:e>
              <m:sub>
                <m:sSub>
                  <m:sSubPr>
                    <m:ctrlPr>
                      <w:rPr>
                        <w:rFonts w:ascii="Cambria Math" w:hAnsi="Cambria Math"/>
                        <w:i/>
                      </w:rPr>
                    </m:ctrlPr>
                  </m:sSubPr>
                  <m:e>
                    <m:r>
                      <w:rPr>
                        <w:rFonts w:ascii="Cambria Math" w:hAnsi="Cambria Math"/>
                      </w:rPr>
                      <m:t>ϑ</m:t>
                    </m:r>
                  </m:e>
                  <m:sub>
                    <m:r>
                      <w:rPr>
                        <w:rFonts w:ascii="Cambria Math" w:hAnsi="Cambria Math"/>
                      </w:rPr>
                      <m:t>k</m:t>
                    </m:r>
                  </m:sub>
                </m:sSub>
              </m:sub>
            </m:sSub>
          </m:e>
        </m:nary>
        <m:sSub>
          <m:sSubPr>
            <m:ctrlPr>
              <w:rPr>
                <w:rFonts w:ascii="Cambria Math" w:hAnsi="Cambria Math"/>
                <w:i/>
              </w:rPr>
            </m:ctrlPr>
          </m:sSubPr>
          <m:e>
            <m:r>
              <w:rPr>
                <w:rFonts w:ascii="Cambria Math" w:hAnsi="Cambria Math"/>
              </w:rPr>
              <m:t>R</m:t>
            </m:r>
          </m:e>
          <m:sub>
            <m:r>
              <w:rPr>
                <w:rFonts w:ascii="Cambria Math" w:hAnsi="Cambria Math"/>
              </w:rPr>
              <m:t>D</m:t>
            </m:r>
          </m:sub>
        </m:sSub>
        <m:r>
          <w:rPr>
            <w:rFonts w:ascii="Cambria Math" w:hAnsi="Cambria Math"/>
          </w:rPr>
          <m:t>(</m:t>
        </m:r>
        <m:sSub>
          <m:sSubPr>
            <m:ctrlPr>
              <w:rPr>
                <w:rFonts w:ascii="Cambria Math" w:hAnsi="Cambria Math"/>
                <w:i/>
              </w:rPr>
            </m:ctrlPr>
          </m:sSubPr>
          <m:e>
            <m:r>
              <w:rPr>
                <w:rFonts w:ascii="Cambria Math" w:hAnsi="Cambria Math"/>
              </w:rPr>
              <m:t>ϑ</m:t>
            </m:r>
          </m:e>
          <m:sub>
            <m:r>
              <w:rPr>
                <w:rFonts w:ascii="Cambria Math" w:hAnsi="Cambria Math"/>
              </w:rPr>
              <m:t>c</m:t>
            </m:r>
          </m:sub>
        </m:sSub>
        <m:sSub>
          <m:sSubPr>
            <m:ctrlPr>
              <w:rPr>
                <w:rFonts w:ascii="Cambria Math" w:hAnsi="Cambria Math"/>
                <w:i/>
              </w:rPr>
            </m:ctrlPr>
          </m:sSubPr>
          <m:e>
            <m:r>
              <w:rPr>
                <w:rFonts w:ascii="Cambria Math" w:hAnsi="Cambria Math"/>
              </w:rPr>
              <m:t>,ϑ</m:t>
            </m:r>
          </m:e>
          <m:sub>
            <m:r>
              <w:rPr>
                <w:rFonts w:ascii="Cambria Math" w:hAnsi="Cambria Math"/>
              </w:rPr>
              <m:t>k</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n</m:t>
            </m:r>
          </m:sub>
        </m:sSub>
        <m:r>
          <w:rPr>
            <w:rFonts w:ascii="Cambria Math" w:hAnsi="Cambria Math"/>
          </w:rPr>
          <m:t>)</m:t>
        </m:r>
      </m:oMath>
      <w:r w:rsidR="008F0046">
        <w:rPr>
          <w:rFonts w:eastAsiaTheme="minorEastAsia"/>
        </w:rPr>
        <w:t>, (8)</w:t>
      </w:r>
    </w:p>
    <w:p w14:paraId="7643BCAC" w14:textId="0A2E6588" w:rsidR="008F0046" w:rsidRDefault="008F0046" w:rsidP="008F0046">
      <w:pPr>
        <w:jc w:val="both"/>
      </w:pPr>
      <w:r>
        <w:rPr>
          <w:rFonts w:eastAsiaTheme="minorEastAsia"/>
        </w:rPr>
        <w:lastRenderedPageBreak/>
        <w:t xml:space="preserve">in which the gradients are calculated with respect to </w:t>
      </w:r>
      <m:oMath>
        <m:sSub>
          <m:sSubPr>
            <m:ctrlPr>
              <w:rPr>
                <w:rFonts w:ascii="Cambria Math" w:hAnsi="Cambria Math"/>
                <w:i/>
              </w:rPr>
            </m:ctrlPr>
          </m:sSubPr>
          <m:e>
            <m:r>
              <w:rPr>
                <w:rFonts w:ascii="Cambria Math" w:hAnsi="Cambria Math"/>
              </w:rPr>
              <m:t>ϑ</m:t>
            </m:r>
          </m:e>
          <m:sub>
            <m:r>
              <w:rPr>
                <w:rFonts w:ascii="Cambria Math" w:hAnsi="Cambria Math"/>
              </w:rPr>
              <m:t>c</m:t>
            </m:r>
          </m:sub>
        </m:sSub>
      </m:oMath>
      <w:r>
        <w:rPr>
          <w:rFonts w:eastAsiaTheme="minorEastAsia"/>
        </w:rPr>
        <w:t xml:space="preserve"> and </w:t>
      </w:r>
      <m:oMath>
        <m:sSub>
          <m:sSubPr>
            <m:ctrlPr>
              <w:rPr>
                <w:rFonts w:ascii="Cambria Math" w:hAnsi="Cambria Math"/>
                <w:i/>
              </w:rPr>
            </m:ctrlPr>
          </m:sSubPr>
          <m:e>
            <m:r>
              <w:rPr>
                <w:rFonts w:ascii="Cambria Math" w:hAnsi="Cambria Math"/>
              </w:rPr>
              <m:t>ϑ</m:t>
            </m:r>
          </m:e>
          <m:sub>
            <m:r>
              <w:rPr>
                <w:rFonts w:ascii="Cambria Math" w:hAnsi="Cambria Math"/>
              </w:rPr>
              <m:t>k</m:t>
            </m:r>
          </m:sub>
        </m:sSub>
      </m:oMath>
      <w:r>
        <w:rPr>
          <w:rFonts w:eastAsiaTheme="minorEastAsia"/>
        </w:rPr>
        <w:t xml:space="preserve">, </w:t>
      </w:r>
      <m:oMath>
        <m:r>
          <w:rPr>
            <w:rFonts w:ascii="Cambria Math" w:eastAsiaTheme="minorEastAsia" w:hAnsi="Cambria Math"/>
          </w:rPr>
          <m:t>α</m:t>
        </m:r>
      </m:oMath>
      <w:r>
        <w:rPr>
          <w:rFonts w:eastAsiaTheme="minorEastAsia"/>
        </w:rPr>
        <w:t xml:space="preserve"> is the so-called learning rate that controls the entity of the “step” taken towards the opposite gradient direction, and </w:t>
      </w:r>
      <m:oMath>
        <m:r>
          <w:rPr>
            <w:rFonts w:ascii="Cambria Math" w:eastAsiaTheme="minorEastAsia" w:hAnsi="Cambria Math"/>
          </w:rPr>
          <m:t>N</m:t>
        </m:r>
      </m:oMath>
      <w:r>
        <w:rPr>
          <w:rFonts w:eastAsiaTheme="minorEastAsia"/>
        </w:rPr>
        <w:t xml:space="preserve"> denotes the number of signals used to optimize the filters’ parameters. This technique is commonly referred to as gradient descent </w:t>
      </w:r>
      <w:r>
        <w:rPr>
          <w:rFonts w:eastAsiaTheme="minorEastAsia"/>
        </w:rPr>
        <w:fldChar w:fldCharType="begin" w:fldLock="1"/>
      </w:r>
      <w:r w:rsidR="0050288B">
        <w:rPr>
          <w:rFonts w:eastAsiaTheme="minorEastAsia"/>
        </w:rPr>
        <w:instrText>ADDIN CSL_CITATION {"citationItems":[{"id":"ITEM-1","itemData":{"DOI":"https://doi.org/10.1016/0925-2312(93)90006-O","ISSN":"0925-2312","abstract":"The backpropagation learning method has opened a way to wide applications of neural network research. It is a type of the stochastic descent method known in the sixties. The present paper reviews the wide applicability of the stochastic gradient descent method to various types of models and loss functions. In particular, we apply it to the pattern recognition problem, obtaining a new learning algorithm based on the information criterion. Dynamical properties of learning curves are then studied based on an old paper by the author where the stochastic descent method was proposed for general multilayer networks. The paper is concluded with a short section offering some historical remarks.","author":[{"dropping-particle":"","family":"Amari","given":"Shun-ichi","non-dropping-particle":"","parse-names":false,"suffix":""}],"container-title":"Neurocomputing","id":"ITEM-1","issue":"4","issued":{"date-parts":[["1993"]]},"page":"185-196","title":"Backpropagation and stochastic gradient descent method","type":"article-journal","volume":"5"},"uris":["http://www.mendeley.com/documents/?uuid=671b7c9c-3bf0-453c-8e5e-d7be8b3f7dff"]}],"mendeley":{"formattedCitation":"&lt;sup&gt;8&lt;/sup&gt;","plainTextFormattedCitation":"8","previouslyFormattedCitation":"&lt;sup&gt;8&lt;/sup&gt;"},"properties":{"noteIndex":0},"schema":"https://github.com/citation-style-language/schema/raw/master/csl-citation.json"}</w:instrText>
      </w:r>
      <w:r>
        <w:rPr>
          <w:rFonts w:eastAsiaTheme="minorEastAsia"/>
        </w:rPr>
        <w:fldChar w:fldCharType="separate"/>
      </w:r>
      <w:r w:rsidR="001308BA" w:rsidRPr="001308BA">
        <w:rPr>
          <w:rFonts w:eastAsiaTheme="minorEastAsia"/>
          <w:noProof/>
          <w:vertAlign w:val="superscript"/>
        </w:rPr>
        <w:t>8</w:t>
      </w:r>
      <w:r>
        <w:rPr>
          <w:rFonts w:eastAsiaTheme="minorEastAsia"/>
        </w:rPr>
        <w:fldChar w:fldCharType="end"/>
      </w:r>
      <w:r>
        <w:rPr>
          <w:rFonts w:eastAsiaTheme="minorEastAsia"/>
        </w:rPr>
        <w:t xml:space="preserve">, and, in our case, the gradient calculations are performed </w:t>
      </w:r>
      <w:r>
        <w:t xml:space="preserve">with an automatic differentiation tool (Pytorch </w:t>
      </w:r>
      <w:r>
        <w:fldChar w:fldCharType="begin" w:fldLock="1"/>
      </w:r>
      <w:r w:rsidR="0050288B">
        <w:instrText>ADDIN CSL_CITATION {"citationItems":[{"id":"ITEM-1","itemData":{"abstract":"Deep learning frameworks have often focused on either usability or speed, but not both. PyTorch is a machine learning library that shows that these two goals are in fact compatible: it provides an imperative and Pythonic programming style that supports code as a model, makes debugging easy and is consistent with other popular scientific computing libraries, while remaining efficient and supporting hardware accelerators such as GPUs.In this paper, we detail the principles that drove the implementation of PyTorch and how they are reflected in its architecture. We emphasize that every aspect of PyTorch is a regular Python program under the full control of its user. We also explain how the careful and pragmatic implementation of the key components of its runtime enables them to work together to achieve compelling performance. We demonstrate the efficiency of individual subsystems, as well as the overall speed of PyTorch on several common benchmarks.","author":[{"dropping-particle":"","family":"Paszke","given":"Adam","non-dropping-particle":"","parse-names":false,"suffix":""},{"dropping-particle":"","family":"Gross","given":"Sam","non-dropping-particle":"","parse-names":false,"suffix":""},{"dropping-particle":"","family":"Massa","given":"Francisco","non-dropping-particle":"","parse-names":false,"suffix":""},{"dropping-particle":"","family":"Lerer","given":"Adam","non-dropping-particle":"","parse-names":false,"suffix":""},{"dropping-particle":"","family":"Bradbury","given":"James","non-dropping-particle":"","parse-names":false,"suffix":""},{"dropping-particle":"","family":"Chanan","given":"Gregory","non-dropping-particle":"","parse-names":false,"suffix":""},{"dropping-particle":"","family":"Killeen","given":"Trevor","non-dropping-particle":"","parse-names":false,"suffix":""},{"dropping-particle":"","family":"Lin","given":"Zeming","non-dropping-particle":"","parse-names":false,"suffix":""},{"dropping-particle":"","family":"Gimelshein","given":"Natalia","non-dropping-particle":"","parse-names":false,"suffix":""},{"dropping-particle":"","family":"Antiga","given":"Luca","non-dropping-particle":"","parse-names":false,"suffix":""},{"dropping-particle":"","family":"Desmaison","given":"Alban","non-dropping-particle":"","parse-names":false,"suffix":""},{"dropping-particle":"","family":"Köpf","given":"Andreas","non-dropping-particle":"","parse-names":false,"suffix":""},{"dropping-particle":"","family":"Yang","given":"Edward","non-dropping-particle":"","parse-names":false,"suffix":""},{"dropping-particle":"","family":"DeVito","given":"Zach","non-dropping-particle":"","parse-names":false,"suffix":""},{"dropping-particle":"","family":"Raison","given":"Martin","non-dropping-particle":"","parse-names":false,"suffix":""},{"dropping-particle":"","family":"Tejani","given":"Alykhan","non-dropping-particle":"","parse-names":false,"suffix":""},{"dropping-particle":"","family":"Chilamkurthy","given":"Sasank","non-dropping-particle":"","parse-names":false,"suffix":""},{"dropping-particle":"","family":"Steiner","given":"Benoit","non-dropping-particle":"","parse-names":false,"suffix":""},{"dropping-particle":"","family":"Fang","given":"Lu","non-dropping-particle":"","parse-names":false,"suffix":""},{"dropping-particle":"","family":"Bai","given":"Junjie","non-dropping-particle":"","parse-names":false,"suffix":""},{"dropping-particle":"","family":"Chintala","given":"Soumith","non-dropping-particle":"","parse-names":false,"suffix":""}],"container-title":"Proceedings of the 33rd International Conference on Neural Information Processing Systems","id":"ITEM-1","issued":{"date-parts":[["2019"]]},"publisher":"Curran Associates Inc.","publisher-place":"Red Hook, NY, USA","title":"PyTorch: An Imperative Style, High-Performance Deep Learning Library","type":"chapter"},"uris":["http://www.mendeley.com/documents/?uuid=a412fc42-dca0-4821-af55-4b968606299d"]}],"mendeley":{"formattedCitation":"&lt;sup&gt;9&lt;/sup&gt;","plainTextFormattedCitation":"9","previouslyFormattedCitation":"&lt;sup&gt;9&lt;/sup&gt;"},"properties":{"noteIndex":0},"schema":"https://github.com/citation-style-language/schema/raw/master/csl-citation.json"}</w:instrText>
      </w:r>
      <w:r>
        <w:fldChar w:fldCharType="separate"/>
      </w:r>
      <w:r w:rsidR="001308BA" w:rsidRPr="001308BA">
        <w:rPr>
          <w:noProof/>
          <w:vertAlign w:val="superscript"/>
        </w:rPr>
        <w:t>9</w:t>
      </w:r>
      <w:r>
        <w:fldChar w:fldCharType="end"/>
      </w:r>
      <w:r>
        <w:t xml:space="preserve">). </w:t>
      </w:r>
    </w:p>
    <w:p w14:paraId="1FA9FEE8" w14:textId="0EA80C0D" w:rsidR="008F0046" w:rsidRDefault="008F0046" w:rsidP="008F0046">
      <w:pPr>
        <w:jc w:val="both"/>
        <w:rPr>
          <w:rFonts w:eastAsiaTheme="minorEastAsia"/>
        </w:rPr>
      </w:pPr>
      <w:r>
        <w:t xml:space="preserve">Finally, repeating the steps denoted in </w:t>
      </w:r>
      <w:proofErr w:type="spellStart"/>
      <w:r>
        <w:t>Eq</w:t>
      </w:r>
      <w:r w:rsidR="005C741D">
        <w:t>s</w:t>
      </w:r>
      <w:proofErr w:type="spellEnd"/>
      <w:r>
        <w:t xml:space="preserve">. (7) and (8) using the value for the risk function obtained with the updated parameters </w:t>
      </w:r>
      <m:oMath>
        <m:sSub>
          <m:sSubPr>
            <m:ctrlPr>
              <w:rPr>
                <w:rFonts w:ascii="Cambria Math" w:hAnsi="Cambria Math"/>
                <w:i/>
              </w:rPr>
            </m:ctrlPr>
          </m:sSubPr>
          <m:e>
            <m:r>
              <w:rPr>
                <w:rFonts w:ascii="Cambria Math" w:hAnsi="Cambria Math"/>
              </w:rPr>
              <m:t>ϑ</m:t>
            </m:r>
          </m:e>
          <m:sub>
            <m:r>
              <w:rPr>
                <w:rFonts w:ascii="Cambria Math" w:hAnsi="Cambria Math"/>
              </w:rPr>
              <m:t>c</m:t>
            </m:r>
          </m:sub>
        </m:sSub>
      </m:oMath>
      <w:r>
        <w:rPr>
          <w:rFonts w:eastAsiaTheme="minorEastAsia"/>
        </w:rPr>
        <w:t xml:space="preserve"> and </w:t>
      </w:r>
      <m:oMath>
        <m:sSub>
          <m:sSubPr>
            <m:ctrlPr>
              <w:rPr>
                <w:rFonts w:ascii="Cambria Math" w:hAnsi="Cambria Math"/>
                <w:i/>
              </w:rPr>
            </m:ctrlPr>
          </m:sSubPr>
          <m:e>
            <m:r>
              <w:rPr>
                <w:rFonts w:ascii="Cambria Math" w:hAnsi="Cambria Math"/>
              </w:rPr>
              <m:t>ϑ</m:t>
            </m:r>
          </m:e>
          <m:sub>
            <m:r>
              <w:rPr>
                <w:rFonts w:ascii="Cambria Math" w:hAnsi="Cambria Math"/>
              </w:rPr>
              <m:t>k</m:t>
            </m:r>
          </m:sub>
        </m:sSub>
      </m:oMath>
      <w:r>
        <w:rPr>
          <w:rFonts w:eastAsiaTheme="minorEastAsia"/>
        </w:rPr>
        <w:t xml:space="preserve"> allows determining the parameters that minimize the risk function. </w:t>
      </w:r>
    </w:p>
    <w:p w14:paraId="0B6B231C" w14:textId="77777777" w:rsidR="008F0046" w:rsidRPr="001606E5" w:rsidRDefault="008F0046" w:rsidP="008F0046">
      <w:pPr>
        <w:jc w:val="both"/>
        <w:rPr>
          <w:rFonts w:eastAsiaTheme="minorEastAsia"/>
          <w:b/>
        </w:rPr>
      </w:pPr>
      <w:r w:rsidRPr="001606E5">
        <w:rPr>
          <w:rFonts w:eastAsiaTheme="minorEastAsia"/>
          <w:b/>
        </w:rPr>
        <w:t>From binary to ternary</w:t>
      </w:r>
    </w:p>
    <w:p w14:paraId="282EA3D8" w14:textId="77777777" w:rsidR="008F0046" w:rsidRDefault="008F0046" w:rsidP="008F0046">
      <w:pPr>
        <w:jc w:val="both"/>
      </w:pPr>
      <w:r w:rsidRPr="002F06EB">
        <w:t>In the previous section, we introduced a regime segmentation technique based on the analysis of the acoustic emissions signals acquired during the Laser Powder Bed Fusion (LPBF) process. This approach relied on a filtering pipeline designed to extract specific frequency ranges from the raw data and a prediction model that utilized the SoftMax function to discriminate between the conduction and keyhole regimes. However, the flexibility of this technique suggests taking the optimization one step further by allowing for the discrimination of the unstable keyhole regime from the stable one.</w:t>
      </w:r>
    </w:p>
    <w:p w14:paraId="20505190" w14:textId="5F5E38C1" w:rsidR="008F0046" w:rsidRPr="001606E5" w:rsidRDefault="008F0046" w:rsidP="008F0046">
      <w:pPr>
        <w:jc w:val="both"/>
      </w:pPr>
      <w:r w:rsidRPr="002F06EB">
        <w:t xml:space="preserve">This </w:t>
      </w:r>
      <w:r>
        <w:t xml:space="preserve">task </w:t>
      </w:r>
      <w:r w:rsidRPr="002F06EB">
        <w:t>was achieved through minor modifications to the previously described pipeline, which included the inclusion of one additional filtering branch and slight changes in the loss function so that it can handle a vectorial indicator f</w:t>
      </w:r>
      <w:r>
        <w:t xml:space="preserve">unction, i.e., making </w:t>
      </w:r>
      <m:oMath>
        <m:r>
          <w:rPr>
            <w:rFonts w:ascii="Cambria Math" w:hAnsi="Cambria Math"/>
          </w:rPr>
          <m:t>γ(</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n,i</m:t>
            </m:r>
          </m:sub>
        </m:sSub>
        <m:r>
          <w:rPr>
            <w:rFonts w:ascii="Cambria Math" w:hAnsi="Cambria Math"/>
          </w:rPr>
          <m:t>)</m:t>
        </m:r>
      </m:oMath>
      <w:r w:rsidRPr="002F06EB">
        <w:t xml:space="preserve"> one of the columns of the identity matrix of size </w:t>
      </w:r>
      <w:r w:rsidRPr="005C741D">
        <w:rPr>
          <w:i/>
        </w:rPr>
        <w:t>K</w:t>
      </w:r>
      <w:r w:rsidRPr="002F06EB">
        <w:t xml:space="preserve"> (the number of regimes we are predicting). The remaining required changes can be seen in </w:t>
      </w:r>
      <w:r w:rsidR="001308BA">
        <w:fldChar w:fldCharType="begin"/>
      </w:r>
      <w:r w:rsidR="001308BA">
        <w:instrText xml:space="preserve"> REF _Ref125448852 \h </w:instrText>
      </w:r>
      <w:r w:rsidR="001308BA">
        <w:fldChar w:fldCharType="separate"/>
      </w:r>
      <w:r w:rsidR="001308BA" w:rsidRPr="008F0046">
        <w:rPr>
          <w:b/>
        </w:rPr>
        <w:t xml:space="preserve">Supplementary Figure </w:t>
      </w:r>
      <w:r w:rsidR="001308BA">
        <w:rPr>
          <w:b/>
          <w:noProof/>
        </w:rPr>
        <w:t>6</w:t>
      </w:r>
      <w:r w:rsidR="001308BA">
        <w:fldChar w:fldCharType="end"/>
      </w:r>
      <w:r w:rsidR="001308BA" w:rsidRPr="001308BA">
        <w:rPr>
          <w:b/>
        </w:rPr>
        <w:t>b</w:t>
      </w:r>
      <w:r>
        <w:t xml:space="preserve">, </w:t>
      </w:r>
      <w:r w:rsidRPr="002F06EB">
        <w:t>where the complete pipeline for the segmentation of the three regimes mentioned above is presented. The</w:t>
      </w:r>
      <w:r>
        <w:t xml:space="preserve"> procedure is detailed in</w:t>
      </w:r>
      <w:r w:rsidR="001308BA">
        <w:t xml:space="preserve"> </w:t>
      </w:r>
      <w:r w:rsidR="001308BA">
        <w:fldChar w:fldCharType="begin"/>
      </w:r>
      <w:r w:rsidR="001308BA">
        <w:instrText xml:space="preserve"> REF _Ref125449068 \h </w:instrText>
      </w:r>
      <w:r w:rsidR="001308BA">
        <w:fldChar w:fldCharType="separate"/>
      </w:r>
      <w:r w:rsidR="001308BA" w:rsidRPr="008F0046">
        <w:rPr>
          <w:b/>
        </w:rPr>
        <w:t xml:space="preserve">Supplementary Figure </w:t>
      </w:r>
      <w:r w:rsidR="001308BA">
        <w:rPr>
          <w:b/>
          <w:noProof/>
        </w:rPr>
        <w:t>5</w:t>
      </w:r>
      <w:r w:rsidR="001308BA">
        <w:fldChar w:fldCharType="end"/>
      </w:r>
      <w:r w:rsidR="001308BA" w:rsidRPr="004313C0">
        <w:rPr>
          <w:b/>
        </w:rPr>
        <w:t>b</w:t>
      </w:r>
      <w:r w:rsidRPr="002F06EB">
        <w:t>, where one of the pre-processed AE signals and the result of all the operations are presented. This extended capability is of extreme importance for LPBF processing monitoring, especially the detection of instabilities within the keyhole regime (where porosity formation occurs). Thanks to the high time</w:t>
      </w:r>
      <w:r>
        <w:t xml:space="preserve"> </w:t>
      </w:r>
      <w:r w:rsidRPr="002F06EB">
        <w:t>resolution in these predictions, the location of the affected regions can be identified accurately, and healing measures can be employed to save processing time and resources.</w:t>
      </w:r>
    </w:p>
    <w:p w14:paraId="10B9F9B5" w14:textId="77777777" w:rsidR="008F0046" w:rsidRPr="001606E5" w:rsidRDefault="008F0046" w:rsidP="008F0046">
      <w:pPr>
        <w:jc w:val="both"/>
        <w:rPr>
          <w:rFonts w:eastAsiaTheme="minorEastAsia"/>
          <w:b/>
        </w:rPr>
      </w:pPr>
      <w:r w:rsidRPr="001606E5">
        <w:rPr>
          <w:rFonts w:eastAsiaTheme="minorEastAsia"/>
          <w:b/>
        </w:rPr>
        <w:t>Training procedure</w:t>
      </w:r>
    </w:p>
    <w:p w14:paraId="49AD4349" w14:textId="4AC75651" w:rsidR="008F0046" w:rsidRPr="009104B5" w:rsidRDefault="008F0046" w:rsidP="008F0046">
      <w:pPr>
        <w:jc w:val="both"/>
        <w:rPr>
          <w:rFonts w:eastAsiaTheme="minorEastAsia"/>
        </w:rPr>
      </w:pPr>
      <w:r w:rsidRPr="009104B5">
        <w:rPr>
          <w:rFonts w:eastAsiaTheme="minorEastAsia"/>
        </w:rPr>
        <w:t>The training procedure for the regime segmentation technique is divided into several steps. First, a leave-one-out cross</w:t>
      </w:r>
      <w:r>
        <w:rPr>
          <w:rFonts w:eastAsiaTheme="minorEastAsia"/>
        </w:rPr>
        <w:t>-</w:t>
      </w:r>
      <w:r w:rsidRPr="009104B5">
        <w:rPr>
          <w:rFonts w:eastAsiaTheme="minorEastAsia"/>
        </w:rPr>
        <w:t>validation strategy is employed, where a single signal is left out from the training set and used as the test set. This process is repeated for all signals in the training set, providing a robust evaluation of the model performance.</w:t>
      </w:r>
    </w:p>
    <w:p w14:paraId="16FB19A5" w14:textId="15803F55" w:rsidR="008F0046" w:rsidRPr="009104B5" w:rsidRDefault="008F0046" w:rsidP="008F0046">
      <w:pPr>
        <w:jc w:val="both"/>
        <w:rPr>
          <w:rFonts w:eastAsiaTheme="minorEastAsia"/>
        </w:rPr>
      </w:pPr>
      <w:r w:rsidRPr="009104B5">
        <w:rPr>
          <w:rFonts w:eastAsiaTheme="minorEastAsia"/>
        </w:rPr>
        <w:t>We use a variation over the cross-entropy loss to guide the filter design optimization. The parameters of the pipeline are updated using the L-BFGS optimizer, a</w:t>
      </w:r>
      <w:r>
        <w:rPr>
          <w:rFonts w:eastAsiaTheme="minorEastAsia"/>
        </w:rPr>
        <w:t>n</w:t>
      </w:r>
      <w:r w:rsidRPr="009104B5">
        <w:rPr>
          <w:rFonts w:eastAsiaTheme="minorEastAsia"/>
        </w:rPr>
        <w:t xml:space="preserve"> optimization algorithm that approximates the Newton Method using a limited memory of previous gradients. Additionally, we use a learning rate scheduler, which randomizes the learning rate if the risk does not decrease between one epoch and the following one. If the risk f</w:t>
      </w:r>
      <w:r>
        <w:rPr>
          <w:rFonts w:eastAsiaTheme="minorEastAsia"/>
        </w:rPr>
        <w:t xml:space="preserve">unction does not decrease for </w:t>
      </w:r>
      <w:r w:rsidRPr="009104B5">
        <w:rPr>
          <w:rFonts w:eastAsiaTheme="minorEastAsia"/>
        </w:rPr>
        <w:t>100 epochs, we apply a small amount of random noise to the signals to ensure that the pipeline does not get</w:t>
      </w:r>
      <w:r>
        <w:rPr>
          <w:rFonts w:eastAsiaTheme="minorEastAsia"/>
        </w:rPr>
        <w:t xml:space="preserve"> stuck in a suboptimal solution</w:t>
      </w:r>
      <w:r w:rsidRPr="009104B5">
        <w:rPr>
          <w:rFonts w:eastAsiaTheme="minorEastAsia"/>
        </w:rPr>
        <w:t>. The optimization process for every fold of the leave</w:t>
      </w:r>
      <w:r>
        <w:rPr>
          <w:rFonts w:eastAsiaTheme="minorEastAsia"/>
        </w:rPr>
        <w:t>-one-</w:t>
      </w:r>
      <w:r w:rsidRPr="009104B5">
        <w:rPr>
          <w:rFonts w:eastAsiaTheme="minorEastAsia"/>
        </w:rPr>
        <w:t>out cross</w:t>
      </w:r>
      <w:r>
        <w:rPr>
          <w:rFonts w:eastAsiaTheme="minorEastAsia"/>
        </w:rPr>
        <w:t>-</w:t>
      </w:r>
      <w:r w:rsidRPr="009104B5">
        <w:rPr>
          <w:rFonts w:eastAsiaTheme="minorEastAsia"/>
        </w:rPr>
        <w:t>validation is stopped according to the following criteria: when the minimum risk (a measure of the difference between the predicted and ground truth labels) is less than 0.1, or when the number of epochs is greater than 10</w:t>
      </w:r>
      <w:r w:rsidR="005C741D">
        <w:rPr>
          <w:rFonts w:eastAsiaTheme="minorEastAsia"/>
        </w:rPr>
        <w:t>’</w:t>
      </w:r>
      <w:r w:rsidRPr="009104B5">
        <w:rPr>
          <w:rFonts w:eastAsiaTheme="minorEastAsia"/>
        </w:rPr>
        <w:t xml:space="preserve">000, or when the </w:t>
      </w:r>
      <w:r>
        <w:rPr>
          <w:rFonts w:eastAsiaTheme="minorEastAsia"/>
        </w:rPr>
        <w:t>“</w:t>
      </w:r>
      <w:r w:rsidRPr="009104B5">
        <w:rPr>
          <w:rFonts w:eastAsiaTheme="minorEastAsia"/>
        </w:rPr>
        <w:t>counter flat</w:t>
      </w:r>
      <w:r>
        <w:rPr>
          <w:rFonts w:eastAsiaTheme="minorEastAsia"/>
        </w:rPr>
        <w:t>”</w:t>
      </w:r>
      <w:r w:rsidRPr="009104B5">
        <w:rPr>
          <w:rFonts w:eastAsiaTheme="minorEastAsia"/>
        </w:rPr>
        <w:t xml:space="preserve"> reaches 100 and the minimum risk is less than 0.35. The </w:t>
      </w:r>
      <w:r>
        <w:rPr>
          <w:rFonts w:eastAsiaTheme="minorEastAsia"/>
        </w:rPr>
        <w:t>“</w:t>
      </w:r>
      <w:r w:rsidRPr="009104B5">
        <w:rPr>
          <w:rFonts w:eastAsiaTheme="minorEastAsia"/>
        </w:rPr>
        <w:t>counter flat</w:t>
      </w:r>
      <w:r>
        <w:rPr>
          <w:rFonts w:eastAsiaTheme="minorEastAsia"/>
        </w:rPr>
        <w:t>”</w:t>
      </w:r>
      <w:r w:rsidRPr="009104B5">
        <w:rPr>
          <w:rFonts w:eastAsiaTheme="minorEastAsia"/>
        </w:rPr>
        <w:t xml:space="preserve"> is a value that is incremented </w:t>
      </w:r>
      <w:r w:rsidRPr="009104B5">
        <w:rPr>
          <w:rFonts w:eastAsiaTheme="minorEastAsia"/>
        </w:rPr>
        <w:lastRenderedPageBreak/>
        <w:t>every time the risk does not decrease between one epoch and the following one, serving as a way to check if the optimizer has stopped making progress.</w:t>
      </w:r>
    </w:p>
    <w:p w14:paraId="7194ECD4" w14:textId="77777777" w:rsidR="008F0046" w:rsidRDefault="008F0046" w:rsidP="00DD20CC">
      <w:pPr>
        <w:jc w:val="both"/>
        <w:rPr>
          <w:noProof/>
          <w:sz w:val="16"/>
          <w:szCs w:val="16"/>
        </w:rPr>
      </w:pPr>
    </w:p>
    <w:p w14:paraId="7372F6F6" w14:textId="372BA0EB" w:rsidR="00DD20CC" w:rsidRDefault="00DD20CC">
      <w:pPr>
        <w:rPr>
          <w:rFonts w:eastAsiaTheme="minorEastAsia"/>
        </w:rPr>
      </w:pPr>
      <w:r>
        <w:rPr>
          <w:rFonts w:eastAsiaTheme="minorEastAsia"/>
        </w:rPr>
        <w:br w:type="page"/>
      </w:r>
    </w:p>
    <w:p w14:paraId="5623F47B" w14:textId="32BF363E" w:rsidR="00C164BA" w:rsidRDefault="00C164BA" w:rsidP="00C164BA">
      <w:pPr>
        <w:keepNext/>
        <w:jc w:val="center"/>
      </w:pPr>
      <w:r w:rsidRPr="00C164BA">
        <w:rPr>
          <w:noProof/>
        </w:rPr>
        <w:lastRenderedPageBreak/>
        <w:drawing>
          <wp:inline distT="0" distB="0" distL="0" distR="0" wp14:anchorId="3A0B1972" wp14:editId="5182C3E5">
            <wp:extent cx="4320000" cy="4597141"/>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20000" cy="4597141"/>
                    </a:xfrm>
                    <a:prstGeom prst="rect">
                      <a:avLst/>
                    </a:prstGeom>
                    <a:noFill/>
                    <a:ln>
                      <a:noFill/>
                    </a:ln>
                  </pic:spPr>
                </pic:pic>
              </a:graphicData>
            </a:graphic>
          </wp:inline>
        </w:drawing>
      </w:r>
    </w:p>
    <w:p w14:paraId="71953D95" w14:textId="40CAC656" w:rsidR="00C164BA" w:rsidRDefault="00C164BA" w:rsidP="0076786D">
      <w:pPr>
        <w:pStyle w:val="Caption"/>
        <w:spacing w:after="0"/>
        <w:jc w:val="both"/>
      </w:pPr>
      <w:bookmarkStart w:id="11" w:name="_Ref121589621"/>
      <w:r w:rsidRPr="00C164BA">
        <w:rPr>
          <w:b/>
        </w:rPr>
        <w:t xml:space="preserve">Supplementary Figure </w:t>
      </w:r>
      <w:r w:rsidRPr="00C164BA">
        <w:rPr>
          <w:b/>
        </w:rPr>
        <w:fldChar w:fldCharType="begin"/>
      </w:r>
      <w:r w:rsidRPr="00C164BA">
        <w:rPr>
          <w:b/>
        </w:rPr>
        <w:instrText xml:space="preserve"> SEQ Figure \* ARABIC </w:instrText>
      </w:r>
      <w:r w:rsidRPr="00C164BA">
        <w:rPr>
          <w:b/>
        </w:rPr>
        <w:fldChar w:fldCharType="separate"/>
      </w:r>
      <w:r w:rsidR="00036C25">
        <w:rPr>
          <w:b/>
          <w:noProof/>
        </w:rPr>
        <w:t>1</w:t>
      </w:r>
      <w:r w:rsidRPr="00C164BA">
        <w:rPr>
          <w:b/>
        </w:rPr>
        <w:fldChar w:fldCharType="end"/>
      </w:r>
      <w:bookmarkEnd w:id="11"/>
      <w:r w:rsidRPr="00C164BA">
        <w:rPr>
          <w:b/>
        </w:rPr>
        <w:t>:</w:t>
      </w:r>
      <w:r>
        <w:t xml:space="preserve"> </w:t>
      </w:r>
      <w:r w:rsidRPr="00C164BA">
        <w:rPr>
          <w:b/>
        </w:rPr>
        <w:t>Front view of the miniaturized LPBF device</w:t>
      </w:r>
      <w:r>
        <w:t xml:space="preserve"> (a) with and (b) without the front door; schematic view of operando x-ray radiography setup at the synchrotron beamline (c) and its magnification (d); (e) thin wall geometry in presence and absence of powder bed. 1) scanning head, 2) F-theta lens, 3) front door, 4) X-ray exit window, 5) vertical stage to change focal length, 6) laser collimator, 7) build plate, 8) sample, 9) laser beam, 10) AE microphone, 11) X-ray entrance window, 12) powder hopper and </w:t>
      </w:r>
      <w:proofErr w:type="spellStart"/>
      <w:r>
        <w:t>recoater</w:t>
      </w:r>
      <w:proofErr w:type="spellEnd"/>
      <w:r>
        <w:t>, 13) gas inlet and outlet, 14) microscope, 15) polychromatic X-ray beam, 16) powder bed.</w:t>
      </w:r>
    </w:p>
    <w:p w14:paraId="65B9D38B" w14:textId="0A218214" w:rsidR="0048043E" w:rsidRDefault="0048043E" w:rsidP="00C164BA">
      <w:pPr>
        <w:pStyle w:val="Caption"/>
        <w:jc w:val="center"/>
      </w:pPr>
    </w:p>
    <w:p w14:paraId="715DCD9A" w14:textId="36A58D73" w:rsidR="00C164BA" w:rsidRDefault="00C164BA"/>
    <w:p w14:paraId="3D7BF525" w14:textId="77777777" w:rsidR="00C164BA" w:rsidRDefault="00C164BA">
      <w:r>
        <w:br w:type="page"/>
      </w:r>
    </w:p>
    <w:p w14:paraId="2D1B1918" w14:textId="30AAABC6" w:rsidR="001167F1" w:rsidRDefault="005A05C3" w:rsidP="001167F1">
      <w:pPr>
        <w:keepNext/>
        <w:jc w:val="center"/>
      </w:pPr>
      <w:r w:rsidRPr="005A05C3">
        <w:rPr>
          <w:noProof/>
        </w:rPr>
        <w:lastRenderedPageBreak/>
        <w:drawing>
          <wp:inline distT="0" distB="0" distL="0" distR="0" wp14:anchorId="455773C5" wp14:editId="641584B8">
            <wp:extent cx="5943600" cy="5136562"/>
            <wp:effectExtent l="0" t="0" r="0" b="698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5136562"/>
                    </a:xfrm>
                    <a:prstGeom prst="rect">
                      <a:avLst/>
                    </a:prstGeom>
                    <a:noFill/>
                    <a:ln>
                      <a:noFill/>
                    </a:ln>
                  </pic:spPr>
                </pic:pic>
              </a:graphicData>
            </a:graphic>
          </wp:inline>
        </w:drawing>
      </w:r>
    </w:p>
    <w:p w14:paraId="039E74C1" w14:textId="2F766553" w:rsidR="001167F1" w:rsidRPr="00495F5D" w:rsidRDefault="001167F1" w:rsidP="001167F1">
      <w:pPr>
        <w:pStyle w:val="Caption"/>
        <w:jc w:val="both"/>
      </w:pPr>
      <w:bookmarkStart w:id="12" w:name="_Ref114338052"/>
      <w:r w:rsidRPr="001167F1">
        <w:rPr>
          <w:b/>
        </w:rPr>
        <w:t xml:space="preserve">Supplementary Figure </w:t>
      </w:r>
      <w:r w:rsidRPr="001167F1">
        <w:rPr>
          <w:b/>
        </w:rPr>
        <w:fldChar w:fldCharType="begin"/>
      </w:r>
      <w:r w:rsidRPr="001167F1">
        <w:rPr>
          <w:b/>
        </w:rPr>
        <w:instrText>SEQ Figure \* ARABIC</w:instrText>
      </w:r>
      <w:r w:rsidRPr="001167F1">
        <w:rPr>
          <w:b/>
        </w:rPr>
        <w:fldChar w:fldCharType="separate"/>
      </w:r>
      <w:r w:rsidR="00036C25">
        <w:rPr>
          <w:b/>
          <w:noProof/>
        </w:rPr>
        <w:t>2</w:t>
      </w:r>
      <w:r w:rsidRPr="001167F1">
        <w:rPr>
          <w:b/>
        </w:rPr>
        <w:fldChar w:fldCharType="end"/>
      </w:r>
      <w:bookmarkEnd w:id="12"/>
      <w:r>
        <w:t xml:space="preserve"> –</w:t>
      </w:r>
      <w:r w:rsidR="00610740">
        <w:t xml:space="preserve"> (a) </w:t>
      </w:r>
      <w:r>
        <w:t>Theoretical Gaussian laser beam profile alongside the z-axis calculated via Eq.1 and</w:t>
      </w:r>
      <w:r w:rsidR="00610740">
        <w:t xml:space="preserve"> the corresponding measured beam profiles via</w:t>
      </w:r>
      <w:r>
        <w:t xml:space="preserve"> CCD camera laser beam profiler. </w:t>
      </w:r>
      <w:r w:rsidR="00610740">
        <w:t>Due to</w:t>
      </w:r>
      <w:r w:rsidR="00F7545A">
        <w:t xml:space="preserve"> a</w:t>
      </w:r>
      <w:r w:rsidR="00610740">
        <w:t xml:space="preserve"> small misalignment of the laser beam through </w:t>
      </w:r>
      <w:r w:rsidR="00ED7C6D">
        <w:t xml:space="preserve">the </w:t>
      </w:r>
      <w:r w:rsidR="00610740">
        <w:t xml:space="preserve">optical chain, a deviation from </w:t>
      </w:r>
      <w:r w:rsidR="00ED7C6D">
        <w:t xml:space="preserve">the </w:t>
      </w:r>
      <w:r w:rsidR="00610740">
        <w:t>Gaussian profile is observed in both defocus directions. Cross-sectional laser beam profiles alongside (longitudinal) and perpendicular to the moving direction of the laser for (b and c) negative defocus (-1.9) and (</w:t>
      </w:r>
      <w:r w:rsidR="0070206A">
        <w:t>d</w:t>
      </w:r>
      <w:r w:rsidR="00610740">
        <w:t xml:space="preserve"> and </w:t>
      </w:r>
      <w:r w:rsidR="0070206A">
        <w:t>e</w:t>
      </w:r>
      <w:r w:rsidR="00610740">
        <w:t>) positive defocus (1.7).</w:t>
      </w:r>
      <w:r w:rsidR="00D9360F">
        <w:t xml:space="preserve"> The Gaussian fit provides a reference for the deviations.</w:t>
      </w:r>
      <w:r w:rsidR="00610740">
        <w:t xml:space="preserve"> The cross-sectional line passes through the centroid of the beams in all cases. </w:t>
      </w:r>
      <w:r w:rsidR="00BA44EF">
        <w:t>(</w:t>
      </w:r>
      <w:r w:rsidR="0070206A">
        <w:t>f</w:t>
      </w:r>
      <w:r w:rsidR="00BA44EF">
        <w:t xml:space="preserve">) </w:t>
      </w:r>
      <w:r w:rsidR="00DD39C9">
        <w:t>Average l</w:t>
      </w:r>
      <w:r w:rsidR="0070206A">
        <w:t>aser intensities per area for different beam shapes using 186 W</w:t>
      </w:r>
      <w:r w:rsidR="00DD39C9">
        <w:t xml:space="preserve"> average power</w:t>
      </w:r>
      <w:r w:rsidR="0070206A">
        <w:t xml:space="preserve"> (</w:t>
      </w:r>
      <w:r w:rsidR="00DC7F96">
        <w:t xml:space="preserve">RM1, </w:t>
      </w:r>
      <w:r w:rsidR="0070206A">
        <w:t>RM2, RM6 and RM7).</w:t>
      </w:r>
      <w:r w:rsidR="00BA44EF">
        <w:t xml:space="preserve"> </w:t>
      </w:r>
    </w:p>
    <w:p w14:paraId="3E1B01A6" w14:textId="77777777" w:rsidR="001167F1" w:rsidRDefault="001167F1">
      <w:pPr>
        <w:rPr>
          <w:noProof/>
        </w:rPr>
      </w:pPr>
      <w:r>
        <w:rPr>
          <w:noProof/>
        </w:rPr>
        <w:br w:type="page"/>
      </w:r>
    </w:p>
    <w:p w14:paraId="405B5B8E" w14:textId="69F6DA21" w:rsidR="00C164BA" w:rsidRDefault="0076786D" w:rsidP="00C164BA">
      <w:pPr>
        <w:keepNext/>
      </w:pPr>
      <w:r w:rsidRPr="0076786D">
        <w:rPr>
          <w:noProof/>
        </w:rPr>
        <w:lastRenderedPageBreak/>
        <w:drawing>
          <wp:inline distT="0" distB="0" distL="0" distR="0" wp14:anchorId="66A94A4D" wp14:editId="111BD0DD">
            <wp:extent cx="5943600" cy="227413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2274139"/>
                    </a:xfrm>
                    <a:prstGeom prst="rect">
                      <a:avLst/>
                    </a:prstGeom>
                    <a:noFill/>
                    <a:ln>
                      <a:noFill/>
                    </a:ln>
                  </pic:spPr>
                </pic:pic>
              </a:graphicData>
            </a:graphic>
          </wp:inline>
        </w:drawing>
      </w:r>
    </w:p>
    <w:p w14:paraId="4C8BFF34" w14:textId="70DC787E" w:rsidR="008163BD" w:rsidRDefault="00C164BA" w:rsidP="008163BD">
      <w:pPr>
        <w:pStyle w:val="Caption"/>
        <w:jc w:val="both"/>
      </w:pPr>
      <w:r w:rsidRPr="00C164BA">
        <w:rPr>
          <w:b/>
        </w:rPr>
        <w:t xml:space="preserve">Supplementary Figure </w:t>
      </w:r>
      <w:r w:rsidRPr="00C164BA">
        <w:rPr>
          <w:b/>
        </w:rPr>
        <w:fldChar w:fldCharType="begin"/>
      </w:r>
      <w:r w:rsidRPr="00C164BA">
        <w:rPr>
          <w:b/>
        </w:rPr>
        <w:instrText xml:space="preserve"> SEQ Figure \* ARABIC </w:instrText>
      </w:r>
      <w:r w:rsidRPr="00C164BA">
        <w:rPr>
          <w:b/>
        </w:rPr>
        <w:fldChar w:fldCharType="separate"/>
      </w:r>
      <w:r w:rsidR="00036C25">
        <w:rPr>
          <w:b/>
          <w:noProof/>
        </w:rPr>
        <w:t>3</w:t>
      </w:r>
      <w:r w:rsidRPr="00C164BA">
        <w:rPr>
          <w:b/>
        </w:rPr>
        <w:fldChar w:fldCharType="end"/>
      </w:r>
      <w:r w:rsidRPr="00C164BA">
        <w:rPr>
          <w:b/>
        </w:rPr>
        <w:t>:</w:t>
      </w:r>
      <w:r>
        <w:t xml:space="preserve"> </w:t>
      </w:r>
      <w:r w:rsidRPr="00C164BA">
        <w:rPr>
          <w:b/>
        </w:rPr>
        <w:t xml:space="preserve">Detection of </w:t>
      </w:r>
      <w:r w:rsidR="00ED7C6D">
        <w:rPr>
          <w:b/>
        </w:rPr>
        <w:t xml:space="preserve">the </w:t>
      </w:r>
      <w:r w:rsidRPr="00C164BA">
        <w:rPr>
          <w:b/>
        </w:rPr>
        <w:t>melt pool and keyhole depression edges at the melt pool surface.</w:t>
      </w:r>
      <w:r w:rsidRPr="00C164BA">
        <w:t xml:space="preserve"> </w:t>
      </w:r>
      <w:r w:rsidRPr="00C164BA">
        <w:rPr>
          <w:b/>
        </w:rPr>
        <w:t>(a)</w:t>
      </w:r>
      <w:r w:rsidRPr="00C164BA">
        <w:t xml:space="preserve"> Single frame, where, the top blue dashed</w:t>
      </w:r>
      <w:r w:rsidR="00ED7C6D">
        <w:t xml:space="preserve"> </w:t>
      </w:r>
      <w:r w:rsidRPr="00C164BA">
        <w:t>line represents the top surface and the one below is placed within 5 pixels from it. The averaged 5 pixels throughout all y-pixel columns are assembled for each time</w:t>
      </w:r>
      <w:r w:rsidR="00ED7C6D">
        <w:t xml:space="preserve"> </w:t>
      </w:r>
      <w:r w:rsidRPr="00C164BA">
        <w:t xml:space="preserve">frame creating a vertical array of pixels. </w:t>
      </w:r>
      <w:r w:rsidRPr="00C164BA">
        <w:rPr>
          <w:b/>
        </w:rPr>
        <w:t>(b)</w:t>
      </w:r>
      <w:r w:rsidRPr="00C164BA">
        <w:t xml:space="preserve"> </w:t>
      </w:r>
      <w:r w:rsidR="00ED7C6D">
        <w:t xml:space="preserve">The </w:t>
      </w:r>
      <w:r w:rsidRPr="00C164BA">
        <w:t xml:space="preserve">2D image consisted of assembled vertical arrays through time with the horizontal axis being time and </w:t>
      </w:r>
      <w:r w:rsidR="00ED7C6D">
        <w:t xml:space="preserve">the </w:t>
      </w:r>
      <w:r w:rsidRPr="00C164BA">
        <w:t xml:space="preserve">vertical axis being the </w:t>
      </w:r>
      <w:r w:rsidR="00D87CAE">
        <w:t>vertical array of pixels from each timestep according to (a)</w:t>
      </w:r>
      <w:r w:rsidRPr="00C164BA">
        <w:t xml:space="preserve">. </w:t>
      </w:r>
      <w:r w:rsidRPr="00C164BA">
        <w:rPr>
          <w:b/>
        </w:rPr>
        <w:t>(c)</w:t>
      </w:r>
      <w:r w:rsidRPr="00C164BA">
        <w:t xml:space="preserve"> </w:t>
      </w:r>
      <w:r w:rsidR="00ED7C6D">
        <w:t>A</w:t>
      </w:r>
      <w:r w:rsidR="00ED7C6D" w:rsidRPr="00C164BA">
        <w:t xml:space="preserve">nnotated </w:t>
      </w:r>
      <w:r w:rsidRPr="00C164BA">
        <w:t>melt pool (white dashed</w:t>
      </w:r>
      <w:r w:rsidR="00ED7C6D">
        <w:t xml:space="preserve"> </w:t>
      </w:r>
      <w:r w:rsidRPr="00C164BA">
        <w:t>lines) and keyhole depression edges (yellow dashed</w:t>
      </w:r>
      <w:r w:rsidR="00ED7C6D">
        <w:t xml:space="preserve"> </w:t>
      </w:r>
      <w:r w:rsidRPr="00C164BA">
        <w:t>lines).</w:t>
      </w:r>
    </w:p>
    <w:p w14:paraId="3A64E921" w14:textId="77777777" w:rsidR="008163BD" w:rsidRPr="008163BD" w:rsidRDefault="008163BD" w:rsidP="008163BD"/>
    <w:p w14:paraId="679981E0" w14:textId="071856E7" w:rsidR="003B5BB9" w:rsidRDefault="003B5BB9" w:rsidP="003B5BB9"/>
    <w:p w14:paraId="4BCA9E4E" w14:textId="3727EDA1" w:rsidR="003B5BB9" w:rsidRDefault="003B5BB9" w:rsidP="003B5BB9"/>
    <w:p w14:paraId="11D4046B" w14:textId="0DBA48ED" w:rsidR="003B5BB9" w:rsidRDefault="003B5BB9" w:rsidP="003B5BB9"/>
    <w:p w14:paraId="3E8C6D96" w14:textId="2C54E3E4" w:rsidR="003B5BB9" w:rsidRDefault="003B5BB9" w:rsidP="003B5BB9"/>
    <w:p w14:paraId="4FB777D8" w14:textId="4C7D8763" w:rsidR="003B5BB9" w:rsidRDefault="003B5BB9" w:rsidP="003B5BB9"/>
    <w:p w14:paraId="06BFCCB7" w14:textId="071D439A" w:rsidR="003B5BB9" w:rsidRDefault="003B5BB9" w:rsidP="003B5BB9"/>
    <w:p w14:paraId="08B72A7D" w14:textId="75E5B215" w:rsidR="003B5BB9" w:rsidRDefault="003B5BB9" w:rsidP="003B5BB9"/>
    <w:p w14:paraId="07EDC412" w14:textId="4787A481" w:rsidR="003B5BB9" w:rsidRDefault="003B5BB9" w:rsidP="003B5BB9"/>
    <w:p w14:paraId="39BECB05" w14:textId="677F56B5" w:rsidR="003B5BB9" w:rsidRDefault="003B5BB9" w:rsidP="003B5BB9"/>
    <w:p w14:paraId="1B2E3A11" w14:textId="57766F9F" w:rsidR="003B5BB9" w:rsidRDefault="003B5BB9" w:rsidP="003B5BB9"/>
    <w:p w14:paraId="75A5119B" w14:textId="58A16842" w:rsidR="003B5BB9" w:rsidRDefault="003B5BB9" w:rsidP="003B5BB9"/>
    <w:p w14:paraId="43299D0B" w14:textId="2E7A8C82" w:rsidR="003B5BB9" w:rsidRDefault="003B5BB9" w:rsidP="003B5BB9"/>
    <w:p w14:paraId="2E6D2514" w14:textId="2C343F8B" w:rsidR="003B5BB9" w:rsidRDefault="003B5BB9" w:rsidP="003B5BB9"/>
    <w:p w14:paraId="6B7671B7" w14:textId="39F5587E" w:rsidR="003B5BB9" w:rsidRDefault="003B5BB9" w:rsidP="003B5BB9"/>
    <w:p w14:paraId="1450998A" w14:textId="731F0CB6" w:rsidR="003B5BB9" w:rsidRDefault="003B5BB9" w:rsidP="003B5BB9"/>
    <w:p w14:paraId="09378A32" w14:textId="32BD5F2E" w:rsidR="003B5BB9" w:rsidRDefault="003B5BB9" w:rsidP="003B5BB9"/>
    <w:p w14:paraId="594C3D07" w14:textId="5CCE226A" w:rsidR="003B5BB9" w:rsidRDefault="003B5BB9" w:rsidP="003B5BB9"/>
    <w:p w14:paraId="5AFD2263" w14:textId="77777777" w:rsidR="00BF1599" w:rsidRDefault="00BF1599" w:rsidP="00BF1599">
      <w:pPr>
        <w:keepNext/>
        <w:jc w:val="center"/>
      </w:pPr>
      <w:r w:rsidRPr="00973295">
        <w:rPr>
          <w:noProof/>
        </w:rPr>
        <w:drawing>
          <wp:inline distT="0" distB="0" distL="0" distR="0" wp14:anchorId="1995E702" wp14:editId="26CBE77F">
            <wp:extent cx="3841750" cy="17932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841750" cy="1793240"/>
                    </a:xfrm>
                    <a:prstGeom prst="rect">
                      <a:avLst/>
                    </a:prstGeom>
                    <a:noFill/>
                    <a:ln>
                      <a:noFill/>
                    </a:ln>
                  </pic:spPr>
                </pic:pic>
              </a:graphicData>
            </a:graphic>
          </wp:inline>
        </w:drawing>
      </w:r>
    </w:p>
    <w:p w14:paraId="3C1D193D" w14:textId="373225CD" w:rsidR="00DD20CC" w:rsidRDefault="00BF1599" w:rsidP="00841095">
      <w:pPr>
        <w:pStyle w:val="Caption"/>
        <w:jc w:val="both"/>
      </w:pPr>
      <w:r w:rsidRPr="00BF1599">
        <w:rPr>
          <w:b/>
        </w:rPr>
        <w:t xml:space="preserve">Supplementary Figure </w:t>
      </w:r>
      <w:r w:rsidRPr="00BF1599">
        <w:rPr>
          <w:b/>
        </w:rPr>
        <w:fldChar w:fldCharType="begin"/>
      </w:r>
      <w:r w:rsidRPr="00BF1599">
        <w:rPr>
          <w:b/>
        </w:rPr>
        <w:instrText xml:space="preserve"> SEQ Figure \* ARABIC </w:instrText>
      </w:r>
      <w:r w:rsidRPr="00BF1599">
        <w:rPr>
          <w:b/>
        </w:rPr>
        <w:fldChar w:fldCharType="separate"/>
      </w:r>
      <w:r w:rsidR="00036C25">
        <w:rPr>
          <w:b/>
          <w:noProof/>
        </w:rPr>
        <w:t>4</w:t>
      </w:r>
      <w:r w:rsidRPr="00BF1599">
        <w:rPr>
          <w:b/>
        </w:rPr>
        <w:fldChar w:fldCharType="end"/>
      </w:r>
      <w:r w:rsidRPr="00BF1599">
        <w:rPr>
          <w:b/>
          <w:noProof/>
        </w:rPr>
        <w:t xml:space="preserve"> - </w:t>
      </w:r>
      <w:r w:rsidRPr="00BF1599">
        <w:rPr>
          <w:b/>
        </w:rPr>
        <w:t>Measurement of the melt pool and depression zone dimensions.</w:t>
      </w:r>
      <w:r>
        <w:t xml:space="preserve"> The light area is the melt pool, and the </w:t>
      </w:r>
      <w:r w:rsidDel="00AD0880">
        <w:t>red</w:t>
      </w:r>
      <w:r>
        <w:t xml:space="preserve">-shaded area corresponds to the depression zone (keyhole). The output of the image analysis and annotation are </w:t>
      </w:r>
      <w:proofErr w:type="gramStart"/>
      <w:r>
        <w:t>melt</w:t>
      </w:r>
      <w:proofErr w:type="gramEnd"/>
      <w:r w:rsidR="00841095">
        <w:t xml:space="preserve"> </w:t>
      </w:r>
      <w:r>
        <w:t>pool length (</w:t>
      </w:r>
      <w:proofErr w:type="spellStart"/>
      <w:r>
        <w:t>I</w:t>
      </w:r>
      <w:r w:rsidRPr="006E45AD">
        <w:rPr>
          <w:vertAlign w:val="subscript"/>
        </w:rPr>
        <w:t>m</w:t>
      </w:r>
      <w:proofErr w:type="spellEnd"/>
      <w:r>
        <w:t>), melt pool depth (d</w:t>
      </w:r>
      <w:r w:rsidRPr="006E45AD">
        <w:rPr>
          <w:vertAlign w:val="subscript"/>
        </w:rPr>
        <w:t>m</w:t>
      </w:r>
      <w:r>
        <w:t>), depression width (w</w:t>
      </w:r>
      <w:r w:rsidRPr="006E45AD">
        <w:rPr>
          <w:vertAlign w:val="subscript"/>
        </w:rPr>
        <w:t>d</w:t>
      </w:r>
      <w:r>
        <w:t>) and depression depth (d</w:t>
      </w:r>
      <w:r w:rsidRPr="006E45AD">
        <w:rPr>
          <w:vertAlign w:val="subscript"/>
        </w:rPr>
        <w:t>d</w:t>
      </w:r>
      <w:r>
        <w:t>).</w:t>
      </w:r>
    </w:p>
    <w:p w14:paraId="7FFD0C8F" w14:textId="77777777" w:rsidR="00DD20CC" w:rsidRDefault="00DD20CC">
      <w:pPr>
        <w:rPr>
          <w:i/>
          <w:iCs/>
          <w:color w:val="44546A" w:themeColor="text2"/>
          <w:sz w:val="18"/>
          <w:szCs w:val="18"/>
        </w:rPr>
      </w:pPr>
      <w:r>
        <w:br w:type="page"/>
      </w:r>
    </w:p>
    <w:p w14:paraId="41100365" w14:textId="62204A71" w:rsidR="00DD20CC" w:rsidRDefault="007F6A39" w:rsidP="008F0046">
      <w:pPr>
        <w:pStyle w:val="Caption"/>
        <w:keepNext/>
        <w:jc w:val="both"/>
      </w:pPr>
      <w:r>
        <w:rPr>
          <w:noProof/>
        </w:rPr>
        <w:lastRenderedPageBreak/>
        <w:drawing>
          <wp:inline distT="0" distB="0" distL="0" distR="0" wp14:anchorId="693DCF5B" wp14:editId="78D0A166">
            <wp:extent cx="5943600" cy="221043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1.png"/>
                    <pic:cNvPicPr/>
                  </pic:nvPicPr>
                  <pic:blipFill>
                    <a:blip r:embed="rId12">
                      <a:extLst>
                        <a:ext uri="{28A0092B-C50C-407E-A947-70E740481C1C}">
                          <a14:useLocalDpi xmlns:a14="http://schemas.microsoft.com/office/drawing/2010/main" val="0"/>
                        </a:ext>
                      </a:extLst>
                    </a:blip>
                    <a:stretch>
                      <a:fillRect/>
                    </a:stretch>
                  </pic:blipFill>
                  <pic:spPr>
                    <a:xfrm>
                      <a:off x="0" y="0"/>
                      <a:ext cx="5943600" cy="2210435"/>
                    </a:xfrm>
                    <a:prstGeom prst="rect">
                      <a:avLst/>
                    </a:prstGeom>
                  </pic:spPr>
                </pic:pic>
              </a:graphicData>
            </a:graphic>
          </wp:inline>
        </w:drawing>
      </w:r>
    </w:p>
    <w:p w14:paraId="69678927" w14:textId="142E146E" w:rsidR="000A4509" w:rsidRDefault="00DD20CC" w:rsidP="00DD20CC">
      <w:pPr>
        <w:pStyle w:val="Caption"/>
        <w:jc w:val="both"/>
      </w:pPr>
      <w:bookmarkStart w:id="13" w:name="_Ref125449068"/>
      <w:r w:rsidRPr="008F0046">
        <w:rPr>
          <w:b/>
        </w:rPr>
        <w:t xml:space="preserve">Supplementary Figure </w:t>
      </w:r>
      <w:r w:rsidRPr="008F0046">
        <w:rPr>
          <w:b/>
        </w:rPr>
        <w:fldChar w:fldCharType="begin"/>
      </w:r>
      <w:r w:rsidRPr="008F0046">
        <w:rPr>
          <w:b/>
        </w:rPr>
        <w:instrText xml:space="preserve"> SEQ Figure \* ARABIC </w:instrText>
      </w:r>
      <w:r w:rsidRPr="008F0046">
        <w:rPr>
          <w:b/>
        </w:rPr>
        <w:fldChar w:fldCharType="separate"/>
      </w:r>
      <w:r w:rsidR="00036C25">
        <w:rPr>
          <w:b/>
          <w:noProof/>
        </w:rPr>
        <w:t>5</w:t>
      </w:r>
      <w:r w:rsidRPr="008F0046">
        <w:rPr>
          <w:b/>
        </w:rPr>
        <w:fldChar w:fldCharType="end"/>
      </w:r>
      <w:bookmarkEnd w:id="13"/>
      <w:r>
        <w:t xml:space="preserve"> - a) </w:t>
      </w:r>
      <w:r w:rsidRPr="00282C51">
        <w:t xml:space="preserve">In blue, </w:t>
      </w:r>
      <w:r w:rsidR="00ED7C6D">
        <w:t xml:space="preserve">the </w:t>
      </w:r>
      <w:r w:rsidRPr="00282C51">
        <w:t xml:space="preserve">time evolution of one signal </w:t>
      </w:r>
      <w:r>
        <w:t xml:space="preserve">(RM2) </w:t>
      </w:r>
      <w:r w:rsidRPr="00282C51">
        <w:t xml:space="preserve">after being processed by each element of the </w:t>
      </w:r>
      <w:r>
        <w:t xml:space="preserve">keyhole filtering branch of the binary </w:t>
      </w:r>
      <w:r w:rsidRPr="00282C51">
        <w:t>processing pipeline</w:t>
      </w:r>
      <w:r>
        <w:t xml:space="preserve"> before any optimization</w:t>
      </w:r>
      <w:r w:rsidRPr="00282C51">
        <w:t xml:space="preserve">. In orange, </w:t>
      </w:r>
      <w:r w:rsidR="00ED7C6D">
        <w:t xml:space="preserve">the </w:t>
      </w:r>
      <w:r w:rsidRPr="00282C51">
        <w:t xml:space="preserve">time evolution of the </w:t>
      </w:r>
      <w:r>
        <w:t>g</w:t>
      </w:r>
      <w:r w:rsidRPr="00282C51">
        <w:t xml:space="preserve">round </w:t>
      </w:r>
      <w:r>
        <w:t>t</w:t>
      </w:r>
      <w:r w:rsidRPr="00282C51">
        <w:t xml:space="preserve">ruth, which has a value of 1 </w:t>
      </w:r>
      <w:r>
        <w:t xml:space="preserve">(0) </w:t>
      </w:r>
      <w:r w:rsidRPr="00282C51">
        <w:t xml:space="preserve">when </w:t>
      </w:r>
      <w:r>
        <w:t xml:space="preserve">the </w:t>
      </w:r>
      <w:r w:rsidRPr="00282C51">
        <w:t xml:space="preserve">keyhole </w:t>
      </w:r>
      <w:r>
        <w:t xml:space="preserve">(conduction) regime </w:t>
      </w:r>
      <w:r w:rsidRPr="00282C51">
        <w:t>is occurring.</w:t>
      </w:r>
      <w:r>
        <w:t xml:space="preserve"> The shown signal is obtained after pre-processing (including preliminary segmentation and normalization) and thus contains data acquired only during laser processing. b) </w:t>
      </w:r>
      <w:r w:rsidRPr="00282C51">
        <w:t xml:space="preserve">In blue, </w:t>
      </w:r>
      <w:r w:rsidR="00ED7C6D">
        <w:t xml:space="preserve">the </w:t>
      </w:r>
      <w:r w:rsidRPr="00282C51">
        <w:t xml:space="preserve">time evolution of one signal </w:t>
      </w:r>
      <w:r>
        <w:t xml:space="preserve">(RM2) </w:t>
      </w:r>
      <w:r w:rsidRPr="00282C51">
        <w:t>after being processed by each element of the</w:t>
      </w:r>
      <w:r>
        <w:t xml:space="preserve"> stable keyhole filtering branch of the ternary </w:t>
      </w:r>
      <w:r w:rsidRPr="00282C51">
        <w:t>processing pipeline</w:t>
      </w:r>
      <w:r>
        <w:t xml:space="preserve"> before any optimization</w:t>
      </w:r>
      <w:r w:rsidRPr="00282C51">
        <w:t xml:space="preserve">. In orange, </w:t>
      </w:r>
      <w:r w:rsidR="00ED7C6D">
        <w:t xml:space="preserve">the </w:t>
      </w:r>
      <w:r w:rsidRPr="00282C51">
        <w:t xml:space="preserve">time evolution of the </w:t>
      </w:r>
      <w:r>
        <w:t>g</w:t>
      </w:r>
      <w:r w:rsidRPr="00282C51">
        <w:t xml:space="preserve">round </w:t>
      </w:r>
      <w:r>
        <w:t>t</w:t>
      </w:r>
      <w:r w:rsidRPr="00282C51">
        <w:t xml:space="preserve">ruth, which has a value of </w:t>
      </w:r>
      <w:r>
        <w:t xml:space="preserve">0, 1, and 2 when the conduction regime, stable keyhole, and unstable keyhole are occurring, respectively. The shown signal is obtained after pre-processing (including preliminary segmentation and normalization) and thus contains data acquired only during laser processing. </w:t>
      </w:r>
    </w:p>
    <w:p w14:paraId="73B56D39" w14:textId="77777777" w:rsidR="000A4509" w:rsidRDefault="000A4509">
      <w:pPr>
        <w:rPr>
          <w:i/>
          <w:iCs/>
          <w:color w:val="44546A" w:themeColor="text2"/>
          <w:sz w:val="18"/>
          <w:szCs w:val="18"/>
        </w:rPr>
      </w:pPr>
      <w:r>
        <w:br w:type="page"/>
      </w:r>
    </w:p>
    <w:p w14:paraId="385D3D9C" w14:textId="77777777" w:rsidR="000A4509" w:rsidRDefault="000A4509" w:rsidP="008F0046">
      <w:pPr>
        <w:pStyle w:val="Caption"/>
        <w:keepNext/>
        <w:jc w:val="both"/>
      </w:pPr>
      <w:r>
        <w:rPr>
          <w:noProof/>
        </w:rPr>
        <w:lastRenderedPageBreak/>
        <w:drawing>
          <wp:inline distT="0" distB="0" distL="0" distR="0" wp14:anchorId="05884FFD" wp14:editId="4DF86224">
            <wp:extent cx="5943600" cy="23622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1dd.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2362200"/>
                    </a:xfrm>
                    <a:prstGeom prst="rect">
                      <a:avLst/>
                    </a:prstGeom>
                  </pic:spPr>
                </pic:pic>
              </a:graphicData>
            </a:graphic>
          </wp:inline>
        </w:drawing>
      </w:r>
    </w:p>
    <w:p w14:paraId="506C33CA" w14:textId="4031D2F9" w:rsidR="00DD20CC" w:rsidRDefault="000A4509" w:rsidP="008F0046">
      <w:pPr>
        <w:pStyle w:val="Caption"/>
        <w:jc w:val="both"/>
      </w:pPr>
      <w:bookmarkStart w:id="14" w:name="_Ref125448852"/>
      <w:r w:rsidRPr="008F0046">
        <w:rPr>
          <w:b/>
        </w:rPr>
        <w:t xml:space="preserve">Supplementary Figure </w:t>
      </w:r>
      <w:r w:rsidRPr="008F0046">
        <w:rPr>
          <w:b/>
        </w:rPr>
        <w:fldChar w:fldCharType="begin"/>
      </w:r>
      <w:r w:rsidRPr="008F0046">
        <w:rPr>
          <w:b/>
        </w:rPr>
        <w:instrText xml:space="preserve"> SEQ Figure \* ARABIC </w:instrText>
      </w:r>
      <w:r w:rsidRPr="008F0046">
        <w:rPr>
          <w:b/>
        </w:rPr>
        <w:fldChar w:fldCharType="separate"/>
      </w:r>
      <w:r w:rsidR="00036C25">
        <w:rPr>
          <w:b/>
          <w:noProof/>
        </w:rPr>
        <w:t>6</w:t>
      </w:r>
      <w:r w:rsidRPr="008F0046">
        <w:rPr>
          <w:b/>
        </w:rPr>
        <w:fldChar w:fldCharType="end"/>
      </w:r>
      <w:bookmarkEnd w:id="14"/>
      <w:r w:rsidRPr="008F0046">
        <w:rPr>
          <w:b/>
        </w:rPr>
        <w:t xml:space="preserve"> -</w:t>
      </w:r>
      <w:r>
        <w:t xml:space="preserve"> a) Block diagram of the complete processing pipeline for the binary segmentation problem. The pre-processing stage includes preliminary segmentation — to remove the signal sections acquired before and after laser processing — and normalization — to be less sensitive to the signal amplitude and the distance from the sample to the microphone. The following segmentation stage includes two filtering branches — each made up of an actual filter, a non-linear function, a moving average, and a SoftMax function — and produces two signals with the same duration (and the same number of data points) as the original raw data. For every time step, the prediction on which processing regime is occurring can be derived by checking which of the two output signals — </w:t>
      </w:r>
      <m:oMath>
        <m:sSub>
          <m:sSubPr>
            <m:ctrlPr>
              <w:rPr>
                <w:rFonts w:ascii="Cambria Math" w:hAnsi="Cambria Math"/>
              </w:rPr>
            </m:ctrlPr>
          </m:sSubPr>
          <m:e>
            <m:r>
              <w:rPr>
                <w:rFonts w:ascii="Cambria Math" w:hAnsi="Cambria Math"/>
              </w:rPr>
              <m:t>σ</m:t>
            </m:r>
          </m:e>
          <m:sub>
            <m:r>
              <w:rPr>
                <w:rFonts w:ascii="Cambria Math" w:hAnsi="Cambria Math"/>
              </w:rPr>
              <m:t>c</m:t>
            </m:r>
          </m:sub>
        </m:sSub>
      </m:oMath>
      <w:r>
        <w:t xml:space="preserve"> (for conduction) and </w:t>
      </w:r>
      <m:oMath>
        <m:sSub>
          <m:sSubPr>
            <m:ctrlPr>
              <w:rPr>
                <w:rFonts w:ascii="Cambria Math" w:hAnsi="Cambria Math"/>
              </w:rPr>
            </m:ctrlPr>
          </m:sSubPr>
          <m:e>
            <m:r>
              <w:rPr>
                <w:rFonts w:ascii="Cambria Math" w:hAnsi="Cambria Math"/>
              </w:rPr>
              <m:t>σ</m:t>
            </m:r>
          </m:e>
          <m:sub>
            <m:r>
              <w:rPr>
                <w:rFonts w:ascii="Cambria Math" w:hAnsi="Cambria Math"/>
              </w:rPr>
              <m:t>k</m:t>
            </m:r>
          </m:sub>
        </m:sSub>
      </m:oMath>
      <w:r>
        <w:rPr>
          <w:rFonts w:eastAsiaTheme="minorEastAsia"/>
        </w:rPr>
        <w:t xml:space="preserve"> (for keyhole) —</w:t>
      </w:r>
      <w:r>
        <w:t xml:space="preserve"> is closer to 1. b) Block diagram of the complete processing pipeline for the ternary segmentation problem. The pre-processing stage includes the same stages used for the binary pipeline. The following segmentation stage includes three filtering branches — each made up of an actual filter, a non-linear function followed by a moving average, a second non-linear function followed by a moving average, and a SoftMax function — and produces three signals with the same duration (and the same number of data points) as the original raw data. Same as for the binary case, for every time step, the prediction on which processing regime is occurring can be derived by checking which of the three output signals — </w:t>
      </w:r>
      <m:oMath>
        <m:sSub>
          <m:sSubPr>
            <m:ctrlPr>
              <w:rPr>
                <w:rFonts w:ascii="Cambria Math" w:hAnsi="Cambria Math"/>
              </w:rPr>
            </m:ctrlPr>
          </m:sSubPr>
          <m:e>
            <m:r>
              <w:rPr>
                <w:rFonts w:ascii="Cambria Math" w:hAnsi="Cambria Math"/>
              </w:rPr>
              <m:t>σ</m:t>
            </m:r>
          </m:e>
          <m:sub>
            <m:r>
              <w:rPr>
                <w:rFonts w:ascii="Cambria Math" w:hAnsi="Cambria Math"/>
              </w:rPr>
              <m:t>c</m:t>
            </m:r>
          </m:sub>
        </m:sSub>
      </m:oMath>
      <w:r>
        <w:t xml:space="preserve"> (for conduction), </w:t>
      </w:r>
      <m:oMath>
        <m:sSub>
          <m:sSubPr>
            <m:ctrlPr>
              <w:rPr>
                <w:rFonts w:ascii="Cambria Math" w:hAnsi="Cambria Math"/>
              </w:rPr>
            </m:ctrlPr>
          </m:sSubPr>
          <m:e>
            <m:r>
              <w:rPr>
                <w:rFonts w:ascii="Cambria Math" w:hAnsi="Cambria Math"/>
              </w:rPr>
              <m:t>σ</m:t>
            </m:r>
          </m:e>
          <m:sub>
            <m:r>
              <w:rPr>
                <w:rFonts w:ascii="Cambria Math" w:hAnsi="Cambria Math"/>
              </w:rPr>
              <m:t>sk</m:t>
            </m:r>
          </m:sub>
        </m:sSub>
      </m:oMath>
      <w:r>
        <w:rPr>
          <w:rFonts w:eastAsiaTheme="minorEastAsia"/>
        </w:rPr>
        <w:t xml:space="preserve"> (for stable keyhole),</w:t>
      </w:r>
      <w:r>
        <w:t xml:space="preserve"> and </w:t>
      </w:r>
      <m:oMath>
        <m:sSub>
          <m:sSubPr>
            <m:ctrlPr>
              <w:rPr>
                <w:rFonts w:ascii="Cambria Math" w:hAnsi="Cambria Math"/>
              </w:rPr>
            </m:ctrlPr>
          </m:sSubPr>
          <m:e>
            <m:r>
              <w:rPr>
                <w:rFonts w:ascii="Cambria Math" w:hAnsi="Cambria Math"/>
              </w:rPr>
              <m:t>σ</m:t>
            </m:r>
          </m:e>
          <m:sub>
            <m:r>
              <w:rPr>
                <w:rFonts w:ascii="Cambria Math" w:hAnsi="Cambria Math"/>
              </w:rPr>
              <m:t>uk</m:t>
            </m:r>
          </m:sub>
        </m:sSub>
      </m:oMath>
      <w:r>
        <w:rPr>
          <w:rFonts w:eastAsiaTheme="minorEastAsia"/>
        </w:rPr>
        <w:t xml:space="preserve"> (for unstable keyhole) —</w:t>
      </w:r>
      <w:r>
        <w:t xml:space="preserve"> is closer to 1.</w:t>
      </w:r>
    </w:p>
    <w:p w14:paraId="40BAEC4E" w14:textId="1F9E0476" w:rsidR="00BF1599" w:rsidRDefault="00BF1599" w:rsidP="00DD20CC">
      <w:pPr>
        <w:pStyle w:val="Caption"/>
        <w:jc w:val="both"/>
      </w:pPr>
    </w:p>
    <w:p w14:paraId="4153C87D" w14:textId="5FF1D173" w:rsidR="00BF1599" w:rsidRDefault="00BF1599" w:rsidP="00BF1599">
      <w:pPr>
        <w:jc w:val="center"/>
      </w:pPr>
      <w:r>
        <w:br w:type="page"/>
      </w:r>
    </w:p>
    <w:p w14:paraId="2039B661" w14:textId="2BCFBD57" w:rsidR="003A5B2A" w:rsidRDefault="00301502" w:rsidP="003A5B2A">
      <w:pPr>
        <w:keepNext/>
      </w:pPr>
      <w:r w:rsidRPr="00301502">
        <w:rPr>
          <w:noProof/>
        </w:rPr>
        <w:lastRenderedPageBreak/>
        <w:drawing>
          <wp:inline distT="0" distB="0" distL="0" distR="0" wp14:anchorId="7AF009BE" wp14:editId="4BE66207">
            <wp:extent cx="5943600" cy="4455740"/>
            <wp:effectExtent l="0" t="0" r="0" b="25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3600" cy="4455740"/>
                    </a:xfrm>
                    <a:prstGeom prst="rect">
                      <a:avLst/>
                    </a:prstGeom>
                    <a:noFill/>
                    <a:ln>
                      <a:noFill/>
                    </a:ln>
                  </pic:spPr>
                </pic:pic>
              </a:graphicData>
            </a:graphic>
          </wp:inline>
        </w:drawing>
      </w:r>
    </w:p>
    <w:p w14:paraId="61167BE8" w14:textId="780EBC55" w:rsidR="003A5B2A" w:rsidRDefault="003A5B2A" w:rsidP="00A12EBD">
      <w:pPr>
        <w:pStyle w:val="Caption"/>
        <w:jc w:val="both"/>
      </w:pPr>
      <w:r w:rsidRPr="00BB10F6">
        <w:rPr>
          <w:b/>
        </w:rPr>
        <w:t xml:space="preserve">Supplementary Figure </w:t>
      </w:r>
      <w:r w:rsidRPr="00BB10F6">
        <w:rPr>
          <w:b/>
        </w:rPr>
        <w:fldChar w:fldCharType="begin"/>
      </w:r>
      <w:r w:rsidRPr="00BB10F6">
        <w:rPr>
          <w:b/>
        </w:rPr>
        <w:instrText xml:space="preserve"> SEQ Figure \* ARABIC </w:instrText>
      </w:r>
      <w:r w:rsidRPr="00BB10F6">
        <w:rPr>
          <w:b/>
        </w:rPr>
        <w:fldChar w:fldCharType="separate"/>
      </w:r>
      <w:r w:rsidR="00036C25">
        <w:rPr>
          <w:b/>
          <w:noProof/>
        </w:rPr>
        <w:t>7</w:t>
      </w:r>
      <w:r w:rsidRPr="00BB10F6">
        <w:rPr>
          <w:b/>
        </w:rPr>
        <w:fldChar w:fldCharType="end"/>
      </w:r>
      <w:r w:rsidRPr="00BB10F6">
        <w:rPr>
          <w:b/>
        </w:rPr>
        <w:t xml:space="preserve"> -</w:t>
      </w:r>
      <w:r>
        <w:t xml:space="preserve"> </w:t>
      </w:r>
      <w:r w:rsidRPr="001E3AFD">
        <w:rPr>
          <w:b/>
        </w:rPr>
        <w:t>Stochastic regime instabilities and subsequent transition from conduction to stable and unstable keyhole regimes</w:t>
      </w:r>
      <w:r>
        <w:rPr>
          <w:b/>
        </w:rPr>
        <w:t xml:space="preserve"> in RM1 condition</w:t>
      </w:r>
      <w:r>
        <w:t xml:space="preserve">. </w:t>
      </w:r>
      <w:r w:rsidR="00F02829">
        <w:t xml:space="preserve">(a) </w:t>
      </w:r>
      <w:r w:rsidR="00A12EBD">
        <w:t>RM1 melt pool morphology variations under constant laser process parameters in a single scanning vector of 316L stainless steel</w:t>
      </w:r>
      <w:r w:rsidR="00D30DFE">
        <w:t xml:space="preserve"> (c.f. Supplementary video 1)</w:t>
      </w:r>
      <w:r w:rsidR="00A12EBD">
        <w:t>.</w:t>
      </w:r>
      <w:r w:rsidR="0008555B" w:rsidRPr="0008555B">
        <w:t xml:space="preserve"> </w:t>
      </w:r>
      <w:r w:rsidR="0008555B">
        <w:t>The normalized and filtered acoustic signal for each time frame is illustrated for each image set with event annotations represented by vertical lines.</w:t>
      </w:r>
      <w:r w:rsidR="00A12EBD">
        <w:t xml:space="preserve"> The boundaries of solid-liquid (melt pool) and gas-liquid (depression zone) are illustrated by yellow and white dashed lines, respectively. </w:t>
      </w:r>
      <w:r w:rsidR="003F7681">
        <w:t xml:space="preserve">The time bar depicts the regime changes from conduction to unstable keyhole (Ev1, t = 4.6 ms), unstable keyhole to stable keyhole (Ev2, t = 42.8 ms), stable keyhole to conduction (Ev3, t = 90.4 ms),  and conduction to stable keyhole and back to conduction taking place repetitively at (Ev4, t = 92.6 – 92.9 ms), (Ev5, t = 115.2 – 116.1 ms), and (Ev6, t = 118.2 – 118.5 ms) respectively. The resultant pores in the unstable keyhole regime in the vicinity of each timeline are encircled by dashed green lines. The scale bar for all the images is shown </w:t>
      </w:r>
      <w:r w:rsidR="00ED7C6D">
        <w:t>in</w:t>
      </w:r>
      <w:r w:rsidR="003F7681">
        <w:t xml:space="preserve"> the bottom left corner. The laser intensity profile</w:t>
      </w:r>
      <w:bookmarkStart w:id="15" w:name="_Hlk125296225"/>
      <w:r w:rsidR="00E46F06">
        <w:t xml:space="preserve"> (1.7, c.f. Supplementary Figure 2)</w:t>
      </w:r>
      <w:r w:rsidR="003F7681">
        <w:t xml:space="preserve"> </w:t>
      </w:r>
      <w:bookmarkEnd w:id="15"/>
      <w:r w:rsidR="003F7681">
        <w:t xml:space="preserve">and the corresponding scanning direction are presented </w:t>
      </w:r>
      <w:r w:rsidR="00ED7C6D">
        <w:t>at</w:t>
      </w:r>
      <w:r w:rsidR="003F7681">
        <w:t xml:space="preserve"> the center bottom of the figure. </w:t>
      </w:r>
      <w:r w:rsidR="00F02829">
        <w:t xml:space="preserve">(b) Time evolution of the output of the segmentation algorithm (after SoftMax normalization) obtained for RM1 signal for ternary segmentation problem. In </w:t>
      </w:r>
      <w:r w:rsidR="00F02829" w:rsidRPr="008F22E8">
        <w:t xml:space="preserve">blue </w:t>
      </w:r>
      <w:r w:rsidR="00F02829">
        <w:t>(</w:t>
      </w:r>
      <w:r w:rsidR="00F02829" w:rsidRPr="008F22E8">
        <w:t>gray</w:t>
      </w:r>
      <w:r w:rsidR="00F02829">
        <w:t xml:space="preserve">), </w:t>
      </w:r>
      <w:r w:rsidR="00ED7C6D">
        <w:t xml:space="preserve">the </w:t>
      </w:r>
      <w:r w:rsidR="00F02829">
        <w:t xml:space="preserve">time evolution of the ground truth (predictions obtained). As can be seen, the optimized filters can discern between the regimes by producing signals with a high value when the corresponding regime is occurring and a low one when the other regime is detected. </w:t>
      </w:r>
    </w:p>
    <w:p w14:paraId="34C8AF91" w14:textId="77777777" w:rsidR="003A5B2A" w:rsidRDefault="003A5B2A">
      <w:pPr>
        <w:rPr>
          <w:noProof/>
        </w:rPr>
      </w:pPr>
      <w:r>
        <w:rPr>
          <w:noProof/>
        </w:rPr>
        <w:br w:type="page"/>
      </w:r>
    </w:p>
    <w:p w14:paraId="06962BEC" w14:textId="44FD76AE" w:rsidR="00B63FF9" w:rsidRDefault="00331B65" w:rsidP="00B63FF9">
      <w:pPr>
        <w:keepNext/>
      </w:pPr>
      <w:r w:rsidRPr="00331B65">
        <w:lastRenderedPageBreak/>
        <w:t xml:space="preserve"> </w:t>
      </w:r>
      <w:r w:rsidR="009132F8" w:rsidRPr="009132F8">
        <w:rPr>
          <w:noProof/>
        </w:rPr>
        <w:drawing>
          <wp:inline distT="0" distB="0" distL="0" distR="0" wp14:anchorId="3BC27D8E" wp14:editId="2F395871">
            <wp:extent cx="5943600" cy="3109823"/>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3600" cy="3109823"/>
                    </a:xfrm>
                    <a:prstGeom prst="rect">
                      <a:avLst/>
                    </a:prstGeom>
                    <a:noFill/>
                    <a:ln>
                      <a:noFill/>
                    </a:ln>
                  </pic:spPr>
                </pic:pic>
              </a:graphicData>
            </a:graphic>
          </wp:inline>
        </w:drawing>
      </w:r>
    </w:p>
    <w:p w14:paraId="4A1FBAED" w14:textId="74FA1A43" w:rsidR="00B63FF9" w:rsidRDefault="00B63FF9" w:rsidP="00A12EBD">
      <w:pPr>
        <w:pStyle w:val="Caption"/>
        <w:jc w:val="both"/>
      </w:pPr>
      <w:r w:rsidRPr="00B63FF9">
        <w:rPr>
          <w:b/>
        </w:rPr>
        <w:t xml:space="preserve">Supplementary Figure </w:t>
      </w:r>
      <w:r w:rsidRPr="00B63FF9">
        <w:rPr>
          <w:b/>
        </w:rPr>
        <w:fldChar w:fldCharType="begin"/>
      </w:r>
      <w:r w:rsidRPr="00B63FF9">
        <w:rPr>
          <w:b/>
        </w:rPr>
        <w:instrText xml:space="preserve"> SEQ Figure \* ARABIC </w:instrText>
      </w:r>
      <w:r w:rsidRPr="00B63FF9">
        <w:rPr>
          <w:b/>
        </w:rPr>
        <w:fldChar w:fldCharType="separate"/>
      </w:r>
      <w:r w:rsidR="00036C25">
        <w:rPr>
          <w:b/>
          <w:noProof/>
        </w:rPr>
        <w:t>8</w:t>
      </w:r>
      <w:r w:rsidRPr="00B63FF9">
        <w:rPr>
          <w:b/>
        </w:rPr>
        <w:fldChar w:fldCharType="end"/>
      </w:r>
      <w:r w:rsidRPr="00B63FF9">
        <w:rPr>
          <w:b/>
        </w:rPr>
        <w:t xml:space="preserve"> -</w:t>
      </w:r>
      <w:r>
        <w:t xml:space="preserve"> </w:t>
      </w:r>
      <w:r w:rsidRPr="001E3AFD">
        <w:rPr>
          <w:b/>
        </w:rPr>
        <w:t>Stochastic regime instabilities and subsequent transition from conduction to stable and unstable keyhole regimes</w:t>
      </w:r>
      <w:r>
        <w:rPr>
          <w:b/>
        </w:rPr>
        <w:t xml:space="preserve"> in RM3 condition</w:t>
      </w:r>
      <w:r>
        <w:t xml:space="preserve">. </w:t>
      </w:r>
      <w:r w:rsidR="00A12EBD">
        <w:t>RM3 melt pool morphology variations under constant laser process parameters in a single scanning vector of 316L stainless steel</w:t>
      </w:r>
      <w:r w:rsidR="00D30DFE">
        <w:t xml:space="preserve"> (c.f. Supplementary video 3)</w:t>
      </w:r>
      <w:r w:rsidR="00A12EBD">
        <w:t xml:space="preserve">. </w:t>
      </w:r>
      <w:r w:rsidR="0008555B">
        <w:t xml:space="preserve">The normalized and filtered acoustic signal for each time frame is illustrated for each image set with event annotations represented by vertical lines. The boundaries of solid-liquid (melt pool) and gas-liquid (depression zone) are illustrated by yellow and white dashed lines, respectively. </w:t>
      </w:r>
      <w:r w:rsidR="00E46F06">
        <w:t xml:space="preserve">The time bar depicts regime changes from conduction to stable keyhole and back to conduction (Ev1, t = 11.8 – 12.3 ms), conduction to unstable keyhole and back to conduction (Ev2, t = 14.9 – 15.9 ms), conduction to stable keyhole and back to conduction (Ev3, t = 22.7 – 22.9 ms), and conduction to unstable keyhole (Ev4, t = 33.2 ms). The resultant pores in the unstable keyhole regime in the vicinity of each timeline are encircled by dashed green lines. The scale bar for all the images is shown </w:t>
      </w:r>
      <w:r w:rsidR="00ED7C6D">
        <w:t>in</w:t>
      </w:r>
      <w:r w:rsidR="00E46F06">
        <w:t xml:space="preserve"> the top right corner. The laser intensity profile (2.1, c.f. Supplementary Figure 2) and the corresponding scanning direction are presented in the bottom right corner.</w:t>
      </w:r>
      <w:r w:rsidR="00F02829">
        <w:t xml:space="preserve"> (c) time evolution of the ground truth (blue) alongside the predictions (gray).</w:t>
      </w:r>
      <w:r w:rsidR="0050288B">
        <w:t xml:space="preserve"> (b) Time evolution of the output of the segmentation algorithm (after SoftMax normalization) obtained for RM3 signal for ternary segmentation problem. In </w:t>
      </w:r>
      <w:r w:rsidR="0050288B" w:rsidRPr="008F22E8">
        <w:t xml:space="preserve">blue </w:t>
      </w:r>
      <w:r w:rsidR="0050288B">
        <w:t>(</w:t>
      </w:r>
      <w:r w:rsidR="0050288B" w:rsidRPr="008F22E8">
        <w:t>gray</w:t>
      </w:r>
      <w:r w:rsidR="0050288B">
        <w:t xml:space="preserve">), </w:t>
      </w:r>
      <w:r w:rsidR="00ED7C6D">
        <w:t xml:space="preserve">the </w:t>
      </w:r>
      <w:r w:rsidR="0050288B">
        <w:t>time evolution of the ground truth (predictions obtained). As can be seen, the optimized filters can discern between the regimes by producing signals with a high value when the corresponding regime is occurring and a low one when the other regime is detected.</w:t>
      </w:r>
    </w:p>
    <w:p w14:paraId="3FE81BA8" w14:textId="4564545A" w:rsidR="00103AE7" w:rsidRDefault="004805DF" w:rsidP="003A5B2A">
      <w:r>
        <w:br w:type="page"/>
      </w:r>
    </w:p>
    <w:p w14:paraId="70EB9CB5" w14:textId="3C1BA322" w:rsidR="00103AE7" w:rsidRDefault="00331B65" w:rsidP="00A12EBD">
      <w:pPr>
        <w:keepNext/>
        <w:jc w:val="both"/>
      </w:pPr>
      <w:r w:rsidRPr="00331B65">
        <w:lastRenderedPageBreak/>
        <w:t xml:space="preserve"> </w:t>
      </w:r>
      <w:r w:rsidR="00364E09" w:rsidRPr="00364E09">
        <w:rPr>
          <w:noProof/>
        </w:rPr>
        <w:drawing>
          <wp:inline distT="0" distB="0" distL="0" distR="0" wp14:anchorId="1B7C4B3A" wp14:editId="55F74217">
            <wp:extent cx="5943600" cy="3438108"/>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3600" cy="3438108"/>
                    </a:xfrm>
                    <a:prstGeom prst="rect">
                      <a:avLst/>
                    </a:prstGeom>
                    <a:noFill/>
                    <a:ln>
                      <a:noFill/>
                    </a:ln>
                  </pic:spPr>
                </pic:pic>
              </a:graphicData>
            </a:graphic>
          </wp:inline>
        </w:drawing>
      </w:r>
    </w:p>
    <w:p w14:paraId="19E7B568" w14:textId="189B245D" w:rsidR="00103AE7" w:rsidRDefault="00103AE7" w:rsidP="00A12EBD">
      <w:pPr>
        <w:pStyle w:val="Caption"/>
        <w:jc w:val="both"/>
      </w:pPr>
      <w:r w:rsidRPr="00103AE7">
        <w:rPr>
          <w:b/>
        </w:rPr>
        <w:t xml:space="preserve">Supplementary Figure </w:t>
      </w:r>
      <w:r w:rsidRPr="00103AE7">
        <w:rPr>
          <w:b/>
        </w:rPr>
        <w:fldChar w:fldCharType="begin"/>
      </w:r>
      <w:r w:rsidRPr="00103AE7">
        <w:rPr>
          <w:b/>
        </w:rPr>
        <w:instrText xml:space="preserve"> SEQ Figure \* ARABIC </w:instrText>
      </w:r>
      <w:r w:rsidRPr="00103AE7">
        <w:rPr>
          <w:b/>
        </w:rPr>
        <w:fldChar w:fldCharType="separate"/>
      </w:r>
      <w:r w:rsidR="00036C25">
        <w:rPr>
          <w:b/>
          <w:noProof/>
        </w:rPr>
        <w:t>9</w:t>
      </w:r>
      <w:r w:rsidRPr="00103AE7">
        <w:rPr>
          <w:b/>
        </w:rPr>
        <w:fldChar w:fldCharType="end"/>
      </w:r>
      <w:r w:rsidRPr="00103AE7">
        <w:rPr>
          <w:b/>
        </w:rPr>
        <w:t xml:space="preserve"> -</w:t>
      </w:r>
      <w:r>
        <w:t xml:space="preserve"> </w:t>
      </w:r>
      <w:r w:rsidRPr="001E3AFD">
        <w:rPr>
          <w:b/>
        </w:rPr>
        <w:t>Stochastic regime instabilities and subsequent transition from conduction to stable and unstable keyhole regimes</w:t>
      </w:r>
      <w:r>
        <w:rPr>
          <w:b/>
        </w:rPr>
        <w:t xml:space="preserve"> in RM</w:t>
      </w:r>
      <w:r w:rsidR="008D0CD1">
        <w:rPr>
          <w:b/>
        </w:rPr>
        <w:t>4</w:t>
      </w:r>
      <w:r>
        <w:rPr>
          <w:b/>
        </w:rPr>
        <w:t xml:space="preserve"> condition</w:t>
      </w:r>
      <w:r>
        <w:t xml:space="preserve">. </w:t>
      </w:r>
      <w:r w:rsidR="00A12EBD">
        <w:t>RM4 melt pool morphology variations under constant laser process parameters in a single scanning vector of 316L stainless steel</w:t>
      </w:r>
      <w:r w:rsidR="00D30DFE">
        <w:t xml:space="preserve"> (c.f. Supplementary video 4)</w:t>
      </w:r>
      <w:r w:rsidR="00A12EBD">
        <w:t xml:space="preserve">. </w:t>
      </w:r>
      <w:r w:rsidR="0008555B">
        <w:t xml:space="preserve">The normalized and filtered acoustic signal for each time frame is illustrated for each image set with event annotations represented by vertical lines. The boundaries of solid-liquid (melt pool) and gas-liquid (depression zone) are illustrated by yellow and white dashed lines, respectively. </w:t>
      </w:r>
      <w:r w:rsidR="00E46F06">
        <w:t xml:space="preserve">The time bar depicts the regime changes from conduction to stable keyhole (Ev1, t = 0.8 ms), stable to unstable keyhole (Ev2, t = 1.4 ms), and unstable to stable keyhole (Ev3, t = 9.5 ms). The resultant pores in the unstable keyhole regime in the vicinity of each timeline are encircled by dashed green lines. The scale bar for all the images is shown </w:t>
      </w:r>
      <w:r w:rsidR="00ED7C6D">
        <w:t xml:space="preserve">in </w:t>
      </w:r>
      <w:r w:rsidR="00E46F06">
        <w:t>the top right corner. The laser intensity profile (2.1, c.f. Supplementary Figure 2) and the corresponding scanning direction are presented in the bottom right corner.</w:t>
      </w:r>
      <w:r w:rsidR="0050288B">
        <w:t xml:space="preserve"> (b) Time evolution of the output of the segmentation algorithm (after SoftMax normalization) obtained for RM4 signal for ternary segmentation problem. In </w:t>
      </w:r>
      <w:r w:rsidR="0050288B" w:rsidRPr="008F22E8">
        <w:t xml:space="preserve">blue </w:t>
      </w:r>
      <w:r w:rsidR="0050288B">
        <w:t>(</w:t>
      </w:r>
      <w:r w:rsidR="0050288B" w:rsidRPr="008F22E8">
        <w:t>gray</w:t>
      </w:r>
      <w:r w:rsidR="0050288B">
        <w:t>),</w:t>
      </w:r>
      <w:r w:rsidR="00ED7C6D">
        <w:t xml:space="preserve"> the</w:t>
      </w:r>
      <w:r w:rsidR="0050288B">
        <w:t xml:space="preserve"> time evolution of the ground truth (predictions obtained). As can be seen, the optimized filters can discern between the regimes by producing signals with a high value when the corresponding regime is occurring and a low one when the other regime is detected.</w:t>
      </w:r>
    </w:p>
    <w:p w14:paraId="5DC873D6" w14:textId="68E1948A" w:rsidR="005631C3" w:rsidRDefault="00103AE7" w:rsidP="005631C3">
      <w:pPr>
        <w:keepNext/>
      </w:pPr>
      <w:r>
        <w:br w:type="page"/>
      </w:r>
    </w:p>
    <w:p w14:paraId="4848DA7C" w14:textId="591D5323" w:rsidR="00DA1C3C" w:rsidRDefault="001B2B70" w:rsidP="005631C3">
      <w:pPr>
        <w:keepNext/>
      </w:pPr>
      <w:r w:rsidRPr="001B2B70">
        <w:rPr>
          <w:noProof/>
        </w:rPr>
        <w:lastRenderedPageBreak/>
        <w:drawing>
          <wp:inline distT="0" distB="0" distL="0" distR="0" wp14:anchorId="310EBFB3" wp14:editId="1858FDA2">
            <wp:extent cx="5943600" cy="5470373"/>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3600" cy="5470373"/>
                    </a:xfrm>
                    <a:prstGeom prst="rect">
                      <a:avLst/>
                    </a:prstGeom>
                    <a:noFill/>
                    <a:ln>
                      <a:noFill/>
                    </a:ln>
                  </pic:spPr>
                </pic:pic>
              </a:graphicData>
            </a:graphic>
          </wp:inline>
        </w:drawing>
      </w:r>
    </w:p>
    <w:p w14:paraId="6E10B042" w14:textId="714267F6" w:rsidR="00036C25" w:rsidRDefault="005631C3" w:rsidP="00A12EBD">
      <w:pPr>
        <w:pStyle w:val="Caption"/>
        <w:jc w:val="both"/>
      </w:pPr>
      <w:r w:rsidRPr="000F6A6B">
        <w:rPr>
          <w:b/>
        </w:rPr>
        <w:t xml:space="preserve">Supplementary Figure </w:t>
      </w:r>
      <w:r w:rsidRPr="000F6A6B">
        <w:rPr>
          <w:b/>
        </w:rPr>
        <w:fldChar w:fldCharType="begin"/>
      </w:r>
      <w:r w:rsidRPr="000F6A6B">
        <w:rPr>
          <w:b/>
        </w:rPr>
        <w:instrText xml:space="preserve"> SEQ Figure \* ARABIC </w:instrText>
      </w:r>
      <w:r w:rsidRPr="000F6A6B">
        <w:rPr>
          <w:b/>
        </w:rPr>
        <w:fldChar w:fldCharType="separate"/>
      </w:r>
      <w:r w:rsidR="00036C25" w:rsidRPr="000F6A6B">
        <w:rPr>
          <w:b/>
          <w:noProof/>
        </w:rPr>
        <w:t>10</w:t>
      </w:r>
      <w:r w:rsidRPr="000F6A6B">
        <w:rPr>
          <w:b/>
        </w:rPr>
        <w:fldChar w:fldCharType="end"/>
      </w:r>
      <w:r w:rsidRPr="000F6A6B">
        <w:rPr>
          <w:b/>
        </w:rPr>
        <w:t xml:space="preserve"> -</w:t>
      </w:r>
      <w:r>
        <w:t xml:space="preserve"> </w:t>
      </w:r>
      <w:r w:rsidRPr="001E3AFD">
        <w:rPr>
          <w:b/>
        </w:rPr>
        <w:t>Stochastic regime instabilities and subsequent transition from conduction to stable and unstable keyhole regimes</w:t>
      </w:r>
      <w:r>
        <w:rPr>
          <w:b/>
        </w:rPr>
        <w:t xml:space="preserve"> in RM7 condition</w:t>
      </w:r>
      <w:r>
        <w:t>.</w:t>
      </w:r>
      <w:r w:rsidR="00A12EBD">
        <w:t xml:space="preserve"> RM7 melt pool morphology variations under constant laser process parameters in a single scanning vector of 316L stainless steel</w:t>
      </w:r>
      <w:r w:rsidR="00D30DFE">
        <w:t xml:space="preserve"> (c.f. Supplementary video 6)</w:t>
      </w:r>
      <w:r w:rsidR="00A12EBD">
        <w:t xml:space="preserve">. </w:t>
      </w:r>
      <w:r w:rsidR="0008555B">
        <w:t xml:space="preserve">The normalized and filtered acoustic signal for each time frame is illustrated for each image set with event annotations represented by vertical lines. The boundaries of solid-liquid (melt pool) and gas-liquid (depression zone) are illustrated by yellow and white dashed lines, respectively. </w:t>
      </w:r>
      <w:r w:rsidR="00DA1C3C">
        <w:t xml:space="preserve">The time bar depicts the regime changes from conduction to stable keyhole (Ev1, t = 54.8 ms), stable to unstable keyhole (Ev2, t = 61.2 ms), unstable to stable keyhole (Ev3, t = 118.3 ms), end of the first line scan (t = 124.8 ms), stable to unstable keyhole (Ev4, t = 128.7 ms), unstable to stable keyhole (Ev5, t = 197 ms), stable to conduction and back to stable keyhole (Ev6, t = 199.5 – 204.1 ms), stable to unstable keyhole (Ev7, t = 207.2 ms). The resultant pores in the unstable keyhole regime in the vicinity of each timeline are encircled by dashed green lines. The scale bar for all the images is shown </w:t>
      </w:r>
      <w:r w:rsidR="00ED7C6D">
        <w:t>in</w:t>
      </w:r>
      <w:r w:rsidR="00DA1C3C">
        <w:t xml:space="preserve"> the top right corner. The laser intensity profile (-1.9, c.f. Supplementary Figure 2) and the corresponding scanning direction are presented in the bottom right corner.</w:t>
      </w:r>
      <w:r w:rsidR="0050288B">
        <w:t xml:space="preserve"> (b) Time evolution of the output of the segmentation algorithm (after SoftMax normalization) obtained for RM7 signal for ternary segmentation problem. In </w:t>
      </w:r>
      <w:r w:rsidR="0050288B" w:rsidRPr="008F22E8">
        <w:t xml:space="preserve">blue </w:t>
      </w:r>
      <w:r w:rsidR="0050288B">
        <w:t>(</w:t>
      </w:r>
      <w:r w:rsidR="0050288B" w:rsidRPr="008F22E8">
        <w:t>gray</w:t>
      </w:r>
      <w:r w:rsidR="0050288B">
        <w:t xml:space="preserve">), </w:t>
      </w:r>
      <w:r w:rsidR="00ED7C6D">
        <w:t xml:space="preserve">the </w:t>
      </w:r>
      <w:r w:rsidR="0050288B">
        <w:t>time evolution of the ground truth (predictions obtained). As can be seen, the optimized filters can discern between the regimes by producing signals with a high value when the corresponding regime is occurring and a low one when the other regime is detected.</w:t>
      </w:r>
    </w:p>
    <w:p w14:paraId="011E39E8" w14:textId="7FC4FBE5" w:rsidR="00036C25" w:rsidRDefault="00036C25" w:rsidP="00036C25">
      <w:r>
        <w:br w:type="page"/>
      </w:r>
      <w:r w:rsidRPr="00036C25">
        <w:rPr>
          <w:noProof/>
        </w:rPr>
        <w:lastRenderedPageBreak/>
        <w:drawing>
          <wp:inline distT="0" distB="0" distL="0" distR="0" wp14:anchorId="31C38B7B" wp14:editId="1E5BB669">
            <wp:extent cx="5692140" cy="2884170"/>
            <wp:effectExtent l="0" t="0" r="381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692140" cy="2884170"/>
                    </a:xfrm>
                    <a:prstGeom prst="rect">
                      <a:avLst/>
                    </a:prstGeom>
                    <a:noFill/>
                    <a:ln>
                      <a:noFill/>
                    </a:ln>
                  </pic:spPr>
                </pic:pic>
              </a:graphicData>
            </a:graphic>
          </wp:inline>
        </w:drawing>
      </w:r>
    </w:p>
    <w:p w14:paraId="7DC5AC07" w14:textId="283C146F" w:rsidR="005631C3" w:rsidRDefault="00036C25" w:rsidP="000F6A6B">
      <w:pPr>
        <w:pStyle w:val="Caption"/>
        <w:jc w:val="both"/>
      </w:pPr>
      <w:r w:rsidRPr="000F6A6B">
        <w:rPr>
          <w:b/>
        </w:rPr>
        <w:t xml:space="preserve">Supplementary Figure </w:t>
      </w:r>
      <w:r w:rsidRPr="000F6A6B">
        <w:rPr>
          <w:b/>
        </w:rPr>
        <w:fldChar w:fldCharType="begin"/>
      </w:r>
      <w:r w:rsidRPr="000F6A6B">
        <w:rPr>
          <w:b/>
        </w:rPr>
        <w:instrText xml:space="preserve"> SEQ Figure \* ARABIC </w:instrText>
      </w:r>
      <w:r w:rsidRPr="000F6A6B">
        <w:rPr>
          <w:b/>
        </w:rPr>
        <w:fldChar w:fldCharType="separate"/>
      </w:r>
      <w:r w:rsidRPr="000F6A6B">
        <w:rPr>
          <w:b/>
          <w:noProof/>
        </w:rPr>
        <w:t>11</w:t>
      </w:r>
      <w:r w:rsidRPr="000F6A6B">
        <w:rPr>
          <w:b/>
        </w:rPr>
        <w:fldChar w:fldCharType="end"/>
      </w:r>
      <w:r>
        <w:t xml:space="preserve"> – a) </w:t>
      </w:r>
      <w:r w:rsidRPr="00335F5E">
        <w:t>heatm</w:t>
      </w:r>
      <w:r>
        <w:t>ap of the confusion matrix for the</w:t>
      </w:r>
      <w:r w:rsidRPr="00335F5E">
        <w:t xml:space="preserve"> ternary classification problem, where 0 represents conduction, 1 represents stable keyhole</w:t>
      </w:r>
      <w:r>
        <w:t>,</w:t>
      </w:r>
      <w:r w:rsidRPr="00335F5E">
        <w:t xml:space="preserve"> and 2 represents unstable keyhole. </w:t>
      </w:r>
      <w:r>
        <w:t xml:space="preserve">b) </w:t>
      </w:r>
      <w:r w:rsidRPr="00335F5E">
        <w:t>heatm</w:t>
      </w:r>
      <w:r>
        <w:t>ap of the confusion matrix for the</w:t>
      </w:r>
      <w:r w:rsidRPr="00335F5E">
        <w:t xml:space="preserve"> </w:t>
      </w:r>
      <w:r>
        <w:t>binary</w:t>
      </w:r>
      <w:r w:rsidRPr="00335F5E">
        <w:t xml:space="preserve"> classification problem, where 0 represent</w:t>
      </w:r>
      <w:r>
        <w:t>s conduction, and 1</w:t>
      </w:r>
      <w:r w:rsidRPr="00335F5E">
        <w:t xml:space="preserve"> represents keyhole.</w:t>
      </w:r>
      <w:r>
        <w:t xml:space="preserve"> The matrices show</w:t>
      </w:r>
      <w:r w:rsidRPr="00335F5E">
        <w:t xml:space="preserve"> the percentage of correct and incorrect predictions made by the algorithm, with the rows representing the true values and the columns representing the predicted values. The color scale indicates the percentage of </w:t>
      </w:r>
      <w:r>
        <w:t>the correct</w:t>
      </w:r>
      <w:r w:rsidRPr="00335F5E">
        <w:t xml:space="preserve"> prediction, with darker shades indicating higher percentages.</w:t>
      </w:r>
    </w:p>
    <w:p w14:paraId="48683C34" w14:textId="0E61ECDC" w:rsidR="005631C3" w:rsidRDefault="005631C3">
      <w:r>
        <w:br w:type="page"/>
      </w:r>
    </w:p>
    <w:p w14:paraId="4EAC4F30" w14:textId="5409BE25" w:rsidR="0050288B" w:rsidRPr="00B17A6F" w:rsidRDefault="0050288B" w:rsidP="0050288B">
      <w:pPr>
        <w:jc w:val="both"/>
        <w:rPr>
          <w:b/>
        </w:rPr>
      </w:pPr>
      <w:r>
        <w:rPr>
          <w:b/>
        </w:rPr>
        <w:lastRenderedPageBreak/>
        <w:t>References</w:t>
      </w:r>
    </w:p>
    <w:p w14:paraId="4CAD1BDD" w14:textId="77777777" w:rsidR="00103AE7" w:rsidRDefault="00103AE7"/>
    <w:p w14:paraId="34F5A9A9" w14:textId="42739B70" w:rsidR="0050288B" w:rsidRPr="0050288B" w:rsidRDefault="003B5BB9" w:rsidP="0050288B">
      <w:pPr>
        <w:widowControl w:val="0"/>
        <w:autoSpaceDE w:val="0"/>
        <w:autoSpaceDN w:val="0"/>
        <w:adjustRightInd w:val="0"/>
        <w:spacing w:line="240" w:lineRule="auto"/>
        <w:ind w:left="640" w:hanging="640"/>
        <w:rPr>
          <w:rFonts w:ascii="Calibri" w:hAnsi="Calibri" w:cs="Calibri"/>
          <w:noProof/>
          <w:szCs w:val="24"/>
        </w:rPr>
      </w:pPr>
      <w:r>
        <w:fldChar w:fldCharType="begin" w:fldLock="1"/>
      </w:r>
      <w:r>
        <w:instrText xml:space="preserve">ADDIN Mendeley Bibliography CSL_BIBLIOGRAPHY </w:instrText>
      </w:r>
      <w:r>
        <w:fldChar w:fldCharType="separate"/>
      </w:r>
      <w:r w:rsidR="0050288B" w:rsidRPr="0050288B">
        <w:rPr>
          <w:rFonts w:ascii="Calibri" w:hAnsi="Calibri" w:cs="Calibri"/>
          <w:noProof/>
          <w:szCs w:val="24"/>
        </w:rPr>
        <w:t>1.</w:t>
      </w:r>
      <w:r w:rsidR="0050288B" w:rsidRPr="0050288B">
        <w:rPr>
          <w:rFonts w:ascii="Calibri" w:hAnsi="Calibri" w:cs="Calibri"/>
          <w:noProof/>
          <w:szCs w:val="24"/>
        </w:rPr>
        <w:tab/>
        <w:t xml:space="preserve">Hocine, S. </w:t>
      </w:r>
      <w:r w:rsidR="0050288B" w:rsidRPr="0050288B">
        <w:rPr>
          <w:rFonts w:ascii="Calibri" w:hAnsi="Calibri" w:cs="Calibri"/>
          <w:i/>
          <w:iCs/>
          <w:noProof/>
          <w:szCs w:val="24"/>
        </w:rPr>
        <w:t>et al.</w:t>
      </w:r>
      <w:r w:rsidR="0050288B" w:rsidRPr="0050288B">
        <w:rPr>
          <w:rFonts w:ascii="Calibri" w:hAnsi="Calibri" w:cs="Calibri"/>
          <w:noProof/>
          <w:szCs w:val="24"/>
        </w:rPr>
        <w:t xml:space="preserve"> Operando X-ray diffraction during laser 3D printing. </w:t>
      </w:r>
      <w:r w:rsidR="0050288B" w:rsidRPr="0050288B">
        <w:rPr>
          <w:rFonts w:ascii="Calibri" w:hAnsi="Calibri" w:cs="Calibri"/>
          <w:i/>
          <w:iCs/>
          <w:noProof/>
          <w:szCs w:val="24"/>
        </w:rPr>
        <w:t>Mater. Today</w:t>
      </w:r>
      <w:r w:rsidR="0050288B" w:rsidRPr="0050288B">
        <w:rPr>
          <w:rFonts w:ascii="Calibri" w:hAnsi="Calibri" w:cs="Calibri"/>
          <w:noProof/>
          <w:szCs w:val="24"/>
        </w:rPr>
        <w:t xml:space="preserve"> </w:t>
      </w:r>
      <w:r w:rsidR="0050288B" w:rsidRPr="0050288B">
        <w:rPr>
          <w:rFonts w:ascii="Calibri" w:hAnsi="Calibri" w:cs="Calibri"/>
          <w:b/>
          <w:bCs/>
          <w:noProof/>
          <w:szCs w:val="24"/>
        </w:rPr>
        <w:t>34</w:t>
      </w:r>
      <w:r w:rsidR="0050288B" w:rsidRPr="0050288B">
        <w:rPr>
          <w:rFonts w:ascii="Calibri" w:hAnsi="Calibri" w:cs="Calibri"/>
          <w:noProof/>
          <w:szCs w:val="24"/>
        </w:rPr>
        <w:t>, 30–40 (2020).</w:t>
      </w:r>
    </w:p>
    <w:p w14:paraId="4F7A7ADB" w14:textId="77777777" w:rsidR="0050288B" w:rsidRPr="0050288B" w:rsidRDefault="0050288B" w:rsidP="0050288B">
      <w:pPr>
        <w:widowControl w:val="0"/>
        <w:autoSpaceDE w:val="0"/>
        <w:autoSpaceDN w:val="0"/>
        <w:adjustRightInd w:val="0"/>
        <w:spacing w:line="240" w:lineRule="auto"/>
        <w:ind w:left="640" w:hanging="640"/>
        <w:rPr>
          <w:rFonts w:ascii="Calibri" w:hAnsi="Calibri" w:cs="Calibri"/>
          <w:noProof/>
          <w:szCs w:val="24"/>
        </w:rPr>
      </w:pPr>
      <w:r w:rsidRPr="0050288B">
        <w:rPr>
          <w:rFonts w:ascii="Calibri" w:hAnsi="Calibri" w:cs="Calibri"/>
          <w:noProof/>
          <w:szCs w:val="24"/>
        </w:rPr>
        <w:t>2.</w:t>
      </w:r>
      <w:r w:rsidRPr="0050288B">
        <w:rPr>
          <w:rFonts w:ascii="Calibri" w:hAnsi="Calibri" w:cs="Calibri"/>
          <w:noProof/>
          <w:szCs w:val="24"/>
        </w:rPr>
        <w:tab/>
        <w:t xml:space="preserve">Hocine, S. </w:t>
      </w:r>
      <w:r w:rsidRPr="0050288B">
        <w:rPr>
          <w:rFonts w:ascii="Calibri" w:hAnsi="Calibri" w:cs="Calibri"/>
          <w:i/>
          <w:iCs/>
          <w:noProof/>
          <w:szCs w:val="24"/>
        </w:rPr>
        <w:t>et al.</w:t>
      </w:r>
      <w:r w:rsidRPr="0050288B">
        <w:rPr>
          <w:rFonts w:ascii="Calibri" w:hAnsi="Calibri" w:cs="Calibri"/>
          <w:noProof/>
          <w:szCs w:val="24"/>
        </w:rPr>
        <w:t xml:space="preserve"> A miniaturized selective laser melting device for operando X-ray diffraction studies. (2020) doi:10.1016/j.addma.2020.101194.</w:t>
      </w:r>
    </w:p>
    <w:p w14:paraId="28C801D2" w14:textId="77777777" w:rsidR="0050288B" w:rsidRPr="0050288B" w:rsidRDefault="0050288B" w:rsidP="0050288B">
      <w:pPr>
        <w:widowControl w:val="0"/>
        <w:autoSpaceDE w:val="0"/>
        <w:autoSpaceDN w:val="0"/>
        <w:adjustRightInd w:val="0"/>
        <w:spacing w:line="240" w:lineRule="auto"/>
        <w:ind w:left="640" w:hanging="640"/>
        <w:rPr>
          <w:rFonts w:ascii="Calibri" w:hAnsi="Calibri" w:cs="Calibri"/>
          <w:noProof/>
          <w:szCs w:val="24"/>
        </w:rPr>
      </w:pPr>
      <w:r w:rsidRPr="0050288B">
        <w:rPr>
          <w:rFonts w:ascii="Calibri" w:hAnsi="Calibri" w:cs="Calibri"/>
          <w:noProof/>
          <w:szCs w:val="24"/>
        </w:rPr>
        <w:t>3.</w:t>
      </w:r>
      <w:r w:rsidRPr="0050288B">
        <w:rPr>
          <w:rFonts w:ascii="Calibri" w:hAnsi="Calibri" w:cs="Calibri"/>
          <w:noProof/>
          <w:szCs w:val="24"/>
        </w:rPr>
        <w:tab/>
        <w:t xml:space="preserve">Metelkova, J. </w:t>
      </w:r>
      <w:r w:rsidRPr="0050288B">
        <w:rPr>
          <w:rFonts w:ascii="Calibri" w:hAnsi="Calibri" w:cs="Calibri"/>
          <w:i/>
          <w:iCs/>
          <w:noProof/>
          <w:szCs w:val="24"/>
        </w:rPr>
        <w:t>et al.</w:t>
      </w:r>
      <w:r w:rsidRPr="0050288B">
        <w:rPr>
          <w:rFonts w:ascii="Calibri" w:hAnsi="Calibri" w:cs="Calibri"/>
          <w:noProof/>
          <w:szCs w:val="24"/>
        </w:rPr>
        <w:t xml:space="preserve"> On the influence of laser defocusing in Selective Laser Melting of 316L. </w:t>
      </w:r>
      <w:r w:rsidRPr="0050288B">
        <w:rPr>
          <w:rFonts w:ascii="Calibri" w:hAnsi="Calibri" w:cs="Calibri"/>
          <w:i/>
          <w:iCs/>
          <w:noProof/>
          <w:szCs w:val="24"/>
        </w:rPr>
        <w:t>Addit. Manuf.</w:t>
      </w:r>
      <w:r w:rsidRPr="0050288B">
        <w:rPr>
          <w:rFonts w:ascii="Calibri" w:hAnsi="Calibri" w:cs="Calibri"/>
          <w:noProof/>
          <w:szCs w:val="24"/>
        </w:rPr>
        <w:t xml:space="preserve"> </w:t>
      </w:r>
      <w:r w:rsidRPr="0050288B">
        <w:rPr>
          <w:rFonts w:ascii="Calibri" w:hAnsi="Calibri" w:cs="Calibri"/>
          <w:b/>
          <w:bCs/>
          <w:noProof/>
          <w:szCs w:val="24"/>
        </w:rPr>
        <w:t>23</w:t>
      </w:r>
      <w:r w:rsidRPr="0050288B">
        <w:rPr>
          <w:rFonts w:ascii="Calibri" w:hAnsi="Calibri" w:cs="Calibri"/>
          <w:noProof/>
          <w:szCs w:val="24"/>
        </w:rPr>
        <w:t>, 161–169 (2018).</w:t>
      </w:r>
    </w:p>
    <w:p w14:paraId="1BFA9C19" w14:textId="77777777" w:rsidR="0050288B" w:rsidRPr="0050288B" w:rsidRDefault="0050288B" w:rsidP="0050288B">
      <w:pPr>
        <w:widowControl w:val="0"/>
        <w:autoSpaceDE w:val="0"/>
        <w:autoSpaceDN w:val="0"/>
        <w:adjustRightInd w:val="0"/>
        <w:spacing w:line="240" w:lineRule="auto"/>
        <w:ind w:left="640" w:hanging="640"/>
        <w:rPr>
          <w:rFonts w:ascii="Calibri" w:hAnsi="Calibri" w:cs="Calibri"/>
          <w:noProof/>
          <w:szCs w:val="24"/>
        </w:rPr>
      </w:pPr>
      <w:r w:rsidRPr="0050288B">
        <w:rPr>
          <w:rFonts w:ascii="Calibri" w:hAnsi="Calibri" w:cs="Calibri"/>
          <w:noProof/>
          <w:szCs w:val="24"/>
        </w:rPr>
        <w:t>4.</w:t>
      </w:r>
      <w:r w:rsidRPr="0050288B">
        <w:rPr>
          <w:rFonts w:ascii="Calibri" w:hAnsi="Calibri" w:cs="Calibri"/>
          <w:noProof/>
          <w:szCs w:val="24"/>
        </w:rPr>
        <w:tab/>
        <w:t xml:space="preserve">Nasab, M. H., Gastaldi, D., Lecis, N. F. &amp; Vedani, M. On morphological surface features of the parts printed by selective laser melting (SLM). </w:t>
      </w:r>
      <w:r w:rsidRPr="0050288B">
        <w:rPr>
          <w:rFonts w:ascii="Calibri" w:hAnsi="Calibri" w:cs="Calibri"/>
          <w:i/>
          <w:iCs/>
          <w:noProof/>
          <w:szCs w:val="24"/>
        </w:rPr>
        <w:t>Addit. Manuf.</w:t>
      </w:r>
      <w:r w:rsidRPr="0050288B">
        <w:rPr>
          <w:rFonts w:ascii="Calibri" w:hAnsi="Calibri" w:cs="Calibri"/>
          <w:noProof/>
          <w:szCs w:val="24"/>
        </w:rPr>
        <w:t xml:space="preserve"> </w:t>
      </w:r>
      <w:r w:rsidRPr="0050288B">
        <w:rPr>
          <w:rFonts w:ascii="Calibri" w:hAnsi="Calibri" w:cs="Calibri"/>
          <w:b/>
          <w:bCs/>
          <w:noProof/>
          <w:szCs w:val="24"/>
        </w:rPr>
        <w:t>24</w:t>
      </w:r>
      <w:r w:rsidRPr="0050288B">
        <w:rPr>
          <w:rFonts w:ascii="Calibri" w:hAnsi="Calibri" w:cs="Calibri"/>
          <w:noProof/>
          <w:szCs w:val="24"/>
        </w:rPr>
        <w:t>, 373–377 (2018).</w:t>
      </w:r>
    </w:p>
    <w:p w14:paraId="78433781" w14:textId="77777777" w:rsidR="0050288B" w:rsidRPr="0050288B" w:rsidRDefault="0050288B" w:rsidP="0050288B">
      <w:pPr>
        <w:widowControl w:val="0"/>
        <w:autoSpaceDE w:val="0"/>
        <w:autoSpaceDN w:val="0"/>
        <w:adjustRightInd w:val="0"/>
        <w:spacing w:line="240" w:lineRule="auto"/>
        <w:ind w:left="640" w:hanging="640"/>
        <w:rPr>
          <w:rFonts w:ascii="Calibri" w:hAnsi="Calibri" w:cs="Calibri"/>
          <w:noProof/>
          <w:szCs w:val="24"/>
        </w:rPr>
      </w:pPr>
      <w:r w:rsidRPr="0050288B">
        <w:rPr>
          <w:rFonts w:ascii="Calibri" w:hAnsi="Calibri" w:cs="Calibri"/>
          <w:noProof/>
          <w:szCs w:val="24"/>
        </w:rPr>
        <w:t>5.</w:t>
      </w:r>
      <w:r w:rsidRPr="0050288B">
        <w:rPr>
          <w:rFonts w:ascii="Calibri" w:hAnsi="Calibri" w:cs="Calibri"/>
          <w:noProof/>
          <w:szCs w:val="24"/>
        </w:rPr>
        <w:tab/>
        <w:t xml:space="preserve">Kaplan, A. A model of deep penetration laser welding based on calculation of the keyhole profile. </w:t>
      </w:r>
      <w:r w:rsidRPr="0050288B">
        <w:rPr>
          <w:rFonts w:ascii="Calibri" w:hAnsi="Calibri" w:cs="Calibri"/>
          <w:i/>
          <w:iCs/>
          <w:noProof/>
          <w:szCs w:val="24"/>
        </w:rPr>
        <w:t>J. Phys. D. Appl. Phys.</w:t>
      </w:r>
      <w:r w:rsidRPr="0050288B">
        <w:rPr>
          <w:rFonts w:ascii="Calibri" w:hAnsi="Calibri" w:cs="Calibri"/>
          <w:noProof/>
          <w:szCs w:val="24"/>
        </w:rPr>
        <w:t xml:space="preserve"> </w:t>
      </w:r>
      <w:r w:rsidRPr="0050288B">
        <w:rPr>
          <w:rFonts w:ascii="Calibri" w:hAnsi="Calibri" w:cs="Calibri"/>
          <w:b/>
          <w:bCs/>
          <w:noProof/>
          <w:szCs w:val="24"/>
        </w:rPr>
        <w:t>27</w:t>
      </w:r>
      <w:r w:rsidRPr="0050288B">
        <w:rPr>
          <w:rFonts w:ascii="Calibri" w:hAnsi="Calibri" w:cs="Calibri"/>
          <w:noProof/>
          <w:szCs w:val="24"/>
        </w:rPr>
        <w:t>, 1805–1814 (1994).</w:t>
      </w:r>
    </w:p>
    <w:p w14:paraId="45B55A8E" w14:textId="77777777" w:rsidR="0050288B" w:rsidRPr="0050288B" w:rsidRDefault="0050288B" w:rsidP="0050288B">
      <w:pPr>
        <w:widowControl w:val="0"/>
        <w:autoSpaceDE w:val="0"/>
        <w:autoSpaceDN w:val="0"/>
        <w:adjustRightInd w:val="0"/>
        <w:spacing w:line="240" w:lineRule="auto"/>
        <w:ind w:left="640" w:hanging="640"/>
        <w:rPr>
          <w:rFonts w:ascii="Calibri" w:hAnsi="Calibri" w:cs="Calibri"/>
          <w:noProof/>
          <w:szCs w:val="24"/>
        </w:rPr>
      </w:pPr>
      <w:r w:rsidRPr="0050288B">
        <w:rPr>
          <w:rFonts w:ascii="Calibri" w:hAnsi="Calibri" w:cs="Calibri"/>
          <w:noProof/>
          <w:szCs w:val="24"/>
        </w:rPr>
        <w:t>6.</w:t>
      </w:r>
      <w:r w:rsidRPr="0050288B">
        <w:rPr>
          <w:rFonts w:ascii="Calibri" w:hAnsi="Calibri" w:cs="Calibri"/>
          <w:noProof/>
          <w:szCs w:val="24"/>
        </w:rPr>
        <w:tab/>
        <w:t xml:space="preserve">Huang, Y. </w:t>
      </w:r>
      <w:r w:rsidRPr="0050288B">
        <w:rPr>
          <w:rFonts w:ascii="Calibri" w:hAnsi="Calibri" w:cs="Calibri"/>
          <w:i/>
          <w:iCs/>
          <w:noProof/>
          <w:szCs w:val="24"/>
        </w:rPr>
        <w:t>et al.</w:t>
      </w:r>
      <w:r w:rsidRPr="0050288B">
        <w:rPr>
          <w:rFonts w:ascii="Calibri" w:hAnsi="Calibri" w:cs="Calibri"/>
          <w:noProof/>
          <w:szCs w:val="24"/>
        </w:rPr>
        <w:t xml:space="preserve"> Keyhole fluctuation and pore formation mechanisms during laser powder bed fusion additive manufacturing. </w:t>
      </w:r>
      <w:r w:rsidRPr="0050288B">
        <w:rPr>
          <w:rFonts w:ascii="Calibri" w:hAnsi="Calibri" w:cs="Calibri"/>
          <w:i/>
          <w:iCs/>
          <w:noProof/>
          <w:szCs w:val="24"/>
        </w:rPr>
        <w:t>Nat. Commun.</w:t>
      </w:r>
      <w:r w:rsidRPr="0050288B">
        <w:rPr>
          <w:rFonts w:ascii="Calibri" w:hAnsi="Calibri" w:cs="Calibri"/>
          <w:noProof/>
          <w:szCs w:val="24"/>
        </w:rPr>
        <w:t xml:space="preserve"> </w:t>
      </w:r>
      <w:r w:rsidRPr="0050288B">
        <w:rPr>
          <w:rFonts w:ascii="Calibri" w:hAnsi="Calibri" w:cs="Calibri"/>
          <w:b/>
          <w:bCs/>
          <w:noProof/>
          <w:szCs w:val="24"/>
        </w:rPr>
        <w:t>13</w:t>
      </w:r>
      <w:r w:rsidRPr="0050288B">
        <w:rPr>
          <w:rFonts w:ascii="Calibri" w:hAnsi="Calibri" w:cs="Calibri"/>
          <w:noProof/>
          <w:szCs w:val="24"/>
        </w:rPr>
        <w:t>, 1170 (2022).</w:t>
      </w:r>
    </w:p>
    <w:p w14:paraId="595FDBD1" w14:textId="77777777" w:rsidR="0050288B" w:rsidRPr="0050288B" w:rsidRDefault="0050288B" w:rsidP="0050288B">
      <w:pPr>
        <w:widowControl w:val="0"/>
        <w:autoSpaceDE w:val="0"/>
        <w:autoSpaceDN w:val="0"/>
        <w:adjustRightInd w:val="0"/>
        <w:spacing w:line="240" w:lineRule="auto"/>
        <w:ind w:left="640" w:hanging="640"/>
        <w:rPr>
          <w:rFonts w:ascii="Calibri" w:hAnsi="Calibri" w:cs="Calibri"/>
          <w:noProof/>
          <w:szCs w:val="24"/>
        </w:rPr>
      </w:pPr>
      <w:r w:rsidRPr="0050288B">
        <w:rPr>
          <w:rFonts w:ascii="Calibri" w:hAnsi="Calibri" w:cs="Calibri"/>
          <w:noProof/>
          <w:szCs w:val="24"/>
        </w:rPr>
        <w:t>7.</w:t>
      </w:r>
      <w:r w:rsidRPr="0050288B">
        <w:rPr>
          <w:rFonts w:ascii="Calibri" w:hAnsi="Calibri" w:cs="Calibri"/>
          <w:noProof/>
          <w:szCs w:val="24"/>
        </w:rPr>
        <w:tab/>
        <w:t xml:space="preserve">He, K., Zhang, X., Ren, S. &amp; Sun, J. Delving Deep into Rectifiers: Surpassing Human-Level Performance on ImageNet Classification. in </w:t>
      </w:r>
      <w:r w:rsidRPr="0050288B">
        <w:rPr>
          <w:rFonts w:ascii="Calibri" w:hAnsi="Calibri" w:cs="Calibri"/>
          <w:i/>
          <w:iCs/>
          <w:noProof/>
          <w:szCs w:val="24"/>
        </w:rPr>
        <w:t>2015 IEEE International Conference on Computer Vision (ICCV)</w:t>
      </w:r>
      <w:r w:rsidRPr="0050288B">
        <w:rPr>
          <w:rFonts w:ascii="Calibri" w:hAnsi="Calibri" w:cs="Calibri"/>
          <w:noProof/>
          <w:szCs w:val="24"/>
        </w:rPr>
        <w:t xml:space="preserve"> 1026–1034 (2015). doi:10.1109/ICCV.2015.123.</w:t>
      </w:r>
    </w:p>
    <w:p w14:paraId="4D80BFC9" w14:textId="77777777" w:rsidR="0050288B" w:rsidRPr="0050288B" w:rsidRDefault="0050288B" w:rsidP="0050288B">
      <w:pPr>
        <w:widowControl w:val="0"/>
        <w:autoSpaceDE w:val="0"/>
        <w:autoSpaceDN w:val="0"/>
        <w:adjustRightInd w:val="0"/>
        <w:spacing w:line="240" w:lineRule="auto"/>
        <w:ind w:left="640" w:hanging="640"/>
        <w:rPr>
          <w:rFonts w:ascii="Calibri" w:hAnsi="Calibri" w:cs="Calibri"/>
          <w:noProof/>
          <w:szCs w:val="24"/>
        </w:rPr>
      </w:pPr>
      <w:r w:rsidRPr="0050288B">
        <w:rPr>
          <w:rFonts w:ascii="Calibri" w:hAnsi="Calibri" w:cs="Calibri"/>
          <w:noProof/>
          <w:szCs w:val="24"/>
        </w:rPr>
        <w:t>8.</w:t>
      </w:r>
      <w:r w:rsidRPr="0050288B">
        <w:rPr>
          <w:rFonts w:ascii="Calibri" w:hAnsi="Calibri" w:cs="Calibri"/>
          <w:noProof/>
          <w:szCs w:val="24"/>
        </w:rPr>
        <w:tab/>
        <w:t xml:space="preserve">Amari, S. Backpropagation and stochastic gradient descent method. </w:t>
      </w:r>
      <w:r w:rsidRPr="0050288B">
        <w:rPr>
          <w:rFonts w:ascii="Calibri" w:hAnsi="Calibri" w:cs="Calibri"/>
          <w:i/>
          <w:iCs/>
          <w:noProof/>
          <w:szCs w:val="24"/>
        </w:rPr>
        <w:t>Neurocomputing</w:t>
      </w:r>
      <w:r w:rsidRPr="0050288B">
        <w:rPr>
          <w:rFonts w:ascii="Calibri" w:hAnsi="Calibri" w:cs="Calibri"/>
          <w:noProof/>
          <w:szCs w:val="24"/>
        </w:rPr>
        <w:t xml:space="preserve"> </w:t>
      </w:r>
      <w:r w:rsidRPr="0050288B">
        <w:rPr>
          <w:rFonts w:ascii="Calibri" w:hAnsi="Calibri" w:cs="Calibri"/>
          <w:b/>
          <w:bCs/>
          <w:noProof/>
          <w:szCs w:val="24"/>
        </w:rPr>
        <w:t>5</w:t>
      </w:r>
      <w:r w:rsidRPr="0050288B">
        <w:rPr>
          <w:rFonts w:ascii="Calibri" w:hAnsi="Calibri" w:cs="Calibri"/>
          <w:noProof/>
          <w:szCs w:val="24"/>
        </w:rPr>
        <w:t>, 185–196 (1993).</w:t>
      </w:r>
    </w:p>
    <w:p w14:paraId="5F4A5A35" w14:textId="77777777" w:rsidR="0050288B" w:rsidRPr="0050288B" w:rsidRDefault="0050288B" w:rsidP="0050288B">
      <w:pPr>
        <w:widowControl w:val="0"/>
        <w:autoSpaceDE w:val="0"/>
        <w:autoSpaceDN w:val="0"/>
        <w:adjustRightInd w:val="0"/>
        <w:spacing w:line="240" w:lineRule="auto"/>
        <w:ind w:left="640" w:hanging="640"/>
        <w:rPr>
          <w:rFonts w:ascii="Calibri" w:hAnsi="Calibri" w:cs="Calibri"/>
          <w:noProof/>
        </w:rPr>
      </w:pPr>
      <w:r w:rsidRPr="0050288B">
        <w:rPr>
          <w:rFonts w:ascii="Calibri" w:hAnsi="Calibri" w:cs="Calibri"/>
          <w:noProof/>
          <w:szCs w:val="24"/>
        </w:rPr>
        <w:t>9.</w:t>
      </w:r>
      <w:r w:rsidRPr="0050288B">
        <w:rPr>
          <w:rFonts w:ascii="Calibri" w:hAnsi="Calibri" w:cs="Calibri"/>
          <w:noProof/>
          <w:szCs w:val="24"/>
        </w:rPr>
        <w:tab/>
        <w:t xml:space="preserve">Paszke, A. </w:t>
      </w:r>
      <w:r w:rsidRPr="0050288B">
        <w:rPr>
          <w:rFonts w:ascii="Calibri" w:hAnsi="Calibri" w:cs="Calibri"/>
          <w:i/>
          <w:iCs/>
          <w:noProof/>
          <w:szCs w:val="24"/>
        </w:rPr>
        <w:t>et al.</w:t>
      </w:r>
      <w:r w:rsidRPr="0050288B">
        <w:rPr>
          <w:rFonts w:ascii="Calibri" w:hAnsi="Calibri" w:cs="Calibri"/>
          <w:noProof/>
          <w:szCs w:val="24"/>
        </w:rPr>
        <w:t xml:space="preserve"> PyTorch: An Imperative Style, High-Performance Deep Learning Library. in </w:t>
      </w:r>
      <w:r w:rsidRPr="0050288B">
        <w:rPr>
          <w:rFonts w:ascii="Calibri" w:hAnsi="Calibri" w:cs="Calibri"/>
          <w:i/>
          <w:iCs/>
          <w:noProof/>
          <w:szCs w:val="24"/>
        </w:rPr>
        <w:t>Proceedings of the 33rd International Conference on Neural Information Processing Systems</w:t>
      </w:r>
      <w:r w:rsidRPr="0050288B">
        <w:rPr>
          <w:rFonts w:ascii="Calibri" w:hAnsi="Calibri" w:cs="Calibri"/>
          <w:noProof/>
          <w:szCs w:val="24"/>
        </w:rPr>
        <w:t xml:space="preserve"> (Curran Associates Inc., 2019).</w:t>
      </w:r>
    </w:p>
    <w:p w14:paraId="6B0B136C" w14:textId="10887647" w:rsidR="003B5BB9" w:rsidRPr="003B5BB9" w:rsidRDefault="003B5BB9" w:rsidP="0060123E">
      <w:pPr>
        <w:jc w:val="both"/>
      </w:pPr>
      <w:r>
        <w:fldChar w:fldCharType="end"/>
      </w:r>
    </w:p>
    <w:sectPr w:rsidR="003B5BB9" w:rsidRPr="003B5BB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62F0DF" w14:textId="77777777" w:rsidR="00BD7108" w:rsidRDefault="00BD7108" w:rsidP="00C164BA">
      <w:pPr>
        <w:spacing w:after="0" w:line="240" w:lineRule="auto"/>
      </w:pPr>
      <w:r>
        <w:separator/>
      </w:r>
    </w:p>
  </w:endnote>
  <w:endnote w:type="continuationSeparator" w:id="0">
    <w:p w14:paraId="0043CB4A" w14:textId="77777777" w:rsidR="00BD7108" w:rsidRDefault="00BD7108" w:rsidP="00C164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D8893F" w14:textId="77777777" w:rsidR="00BD7108" w:rsidRDefault="00BD7108" w:rsidP="00C164BA">
      <w:pPr>
        <w:spacing w:after="0" w:line="240" w:lineRule="auto"/>
      </w:pPr>
      <w:r>
        <w:separator/>
      </w:r>
    </w:p>
  </w:footnote>
  <w:footnote w:type="continuationSeparator" w:id="0">
    <w:p w14:paraId="691BBE9F" w14:textId="77777777" w:rsidR="00BD7108" w:rsidRDefault="00BD7108" w:rsidP="00C164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87F21"/>
    <w:multiLevelType w:val="multilevel"/>
    <w:tmpl w:val="E37C869A"/>
    <w:lvl w:ilvl="0">
      <w:start w:val="1"/>
      <w:numFmt w:val="decimal"/>
      <w:pStyle w:val="Heading1"/>
      <w:lvlText w:val="%1."/>
      <w:lvlJc w:val="left"/>
      <w:pPr>
        <w:ind w:left="360" w:hanging="360"/>
      </w:pPr>
    </w:lvl>
    <w:lvl w:ilvl="1">
      <w:start w:val="1"/>
      <w:numFmt w:val="decimal"/>
      <w:pStyle w:val="Heading2"/>
      <w:lvlText w:val="%1.%2"/>
      <w:lvlJc w:val="left"/>
      <w:pPr>
        <w:ind w:left="576" w:hanging="576"/>
      </w:pPr>
    </w:lvl>
    <w:lvl w:ilvl="2">
      <w:start w:val="1"/>
      <w:numFmt w:val="decimal"/>
      <w:pStyle w:val="Heading3"/>
      <w:lvlText w:val="%1.%2.%3"/>
      <w:lvlJc w:val="left"/>
      <w:pPr>
        <w:ind w:left="108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6A3C4B99"/>
    <w:multiLevelType w:val="multilevel"/>
    <w:tmpl w:val="2000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hideSpellingErrors/>
  <w:hideGrammaticalErrors/>
  <w:activeWritingStyle w:appName="MSWord" w:lang="fr-CH" w:vendorID="64" w:dllVersion="6" w:nlCheck="1" w:checkStyle="0"/>
  <w:activeWritingStyle w:appName="MSWord" w:lang="en-US" w:vendorID="64" w:dllVersion="6" w:nlCheck="1" w:checkStyle="1"/>
  <w:activeWritingStyle w:appName="MSWord" w:lang="en-US" w:vendorID="64" w:dllVersion="4096" w:nlCheck="1" w:checkStyle="0"/>
  <w:activeWritingStyle w:appName="MSWord" w:lang="fr-CH" w:vendorID="64" w:dllVersion="4096" w:nlCheck="1" w:checkStyle="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rA0sjAxszAzNDYxtzRV0lEKTi0uzszPAykwqgUAb0iJGiwAAAA="/>
  </w:docVars>
  <w:rsids>
    <w:rsidRoot w:val="00AB716D"/>
    <w:rsid w:val="00036C25"/>
    <w:rsid w:val="0004357C"/>
    <w:rsid w:val="0008555B"/>
    <w:rsid w:val="00090E34"/>
    <w:rsid w:val="000A4509"/>
    <w:rsid w:val="000E2A0A"/>
    <w:rsid w:val="000F1591"/>
    <w:rsid w:val="000F6A6B"/>
    <w:rsid w:val="00103AE7"/>
    <w:rsid w:val="001167F1"/>
    <w:rsid w:val="001244B3"/>
    <w:rsid w:val="001308BA"/>
    <w:rsid w:val="00170E72"/>
    <w:rsid w:val="001B2B70"/>
    <w:rsid w:val="001C1299"/>
    <w:rsid w:val="001D2F1F"/>
    <w:rsid w:val="001E1777"/>
    <w:rsid w:val="0021141B"/>
    <w:rsid w:val="00262ECF"/>
    <w:rsid w:val="00301502"/>
    <w:rsid w:val="00303B34"/>
    <w:rsid w:val="00314B4B"/>
    <w:rsid w:val="00330FD0"/>
    <w:rsid w:val="00331B65"/>
    <w:rsid w:val="00337A59"/>
    <w:rsid w:val="00364E09"/>
    <w:rsid w:val="003A3353"/>
    <w:rsid w:val="003A5B2A"/>
    <w:rsid w:val="003B5BB9"/>
    <w:rsid w:val="003D0758"/>
    <w:rsid w:val="003F7681"/>
    <w:rsid w:val="00430F19"/>
    <w:rsid w:val="004313C0"/>
    <w:rsid w:val="00434ABB"/>
    <w:rsid w:val="004515E1"/>
    <w:rsid w:val="00467E2C"/>
    <w:rsid w:val="004761C9"/>
    <w:rsid w:val="0048043E"/>
    <w:rsid w:val="004805DF"/>
    <w:rsid w:val="004D441D"/>
    <w:rsid w:val="004F0A46"/>
    <w:rsid w:val="0050288B"/>
    <w:rsid w:val="005631C3"/>
    <w:rsid w:val="0058435A"/>
    <w:rsid w:val="005A05C3"/>
    <w:rsid w:val="005A3195"/>
    <w:rsid w:val="005C741D"/>
    <w:rsid w:val="005D4448"/>
    <w:rsid w:val="0060123E"/>
    <w:rsid w:val="00610740"/>
    <w:rsid w:val="00613DAF"/>
    <w:rsid w:val="00625603"/>
    <w:rsid w:val="006268A9"/>
    <w:rsid w:val="006A09B8"/>
    <w:rsid w:val="006B6761"/>
    <w:rsid w:val="006C6EE4"/>
    <w:rsid w:val="006D4CFE"/>
    <w:rsid w:val="0070206A"/>
    <w:rsid w:val="0076786D"/>
    <w:rsid w:val="00782FE3"/>
    <w:rsid w:val="007A1329"/>
    <w:rsid w:val="007B738B"/>
    <w:rsid w:val="007D3623"/>
    <w:rsid w:val="007F6A39"/>
    <w:rsid w:val="008163BD"/>
    <w:rsid w:val="00837209"/>
    <w:rsid w:val="00841095"/>
    <w:rsid w:val="00841E40"/>
    <w:rsid w:val="00846F5B"/>
    <w:rsid w:val="00846FC8"/>
    <w:rsid w:val="00866459"/>
    <w:rsid w:val="008828C8"/>
    <w:rsid w:val="00894C3F"/>
    <w:rsid w:val="008A3B29"/>
    <w:rsid w:val="008B3725"/>
    <w:rsid w:val="008D0CD1"/>
    <w:rsid w:val="008F0046"/>
    <w:rsid w:val="00912162"/>
    <w:rsid w:val="009132F8"/>
    <w:rsid w:val="009575E6"/>
    <w:rsid w:val="009C17D4"/>
    <w:rsid w:val="009C2CFF"/>
    <w:rsid w:val="00A12EBD"/>
    <w:rsid w:val="00A359B7"/>
    <w:rsid w:val="00A46D1A"/>
    <w:rsid w:val="00A70D90"/>
    <w:rsid w:val="00AB716D"/>
    <w:rsid w:val="00AC7580"/>
    <w:rsid w:val="00AD6C80"/>
    <w:rsid w:val="00B63FF9"/>
    <w:rsid w:val="00B80392"/>
    <w:rsid w:val="00B91A21"/>
    <w:rsid w:val="00BA44EF"/>
    <w:rsid w:val="00BA7FB1"/>
    <w:rsid w:val="00BB10F6"/>
    <w:rsid w:val="00BB6612"/>
    <w:rsid w:val="00BD23D2"/>
    <w:rsid w:val="00BD35C0"/>
    <w:rsid w:val="00BD7108"/>
    <w:rsid w:val="00BF1599"/>
    <w:rsid w:val="00BF5D88"/>
    <w:rsid w:val="00C02702"/>
    <w:rsid w:val="00C04D6D"/>
    <w:rsid w:val="00C164BA"/>
    <w:rsid w:val="00C4570B"/>
    <w:rsid w:val="00C6030A"/>
    <w:rsid w:val="00CB2208"/>
    <w:rsid w:val="00CE1D87"/>
    <w:rsid w:val="00D30DFE"/>
    <w:rsid w:val="00D47B88"/>
    <w:rsid w:val="00D601AC"/>
    <w:rsid w:val="00D87CAE"/>
    <w:rsid w:val="00D9360F"/>
    <w:rsid w:val="00DA1C3C"/>
    <w:rsid w:val="00DA3940"/>
    <w:rsid w:val="00DC7F96"/>
    <w:rsid w:val="00DD172A"/>
    <w:rsid w:val="00DD20CC"/>
    <w:rsid w:val="00DD39C9"/>
    <w:rsid w:val="00DE41D1"/>
    <w:rsid w:val="00DF17B6"/>
    <w:rsid w:val="00E12241"/>
    <w:rsid w:val="00E316DF"/>
    <w:rsid w:val="00E46F06"/>
    <w:rsid w:val="00ED7C6D"/>
    <w:rsid w:val="00EE6CB8"/>
    <w:rsid w:val="00EF152A"/>
    <w:rsid w:val="00F02829"/>
    <w:rsid w:val="00F16B84"/>
    <w:rsid w:val="00F21AF6"/>
    <w:rsid w:val="00F3748C"/>
    <w:rsid w:val="00F409AC"/>
    <w:rsid w:val="00F4648F"/>
    <w:rsid w:val="00F7267F"/>
    <w:rsid w:val="00F7545A"/>
    <w:rsid w:val="00F8097A"/>
    <w:rsid w:val="00F95D00"/>
    <w:rsid w:val="00FA1C76"/>
    <w:rsid w:val="00FA6C1F"/>
    <w:rsid w:val="00FC79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D5C74C"/>
  <w15:chartTrackingRefBased/>
  <w15:docId w15:val="{2DE6FB50-2342-4E2F-8603-B8A6EF0C7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62ECF"/>
  </w:style>
  <w:style w:type="paragraph" w:styleId="Heading1">
    <w:name w:val="heading 1"/>
    <w:basedOn w:val="Normal"/>
    <w:next w:val="Normal"/>
    <w:link w:val="Heading1Char"/>
    <w:uiPriority w:val="9"/>
    <w:qFormat/>
    <w:rsid w:val="006268A9"/>
    <w:pPr>
      <w:keepNext/>
      <w:keepLines/>
      <w:numPr>
        <w:numId w:val="1"/>
      </w:numPr>
      <w:spacing w:before="240" w:after="0"/>
      <w:outlineLvl w:val="0"/>
    </w:pPr>
    <w:rPr>
      <w:rFonts w:ascii="Calibri" w:eastAsiaTheme="majorEastAsia" w:hAnsi="Calibri" w:cstheme="majorBidi"/>
      <w:b/>
      <w:sz w:val="24"/>
      <w:szCs w:val="32"/>
    </w:rPr>
  </w:style>
  <w:style w:type="paragraph" w:styleId="Heading2">
    <w:name w:val="heading 2"/>
    <w:basedOn w:val="Normal"/>
    <w:next w:val="Normal"/>
    <w:link w:val="Heading2Char"/>
    <w:uiPriority w:val="9"/>
    <w:unhideWhenUsed/>
    <w:qFormat/>
    <w:rsid w:val="006268A9"/>
    <w:pPr>
      <w:keepNext/>
      <w:keepLines/>
      <w:numPr>
        <w:ilvl w:val="1"/>
        <w:numId w:val="1"/>
      </w:numPr>
      <w:spacing w:before="40" w:after="0"/>
      <w:outlineLvl w:val="1"/>
    </w:pPr>
    <w:rPr>
      <w:rFonts w:ascii="Calibri" w:eastAsiaTheme="majorEastAsia" w:hAnsi="Calibri" w:cstheme="majorBidi"/>
      <w:b/>
      <w:color w:val="000000" w:themeColor="text1"/>
      <w:sz w:val="24"/>
      <w:szCs w:val="26"/>
    </w:rPr>
  </w:style>
  <w:style w:type="paragraph" w:styleId="Heading3">
    <w:name w:val="heading 3"/>
    <w:basedOn w:val="Normal"/>
    <w:next w:val="Normal"/>
    <w:link w:val="Heading3Char"/>
    <w:uiPriority w:val="9"/>
    <w:unhideWhenUsed/>
    <w:qFormat/>
    <w:rsid w:val="006268A9"/>
    <w:pPr>
      <w:keepNext/>
      <w:keepLines/>
      <w:numPr>
        <w:ilvl w:val="2"/>
        <w:numId w:val="1"/>
      </w:numPr>
      <w:spacing w:before="40" w:after="0"/>
      <w:outlineLvl w:val="2"/>
    </w:pPr>
    <w:rPr>
      <w:rFonts w:ascii="Calibri" w:eastAsiaTheme="majorEastAsia" w:hAnsi="Calibri" w:cstheme="majorBidi"/>
      <w:i/>
      <w:sz w:val="24"/>
      <w:szCs w:val="24"/>
    </w:rPr>
  </w:style>
  <w:style w:type="paragraph" w:styleId="Heading4">
    <w:name w:val="heading 4"/>
    <w:basedOn w:val="Normal"/>
    <w:next w:val="Normal"/>
    <w:link w:val="Heading4Char"/>
    <w:uiPriority w:val="9"/>
    <w:semiHidden/>
    <w:unhideWhenUsed/>
    <w:qFormat/>
    <w:rsid w:val="006268A9"/>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6268A9"/>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6268A9"/>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6268A9"/>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6268A9"/>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268A9"/>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llowtextselection">
    <w:name w:val="allowtextselection"/>
    <w:basedOn w:val="DefaultParagraphFont"/>
    <w:rsid w:val="00262ECF"/>
  </w:style>
  <w:style w:type="paragraph" w:styleId="Header">
    <w:name w:val="header"/>
    <w:basedOn w:val="Normal"/>
    <w:link w:val="HeaderChar"/>
    <w:uiPriority w:val="99"/>
    <w:unhideWhenUsed/>
    <w:rsid w:val="00C164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64BA"/>
    <w:rPr>
      <w:lang w:val="en-US"/>
    </w:rPr>
  </w:style>
  <w:style w:type="paragraph" w:styleId="Footer">
    <w:name w:val="footer"/>
    <w:basedOn w:val="Normal"/>
    <w:link w:val="FooterChar"/>
    <w:uiPriority w:val="99"/>
    <w:unhideWhenUsed/>
    <w:rsid w:val="00C164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64BA"/>
    <w:rPr>
      <w:lang w:val="en-US"/>
    </w:rPr>
  </w:style>
  <w:style w:type="paragraph" w:styleId="Caption">
    <w:name w:val="caption"/>
    <w:basedOn w:val="Normal"/>
    <w:next w:val="Normal"/>
    <w:uiPriority w:val="35"/>
    <w:unhideWhenUsed/>
    <w:qFormat/>
    <w:rsid w:val="00C164BA"/>
    <w:pPr>
      <w:spacing w:after="200" w:line="240" w:lineRule="auto"/>
    </w:pPr>
    <w:rPr>
      <w:i/>
      <w:iCs/>
      <w:color w:val="44546A" w:themeColor="text2"/>
      <w:sz w:val="18"/>
      <w:szCs w:val="18"/>
    </w:rPr>
  </w:style>
  <w:style w:type="character" w:styleId="CommentReference">
    <w:name w:val="annotation reference"/>
    <w:basedOn w:val="DefaultParagraphFont"/>
    <w:uiPriority w:val="99"/>
    <w:semiHidden/>
    <w:unhideWhenUsed/>
    <w:rsid w:val="00C04D6D"/>
    <w:rPr>
      <w:sz w:val="16"/>
      <w:szCs w:val="16"/>
    </w:rPr>
  </w:style>
  <w:style w:type="paragraph" w:styleId="CommentText">
    <w:name w:val="annotation text"/>
    <w:basedOn w:val="Normal"/>
    <w:link w:val="CommentTextChar"/>
    <w:uiPriority w:val="99"/>
    <w:unhideWhenUsed/>
    <w:rsid w:val="00C04D6D"/>
    <w:pPr>
      <w:spacing w:line="240" w:lineRule="auto"/>
    </w:pPr>
    <w:rPr>
      <w:sz w:val="20"/>
      <w:szCs w:val="20"/>
    </w:rPr>
  </w:style>
  <w:style w:type="character" w:customStyle="1" w:styleId="CommentTextChar">
    <w:name w:val="Comment Text Char"/>
    <w:basedOn w:val="DefaultParagraphFont"/>
    <w:link w:val="CommentText"/>
    <w:uiPriority w:val="99"/>
    <w:rsid w:val="00C04D6D"/>
    <w:rPr>
      <w:sz w:val="20"/>
      <w:szCs w:val="20"/>
      <w:lang w:val="en-US"/>
    </w:rPr>
  </w:style>
  <w:style w:type="paragraph" w:styleId="CommentSubject">
    <w:name w:val="annotation subject"/>
    <w:basedOn w:val="CommentText"/>
    <w:next w:val="CommentText"/>
    <w:link w:val="CommentSubjectChar"/>
    <w:uiPriority w:val="99"/>
    <w:semiHidden/>
    <w:unhideWhenUsed/>
    <w:rsid w:val="00C04D6D"/>
    <w:rPr>
      <w:b/>
      <w:bCs/>
    </w:rPr>
  </w:style>
  <w:style w:type="character" w:customStyle="1" w:styleId="CommentSubjectChar">
    <w:name w:val="Comment Subject Char"/>
    <w:basedOn w:val="CommentTextChar"/>
    <w:link w:val="CommentSubject"/>
    <w:uiPriority w:val="99"/>
    <w:semiHidden/>
    <w:rsid w:val="00C04D6D"/>
    <w:rPr>
      <w:b/>
      <w:bCs/>
      <w:sz w:val="20"/>
      <w:szCs w:val="20"/>
      <w:lang w:val="en-US"/>
    </w:rPr>
  </w:style>
  <w:style w:type="paragraph" w:styleId="BalloonText">
    <w:name w:val="Balloon Text"/>
    <w:basedOn w:val="Normal"/>
    <w:link w:val="BalloonTextChar"/>
    <w:uiPriority w:val="99"/>
    <w:semiHidden/>
    <w:unhideWhenUsed/>
    <w:rsid w:val="00C04D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4D6D"/>
    <w:rPr>
      <w:rFonts w:ascii="Segoe UI" w:hAnsi="Segoe UI" w:cs="Segoe UI"/>
      <w:sz w:val="18"/>
      <w:szCs w:val="18"/>
      <w:lang w:val="en-US"/>
    </w:rPr>
  </w:style>
  <w:style w:type="table" w:styleId="ListTable2-Accent3">
    <w:name w:val="List Table 2 Accent 3"/>
    <w:basedOn w:val="TableNormal"/>
    <w:uiPriority w:val="47"/>
    <w:rsid w:val="00C4570B"/>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Heading1Char">
    <w:name w:val="Heading 1 Char"/>
    <w:basedOn w:val="DefaultParagraphFont"/>
    <w:link w:val="Heading1"/>
    <w:uiPriority w:val="9"/>
    <w:rsid w:val="006268A9"/>
    <w:rPr>
      <w:rFonts w:ascii="Calibri" w:eastAsiaTheme="majorEastAsia" w:hAnsi="Calibri" w:cstheme="majorBidi"/>
      <w:b/>
      <w:sz w:val="24"/>
      <w:szCs w:val="32"/>
      <w:lang w:val="en-US"/>
    </w:rPr>
  </w:style>
  <w:style w:type="character" w:customStyle="1" w:styleId="Heading2Char">
    <w:name w:val="Heading 2 Char"/>
    <w:basedOn w:val="DefaultParagraphFont"/>
    <w:link w:val="Heading2"/>
    <w:uiPriority w:val="9"/>
    <w:rsid w:val="006268A9"/>
    <w:rPr>
      <w:rFonts w:ascii="Calibri" w:eastAsiaTheme="majorEastAsia" w:hAnsi="Calibri" w:cstheme="majorBidi"/>
      <w:b/>
      <w:color w:val="000000" w:themeColor="text1"/>
      <w:sz w:val="24"/>
      <w:szCs w:val="26"/>
      <w:lang w:val="en-US"/>
    </w:rPr>
  </w:style>
  <w:style w:type="character" w:customStyle="1" w:styleId="Heading3Char">
    <w:name w:val="Heading 3 Char"/>
    <w:basedOn w:val="DefaultParagraphFont"/>
    <w:link w:val="Heading3"/>
    <w:uiPriority w:val="9"/>
    <w:rsid w:val="006268A9"/>
    <w:rPr>
      <w:rFonts w:ascii="Calibri" w:eastAsiaTheme="majorEastAsia" w:hAnsi="Calibri" w:cstheme="majorBidi"/>
      <w:i/>
      <w:sz w:val="24"/>
      <w:szCs w:val="24"/>
      <w:lang w:val="en-US"/>
    </w:rPr>
  </w:style>
  <w:style w:type="character" w:customStyle="1" w:styleId="Heading4Char">
    <w:name w:val="Heading 4 Char"/>
    <w:basedOn w:val="DefaultParagraphFont"/>
    <w:link w:val="Heading4"/>
    <w:uiPriority w:val="9"/>
    <w:semiHidden/>
    <w:rsid w:val="006268A9"/>
    <w:rPr>
      <w:rFonts w:asciiTheme="majorHAnsi" w:eastAsiaTheme="majorEastAsia" w:hAnsiTheme="majorHAnsi" w:cstheme="majorBidi"/>
      <w:i/>
      <w:iCs/>
      <w:color w:val="2F5496" w:themeColor="accent1" w:themeShade="BF"/>
      <w:lang w:val="en-US"/>
    </w:rPr>
  </w:style>
  <w:style w:type="character" w:customStyle="1" w:styleId="Heading5Char">
    <w:name w:val="Heading 5 Char"/>
    <w:basedOn w:val="DefaultParagraphFont"/>
    <w:link w:val="Heading5"/>
    <w:uiPriority w:val="9"/>
    <w:semiHidden/>
    <w:rsid w:val="006268A9"/>
    <w:rPr>
      <w:rFonts w:asciiTheme="majorHAnsi" w:eastAsiaTheme="majorEastAsia" w:hAnsiTheme="majorHAnsi" w:cstheme="majorBidi"/>
      <w:color w:val="2F5496" w:themeColor="accent1" w:themeShade="BF"/>
      <w:lang w:val="en-US"/>
    </w:rPr>
  </w:style>
  <w:style w:type="character" w:customStyle="1" w:styleId="Heading6Char">
    <w:name w:val="Heading 6 Char"/>
    <w:basedOn w:val="DefaultParagraphFont"/>
    <w:link w:val="Heading6"/>
    <w:uiPriority w:val="9"/>
    <w:semiHidden/>
    <w:rsid w:val="006268A9"/>
    <w:rPr>
      <w:rFonts w:asciiTheme="majorHAnsi" w:eastAsiaTheme="majorEastAsia" w:hAnsiTheme="majorHAnsi" w:cstheme="majorBidi"/>
      <w:color w:val="1F3763" w:themeColor="accent1" w:themeShade="7F"/>
      <w:lang w:val="en-US"/>
    </w:rPr>
  </w:style>
  <w:style w:type="character" w:customStyle="1" w:styleId="Heading7Char">
    <w:name w:val="Heading 7 Char"/>
    <w:basedOn w:val="DefaultParagraphFont"/>
    <w:link w:val="Heading7"/>
    <w:uiPriority w:val="9"/>
    <w:semiHidden/>
    <w:rsid w:val="006268A9"/>
    <w:rPr>
      <w:rFonts w:asciiTheme="majorHAnsi" w:eastAsiaTheme="majorEastAsia" w:hAnsiTheme="majorHAnsi" w:cstheme="majorBidi"/>
      <w:i/>
      <w:iCs/>
      <w:color w:val="1F3763" w:themeColor="accent1" w:themeShade="7F"/>
      <w:lang w:val="en-US"/>
    </w:rPr>
  </w:style>
  <w:style w:type="character" w:customStyle="1" w:styleId="Heading8Char">
    <w:name w:val="Heading 8 Char"/>
    <w:basedOn w:val="DefaultParagraphFont"/>
    <w:link w:val="Heading8"/>
    <w:uiPriority w:val="9"/>
    <w:semiHidden/>
    <w:rsid w:val="006268A9"/>
    <w:rPr>
      <w:rFonts w:asciiTheme="majorHAnsi" w:eastAsiaTheme="majorEastAsia" w:hAnsiTheme="majorHAnsi" w:cstheme="majorBidi"/>
      <w:color w:val="272727" w:themeColor="text1" w:themeTint="D8"/>
      <w:sz w:val="21"/>
      <w:szCs w:val="21"/>
      <w:lang w:val="en-US"/>
    </w:rPr>
  </w:style>
  <w:style w:type="character" w:customStyle="1" w:styleId="Heading9Char">
    <w:name w:val="Heading 9 Char"/>
    <w:basedOn w:val="DefaultParagraphFont"/>
    <w:link w:val="Heading9"/>
    <w:uiPriority w:val="9"/>
    <w:semiHidden/>
    <w:rsid w:val="006268A9"/>
    <w:rPr>
      <w:rFonts w:asciiTheme="majorHAnsi" w:eastAsiaTheme="majorEastAsia" w:hAnsiTheme="majorHAnsi" w:cstheme="majorBidi"/>
      <w:i/>
      <w:iCs/>
      <w:color w:val="272727" w:themeColor="text1" w:themeTint="D8"/>
      <w:sz w:val="21"/>
      <w:szCs w:val="21"/>
      <w:lang w:val="en-US"/>
    </w:rPr>
  </w:style>
  <w:style w:type="table" w:styleId="TableGrid">
    <w:name w:val="Table Grid"/>
    <w:basedOn w:val="TableNormal"/>
    <w:uiPriority w:val="39"/>
    <w:rsid w:val="00314B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tiff"/><Relationship Id="rId18" Type="http://schemas.openxmlformats.org/officeDocument/2006/relationships/image" Target="media/image1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emf"/><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163543-6B8A-4E43-9538-1C65A37C66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2243</TotalTime>
  <Pages>22</Pages>
  <Words>8919</Words>
  <Characters>50840</Characters>
  <Application>Microsoft Office Word</Application>
  <DocSecurity>0</DocSecurity>
  <Lines>423</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Milad Hamidi</dc:creator>
  <cp:keywords/>
  <dc:description/>
  <cp:lastModifiedBy>Milad Hamidi</cp:lastModifiedBy>
  <cp:revision>80</cp:revision>
  <dcterms:created xsi:type="dcterms:W3CDTF">2022-12-06T14:46:00Z</dcterms:created>
  <dcterms:modified xsi:type="dcterms:W3CDTF">2023-02-21T13:25:00Z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805517df-a38f-3924-b4bc-ac901bca115b</vt:lpwstr>
  </property>
  <property fmtid="{D5CDD505-2E9C-101B-9397-08002B2CF9AE}" pid="4" name="Mendeley Citation Style_1">
    <vt:lpwstr>http://www.zotero.org/styles/nature</vt:lpwstr>
  </property>
</Properties>
</file>