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等线" w:cs="Times New Roman"/>
          <w:b/>
          <w:color w:val="000000"/>
          <w:sz w:val="24"/>
          <w:szCs w:val="24"/>
          <w:u w:val="single"/>
          <w:lang w:bidi="ar"/>
        </w:rPr>
      </w:pPr>
      <w:bookmarkStart w:id="0" w:name="_Hlk120998731"/>
      <w:bookmarkEnd w:id="0"/>
      <w:r>
        <w:rPr>
          <w:rFonts w:ascii="Times New Roman" w:hAnsi="Times New Roman" w:eastAsia="等线" w:cs="Times New Roman"/>
          <w:b/>
          <w:color w:val="000000"/>
          <w:sz w:val="24"/>
          <w:szCs w:val="24"/>
          <w:u w:val="single"/>
          <w:lang w:bidi="ar"/>
        </w:rPr>
        <w:t>Titles:</w:t>
      </w:r>
    </w:p>
    <w:p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等线" w:cs="Times New Roman"/>
          <w:b/>
          <w:color w:val="000000"/>
          <w:sz w:val="24"/>
          <w:szCs w:val="24"/>
          <w:lang w:bidi="ar"/>
        </w:rPr>
        <w:t>Heavy metal pollution and ecological risk under different land use types: based on the similarity of pollution sources and comparing the results of three evaluation models</w:t>
      </w: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numPr>
          <w:ilvl w:val="0"/>
          <w:numId w:val="1"/>
        </w:numPr>
        <w:jc w:val="left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Tables supplementary:</w:t>
      </w:r>
    </w:p>
    <w:p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color w:val="000000"/>
          <w:sz w:val="24"/>
          <w:szCs w:val="24"/>
          <w:lang w:bidi="ar"/>
        </w:rPr>
        <w:t xml:space="preserve">Table A1 </w:t>
      </w:r>
      <w:r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  <w:t>Potential sources of pollution and their variable numbers</w:t>
      </w:r>
    </w:p>
    <w:tbl>
      <w:tblPr>
        <w:tblStyle w:val="5"/>
        <w:tblW w:w="6690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2294"/>
        <w:gridCol w:w="248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Variable</w:t>
            </w:r>
          </w:p>
        </w:tc>
        <w:tc>
          <w:tcPr>
            <w:tcW w:w="4780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Name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</w:t>
            </w:r>
          </w:p>
        </w:tc>
        <w:tc>
          <w:tcPr>
            <w:tcW w:w="4780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Elevation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X2</w:t>
            </w:r>
          </w:p>
        </w:tc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Slope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X3</w:t>
            </w:r>
          </w:p>
        </w:tc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Soil types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X4</w:t>
            </w:r>
          </w:p>
        </w:tc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SOM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X5</w:t>
            </w:r>
          </w:p>
        </w:tc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X6</w:t>
            </w:r>
          </w:p>
        </w:tc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pH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X7</w:t>
            </w:r>
          </w:p>
        </w:tc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Soil Capacity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X8</w:t>
            </w:r>
          </w:p>
        </w:tc>
        <w:tc>
          <w:tcPr>
            <w:tcW w:w="2294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Distance from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River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X9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Food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X10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Chemical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X11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Waste/</w:t>
            </w: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Waste water treatment plants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X12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Farming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X13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Metallurgy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X14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Mining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X15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Roads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X16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Urban enterprises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1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X17</w:t>
            </w:r>
          </w:p>
        </w:tc>
        <w:tc>
          <w:tcPr>
            <w:tcW w:w="229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Land use types</w:t>
            </w:r>
          </w:p>
        </w:tc>
      </w:tr>
    </w:tbl>
    <w:p>
      <w:pPr>
        <w:spacing w:line="480" w:lineRule="auto"/>
        <w:rPr>
          <w:rFonts w:hint="eastAsia" w:ascii="Times New Roman" w:hAnsi="Times New Roman" w:eastAsia="等线" w:cs="Times New Roman"/>
          <w:b/>
          <w:bCs/>
          <w:color w:val="000000"/>
          <w:sz w:val="24"/>
          <w:szCs w:val="24"/>
          <w:lang w:bidi="ar"/>
        </w:rPr>
      </w:pPr>
    </w:p>
    <w:p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color w:val="000000"/>
          <w:sz w:val="24"/>
          <w:szCs w:val="24"/>
          <w:lang w:bidi="ar"/>
        </w:rPr>
        <w:t>Table A2</w:t>
      </w:r>
      <w:r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  <w:t xml:space="preserve"> Classifications of the PLI, NIPI and NIRI.</w:t>
      </w:r>
    </w:p>
    <w:tbl>
      <w:tblPr>
        <w:tblStyle w:val="5"/>
        <w:tblW w:w="3557" w:type="pct"/>
        <w:tblInd w:w="-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2268"/>
        <w:gridCol w:w="1116"/>
        <w:gridCol w:w="2270"/>
        <w:gridCol w:w="1263"/>
        <w:gridCol w:w="19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785" w:type="pct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PLI</w:t>
            </w:r>
          </w:p>
        </w:tc>
        <w:tc>
          <w:tcPr>
            <w:tcW w:w="1714" w:type="pct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NIPI</w:t>
            </w:r>
          </w:p>
        </w:tc>
        <w:tc>
          <w:tcPr>
            <w:tcW w:w="1501" w:type="pct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NIRI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Range</w:t>
            </w:r>
          </w:p>
        </w:tc>
        <w:tc>
          <w:tcPr>
            <w:tcW w:w="114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Level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Range</w:t>
            </w:r>
          </w:p>
        </w:tc>
        <w:tc>
          <w:tcPr>
            <w:tcW w:w="11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Level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Range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Level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64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≤1</w:t>
            </w:r>
          </w:p>
        </w:tc>
        <w:tc>
          <w:tcPr>
            <w:tcW w:w="114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Unpolluted</w:t>
            </w:r>
          </w:p>
        </w:tc>
        <w:tc>
          <w:tcPr>
            <w:tcW w:w="57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≤0.7</w:t>
            </w:r>
          </w:p>
        </w:tc>
        <w:tc>
          <w:tcPr>
            <w:tcW w:w="114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Safe</w:t>
            </w:r>
          </w:p>
        </w:tc>
        <w:tc>
          <w:tcPr>
            <w:tcW w:w="64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≤40</w:t>
            </w:r>
          </w:p>
        </w:tc>
        <w:tc>
          <w:tcPr>
            <w:tcW w:w="857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Low risk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1~2</w:t>
            </w:r>
          </w:p>
        </w:tc>
        <w:tc>
          <w:tcPr>
            <w:tcW w:w="1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Moderately polluted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0.7~1.0</w:t>
            </w: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Warning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40~80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Moderate risk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2~3</w:t>
            </w:r>
          </w:p>
        </w:tc>
        <w:tc>
          <w:tcPr>
            <w:tcW w:w="1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Severely polluted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1.0~2.0</w:t>
            </w: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Slightly polluted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80~160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Considerable risk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≥3</w:t>
            </w:r>
          </w:p>
        </w:tc>
        <w:tc>
          <w:tcPr>
            <w:tcW w:w="1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Extremely polluted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2.0~3.0</w:t>
            </w:r>
          </w:p>
        </w:tc>
        <w:tc>
          <w:tcPr>
            <w:tcW w:w="11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Moderately polluted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160-320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High risk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6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114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≥3</w:t>
            </w:r>
          </w:p>
        </w:tc>
        <w:tc>
          <w:tcPr>
            <w:tcW w:w="11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Strongly polluted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≥320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Extreme risk</w:t>
            </w:r>
          </w:p>
        </w:tc>
      </w:tr>
    </w:tbl>
    <w:p>
      <w:pPr>
        <w:widowControl/>
        <w:spacing w:line="480" w:lineRule="auto"/>
        <w:jc w:val="left"/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Times New Roman" w:hAnsi="Times New Roman" w:eastAsia="等线" w:cs="Times New Roman"/>
          <w:color w:val="00000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hint="eastAsia" w:ascii="Times New Roman" w:hAnsi="Times New Roman" w:eastAsia="等线" w:cs="Times New Roman"/>
          <w:color w:val="000000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A3</w:t>
      </w:r>
      <w:r>
        <w:rPr>
          <w:rFonts w:ascii="Times New Roman" w:hAnsi="Times New Roman" w:cs="Times New Roman"/>
          <w:sz w:val="24"/>
          <w:szCs w:val="24"/>
        </w:rPr>
        <w:t xml:space="preserve"> Descriptive statistical characteristics of the content of the five soil heavy metals. (mg/kg)</w:t>
      </w:r>
    </w:p>
    <w:tbl>
      <w:tblPr>
        <w:tblStyle w:val="5"/>
        <w:tblW w:w="854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995"/>
        <w:gridCol w:w="1040"/>
        <w:gridCol w:w="1040"/>
        <w:gridCol w:w="1040"/>
        <w:gridCol w:w="990"/>
        <w:gridCol w:w="803"/>
        <w:gridCol w:w="12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Metals</w:t>
            </w:r>
          </w:p>
        </w:tc>
        <w:tc>
          <w:tcPr>
            <w:tcW w:w="1015" w:type="dxa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Layers</w:t>
            </w:r>
          </w:p>
        </w:tc>
        <w:tc>
          <w:tcPr>
            <w:tcW w:w="1040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Min</w:t>
            </w:r>
          </w:p>
        </w:tc>
        <w:tc>
          <w:tcPr>
            <w:tcW w:w="1040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Max</w:t>
            </w:r>
          </w:p>
        </w:tc>
        <w:tc>
          <w:tcPr>
            <w:tcW w:w="1040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Mean</w:t>
            </w:r>
          </w:p>
        </w:tc>
        <w:tc>
          <w:tcPr>
            <w:tcW w:w="2972" w:type="dxa"/>
            <w:gridSpan w:val="3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Background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441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Qinghai</w:t>
            </w:r>
          </w:p>
        </w:tc>
        <w:tc>
          <w:tcPr>
            <w:tcW w:w="803" w:type="dxa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China</w:t>
            </w:r>
          </w:p>
        </w:tc>
        <w:tc>
          <w:tcPr>
            <w:tcW w:w="1276" w:type="dxa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World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Cd</w:t>
            </w:r>
          </w:p>
        </w:tc>
        <w:tc>
          <w:tcPr>
            <w:tcW w:w="1015" w:type="dxa"/>
            <w:tcBorders>
              <w:top w:val="single" w:color="auto" w:sz="12" w:space="0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040" w:type="dxa"/>
            <w:tcBorders>
              <w:top w:val="single" w:color="auto" w:sz="12" w:space="0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1040" w:type="dxa"/>
            <w:tcBorders>
              <w:top w:val="single" w:color="auto" w:sz="12" w:space="0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0.64</w:t>
            </w:r>
          </w:p>
        </w:tc>
        <w:tc>
          <w:tcPr>
            <w:tcW w:w="1040" w:type="dxa"/>
            <w:tcBorders>
              <w:top w:val="single" w:color="auto" w:sz="12" w:space="0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893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0.14</w:t>
            </w:r>
          </w:p>
        </w:tc>
        <w:tc>
          <w:tcPr>
            <w:tcW w:w="803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0.10</w:t>
            </w:r>
          </w:p>
        </w:tc>
        <w:tc>
          <w:tcPr>
            <w:tcW w:w="1276" w:type="dxa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0.10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0.11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0.49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0.23</w:t>
            </w:r>
          </w:p>
        </w:tc>
        <w:tc>
          <w:tcPr>
            <w:tcW w:w="89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Cr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81.92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208.82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124.85</w:t>
            </w:r>
          </w:p>
        </w:tc>
        <w:tc>
          <w:tcPr>
            <w:tcW w:w="89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70.10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60.00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70.00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72.32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183.82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104.16</w:t>
            </w:r>
          </w:p>
        </w:tc>
        <w:tc>
          <w:tcPr>
            <w:tcW w:w="89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Cu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25.32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42.58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34.07</w:t>
            </w:r>
          </w:p>
        </w:tc>
        <w:tc>
          <w:tcPr>
            <w:tcW w:w="89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24.10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22.60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30.00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21.75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38.42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28.92</w:t>
            </w:r>
          </w:p>
        </w:tc>
        <w:tc>
          <w:tcPr>
            <w:tcW w:w="89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Pb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18.24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58.43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35.23</w:t>
            </w:r>
          </w:p>
        </w:tc>
        <w:tc>
          <w:tcPr>
            <w:tcW w:w="89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20.90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26.00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35.00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41" w:type="dxa"/>
            <w:vMerge w:val="continue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17.43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45.43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28.56</w:t>
            </w:r>
          </w:p>
        </w:tc>
        <w:tc>
          <w:tcPr>
            <w:tcW w:w="89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41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Zn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87.18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159.82</w:t>
            </w:r>
          </w:p>
        </w:tc>
        <w:tc>
          <w:tcPr>
            <w:tcW w:w="104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106.16</w:t>
            </w:r>
          </w:p>
        </w:tc>
        <w:tc>
          <w:tcPr>
            <w:tcW w:w="89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80.30</w:t>
            </w:r>
          </w:p>
        </w:tc>
        <w:tc>
          <w:tcPr>
            <w:tcW w:w="80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74.20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bCs/>
                <w:kern w:val="0"/>
                <w:sz w:val="24"/>
                <w:szCs w:val="24"/>
              </w:rPr>
              <w:t>9.00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41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1040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78.92</w:t>
            </w:r>
          </w:p>
        </w:tc>
        <w:tc>
          <w:tcPr>
            <w:tcW w:w="1040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149.32</w:t>
            </w:r>
          </w:p>
        </w:tc>
        <w:tc>
          <w:tcPr>
            <w:tcW w:w="1040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92.19</w:t>
            </w:r>
          </w:p>
        </w:tc>
        <w:tc>
          <w:tcPr>
            <w:tcW w:w="893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/>
                <w:bCs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b/>
                <w:bCs/>
                <w:kern w:val="0"/>
                <w:sz w:val="24"/>
                <w:szCs w:val="24"/>
                <w:u w:val="single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A4</w:t>
      </w:r>
      <w:r>
        <w:rPr>
          <w:rFonts w:ascii="Times New Roman" w:hAnsi="Times New Roman" w:cs="Times New Roman"/>
          <w:sz w:val="24"/>
          <w:szCs w:val="24"/>
        </w:rPr>
        <w:t xml:space="preserve"> Correlation analysis results in soil layer A.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463"/>
        <w:gridCol w:w="836"/>
        <w:gridCol w:w="836"/>
        <w:gridCol w:w="836"/>
        <w:gridCol w:w="836"/>
        <w:gridCol w:w="836"/>
        <w:gridCol w:w="836"/>
        <w:gridCol w:w="836"/>
        <w:gridCol w:w="836"/>
        <w:gridCol w:w="146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0" w:type="auto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SOM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CEC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Soil capacity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 xml:space="preserve">Correlation </w:t>
            </w:r>
          </w:p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coefficients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0.268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0.552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0.572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0.330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-0.149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0.181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-0.398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0.268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-0.226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0.613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0.099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0.437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0.613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0.559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-0.079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-0.269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0.559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0.099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CEC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-0.226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-0.079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-0.151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-0.398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-0.071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-0.269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-0.128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Soil capacity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0.366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-0.024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-0.043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0.125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0.019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0.114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0.397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-0.208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Sig.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0.029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0.009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0.149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0.102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0.055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0.080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SOM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0.183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0.056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CEC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0.055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0.078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0.290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0.145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0.056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0.186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0.311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0.186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Soil capacity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0.004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0.433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0.382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0.190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0.448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0.213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0.002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  <w:t>0.072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MingLiU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tabs>
          <w:tab w:val="left" w:pos="696"/>
        </w:tabs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696"/>
        </w:tabs>
        <w:rPr>
          <w:rFonts w:hint="eastAsia" w:ascii="Times New Roman" w:hAnsi="Times New Roman" w:cs="Times New Roman"/>
          <w:sz w:val="24"/>
          <w:szCs w:val="24"/>
        </w:rPr>
      </w:pPr>
    </w:p>
    <w:p>
      <w:pPr>
        <w:tabs>
          <w:tab w:val="left" w:pos="69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A5 </w:t>
      </w:r>
      <w:r>
        <w:rPr>
          <w:rFonts w:ascii="Times New Roman" w:hAnsi="Times New Roman" w:cs="Times New Roman"/>
          <w:sz w:val="24"/>
          <w:szCs w:val="24"/>
        </w:rPr>
        <w:t>Correlation analysis results in soil layer B.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463"/>
        <w:gridCol w:w="836"/>
        <w:gridCol w:w="836"/>
        <w:gridCol w:w="836"/>
        <w:gridCol w:w="836"/>
        <w:gridCol w:w="836"/>
        <w:gridCol w:w="836"/>
        <w:gridCol w:w="836"/>
        <w:gridCol w:w="836"/>
        <w:gridCol w:w="14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SOM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CEC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Soil capacity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Correlation</w:t>
            </w:r>
          </w:p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coefficients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-0.019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-0.199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0.146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0.058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0.020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0.064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-0.320 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0.588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Soil capacity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0.144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-0.053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-0.158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-0.047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-0.148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-0.188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0.078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Sig.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0.446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0.080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0.154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0.343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0.444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0.328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0.011 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0.356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Soil capacity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0.157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0.356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0.133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0.339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0.372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0.150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0.093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 xml:space="preserve">0.292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FF0000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A6</w:t>
      </w:r>
      <w:r>
        <w:rPr>
          <w:rFonts w:ascii="Times New Roman" w:hAnsi="Times New Roman" w:cs="Times New Roman"/>
          <w:sz w:val="24"/>
          <w:szCs w:val="24"/>
        </w:rPr>
        <w:t xml:space="preserve"> Principal component analysis test results</w:t>
      </w:r>
    </w:p>
    <w:tbl>
      <w:tblPr>
        <w:tblStyle w:val="5"/>
        <w:tblW w:w="56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1483"/>
        <w:gridCol w:w="1040"/>
        <w:gridCol w:w="10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6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A</w:t>
            </w:r>
          </w:p>
        </w:tc>
        <w:tc>
          <w:tcPr>
            <w:tcW w:w="10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00" w:type="dxa"/>
            <w:gridSpan w:val="2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 of KMO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0.756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60" w:type="dxa"/>
            <w:vMerge w:val="restart"/>
            <w:tcBorders>
              <w:top w:val="nil"/>
              <w:left w:val="nil"/>
              <w:bottom w:val="single" w:color="993366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Bartlett Sphericity Test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333333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Approximate cardinalities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33333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85.953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33333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45.924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60" w:type="dxa"/>
            <w:vMerge w:val="continue"/>
            <w:tcBorders>
              <w:top w:val="nil"/>
              <w:left w:val="nil"/>
              <w:bottom w:val="single" w:color="993366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333333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Freedom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33333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33333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60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Sig.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A7</w:t>
      </w:r>
      <w:r>
        <w:rPr>
          <w:rFonts w:ascii="Times New Roman" w:hAnsi="Times New Roman" w:cs="Times New Roman"/>
          <w:sz w:val="24"/>
          <w:szCs w:val="24"/>
        </w:rPr>
        <w:t xml:space="preserve"> Total variance of interpretation in PCA(Layer A)</w:t>
      </w:r>
    </w:p>
    <w:tbl>
      <w:tblPr>
        <w:tblStyle w:val="5"/>
        <w:tblW w:w="1178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107"/>
        <w:gridCol w:w="1342"/>
        <w:gridCol w:w="1636"/>
        <w:gridCol w:w="1107"/>
        <w:gridCol w:w="1342"/>
        <w:gridCol w:w="1636"/>
        <w:gridCol w:w="756"/>
        <w:gridCol w:w="1342"/>
        <w:gridCol w:w="16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243" w:type="dxa"/>
            <w:vMerge w:val="restart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Component</w:t>
            </w:r>
          </w:p>
        </w:tc>
        <w:tc>
          <w:tcPr>
            <w:tcW w:w="3874" w:type="dxa"/>
            <w:gridSpan w:val="3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Initial eigenvalue</w:t>
            </w:r>
          </w:p>
        </w:tc>
        <w:tc>
          <w:tcPr>
            <w:tcW w:w="3874" w:type="dxa"/>
            <w:gridSpan w:val="3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Extract Square Sum Loading</w:t>
            </w:r>
          </w:p>
        </w:tc>
        <w:tc>
          <w:tcPr>
            <w:tcW w:w="2791" w:type="dxa"/>
            <w:gridSpan w:val="3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Rotation Square Sum Loading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Variance %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Accumulate %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Variance %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Accumulate 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Variance %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Accumulate 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43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2.826</w:t>
            </w:r>
          </w:p>
        </w:tc>
        <w:tc>
          <w:tcPr>
            <w:tcW w:w="1249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56.528</w:t>
            </w:r>
          </w:p>
        </w:tc>
        <w:tc>
          <w:tcPr>
            <w:tcW w:w="151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56.528</w:t>
            </w:r>
          </w:p>
        </w:tc>
        <w:tc>
          <w:tcPr>
            <w:tcW w:w="110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2.826</w:t>
            </w:r>
          </w:p>
        </w:tc>
        <w:tc>
          <w:tcPr>
            <w:tcW w:w="1249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56.528</w:t>
            </w:r>
          </w:p>
        </w:tc>
        <w:tc>
          <w:tcPr>
            <w:tcW w:w="151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56.528</w:t>
            </w:r>
          </w:p>
        </w:tc>
        <w:tc>
          <w:tcPr>
            <w:tcW w:w="828" w:type="dxa"/>
            <w:tcBorders>
              <w:top w:val="single" w:color="auto" w:sz="12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2.216</w:t>
            </w:r>
          </w:p>
        </w:tc>
        <w:tc>
          <w:tcPr>
            <w:tcW w:w="847" w:type="dxa"/>
            <w:tcBorders>
              <w:top w:val="single" w:color="auto" w:sz="12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44.317</w:t>
            </w:r>
          </w:p>
        </w:tc>
        <w:tc>
          <w:tcPr>
            <w:tcW w:w="1116" w:type="dxa"/>
            <w:tcBorders>
              <w:top w:val="single" w:color="auto" w:sz="12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44.317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0.987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19.732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76.260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0.987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19.732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76.260</w:t>
            </w:r>
          </w:p>
        </w:tc>
        <w:tc>
          <w:tcPr>
            <w:tcW w:w="828" w:type="dxa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1.597</w:t>
            </w:r>
          </w:p>
        </w:tc>
        <w:tc>
          <w:tcPr>
            <w:tcW w:w="847" w:type="dxa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31.943</w:t>
            </w:r>
          </w:p>
        </w:tc>
        <w:tc>
          <w:tcPr>
            <w:tcW w:w="1116" w:type="dxa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76.260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0.502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10.046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86.306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791" w:type="dxa"/>
            <w:gridSpan w:val="3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0.355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7.091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93.397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791" w:type="dxa"/>
            <w:gridSpan w:val="3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124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0.330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6.603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100.000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791" w:type="dxa"/>
            <w:gridSpan w:val="3"/>
            <w:tcBorders>
              <w:bottom w:val="single" w:color="auto" w:sz="12" w:space="0"/>
            </w:tcBorders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A8</w:t>
      </w:r>
      <w:r>
        <w:rPr>
          <w:rFonts w:ascii="Times New Roman" w:hAnsi="Times New Roman" w:cs="Times New Roman"/>
          <w:sz w:val="24"/>
          <w:szCs w:val="24"/>
        </w:rPr>
        <w:t xml:space="preserve"> Total variance of interpretation in PCA(Layer B)</w:t>
      </w:r>
    </w:p>
    <w:tbl>
      <w:tblPr>
        <w:tblStyle w:val="5"/>
        <w:tblW w:w="1138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070"/>
        <w:gridCol w:w="1342"/>
        <w:gridCol w:w="1636"/>
        <w:gridCol w:w="1070"/>
        <w:gridCol w:w="1342"/>
        <w:gridCol w:w="1636"/>
        <w:gridCol w:w="756"/>
        <w:gridCol w:w="122"/>
        <w:gridCol w:w="754"/>
        <w:gridCol w:w="122"/>
        <w:gridCol w:w="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1197" w:type="dxa"/>
            <w:vMerge w:val="restart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Component</w:t>
            </w:r>
          </w:p>
        </w:tc>
        <w:tc>
          <w:tcPr>
            <w:tcW w:w="3706" w:type="dxa"/>
            <w:gridSpan w:val="3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Initial eigenvalue</w:t>
            </w:r>
          </w:p>
        </w:tc>
        <w:tc>
          <w:tcPr>
            <w:tcW w:w="3706" w:type="dxa"/>
            <w:gridSpan w:val="3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Extract Square Sum Loading</w:t>
            </w:r>
          </w:p>
        </w:tc>
        <w:tc>
          <w:tcPr>
            <w:tcW w:w="2780" w:type="dxa"/>
            <w:gridSpan w:val="5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Rotation Square Sum Loading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Variance %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Accumulate %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Variance %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Accumulate %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9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70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2.150</w:t>
            </w:r>
          </w:p>
        </w:tc>
        <w:tc>
          <w:tcPr>
            <w:tcW w:w="117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42.991</w:t>
            </w:r>
          </w:p>
        </w:tc>
        <w:tc>
          <w:tcPr>
            <w:tcW w:w="145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42.991</w:t>
            </w:r>
          </w:p>
        </w:tc>
        <w:tc>
          <w:tcPr>
            <w:tcW w:w="1070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2.150</w:t>
            </w:r>
          </w:p>
        </w:tc>
        <w:tc>
          <w:tcPr>
            <w:tcW w:w="117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42.991</w:t>
            </w:r>
          </w:p>
        </w:tc>
        <w:tc>
          <w:tcPr>
            <w:tcW w:w="1458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42.991</w:t>
            </w:r>
          </w:p>
        </w:tc>
        <w:tc>
          <w:tcPr>
            <w:tcW w:w="82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1.009</w:t>
            </w:r>
          </w:p>
        </w:tc>
        <w:tc>
          <w:tcPr>
            <w:tcW w:w="82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20.183</w:t>
            </w:r>
          </w:p>
        </w:tc>
        <w:tc>
          <w:tcPr>
            <w:tcW w:w="113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20.183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1.158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23.153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66.144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1.158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23.153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66.144</w:t>
            </w:r>
          </w:p>
        </w:tc>
        <w:tc>
          <w:tcPr>
            <w:tcW w:w="823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1.004</w:t>
            </w:r>
          </w:p>
        </w:tc>
        <w:tc>
          <w:tcPr>
            <w:tcW w:w="824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20.082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40.265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0.782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15.632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81.775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1.003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20.054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60.319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0.565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11.309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93.084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1.001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20.023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80.342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119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0.346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6.916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100.000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>
      <w:pPr>
        <w:widowControl/>
        <w:jc w:val="left"/>
        <w:rPr>
          <w:rFonts w:hint="eastAsia" w:ascii="Times New Roman" w:hAnsi="Times New Roman" w:cs="Times New Roman"/>
          <w:color w:val="FF0000"/>
          <w:sz w:val="24"/>
          <w:szCs w:val="24"/>
        </w:rPr>
      </w:pPr>
    </w:p>
    <w:p>
      <w:pPr>
        <w:tabs>
          <w:tab w:val="left" w:pos="172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A9</w:t>
      </w:r>
      <w:r>
        <w:rPr>
          <w:rFonts w:ascii="Times New Roman" w:hAnsi="Times New Roman" w:cs="Times New Roman"/>
          <w:sz w:val="24"/>
          <w:szCs w:val="24"/>
        </w:rPr>
        <w:t xml:space="preserve"> The number of samples at different levels of PLI.</w:t>
      </w:r>
    </w:p>
    <w:tbl>
      <w:tblPr>
        <w:tblStyle w:val="5"/>
        <w:tblW w:w="953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718"/>
        <w:gridCol w:w="2053"/>
        <w:gridCol w:w="1718"/>
        <w:gridCol w:w="20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992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Levels</w:t>
            </w:r>
          </w:p>
        </w:tc>
        <w:tc>
          <w:tcPr>
            <w:tcW w:w="3771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A</w:t>
            </w:r>
          </w:p>
        </w:tc>
        <w:tc>
          <w:tcPr>
            <w:tcW w:w="3771" w:type="dxa"/>
            <w:gridSpan w:val="2"/>
            <w:tcBorders>
              <w:top w:val="single" w:color="auto" w:sz="12" w:space="0"/>
              <w:left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992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Proportions</w:t>
            </w:r>
          </w:p>
        </w:tc>
        <w:tc>
          <w:tcPr>
            <w:tcW w:w="17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Proportions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992" w:type="dxa"/>
            <w:tcBorders>
              <w:top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Unpolluted</w:t>
            </w:r>
          </w:p>
        </w:tc>
        <w:tc>
          <w:tcPr>
            <w:tcW w:w="1718" w:type="dxa"/>
            <w:tcBorders>
              <w:top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053" w:type="dxa"/>
            <w:tcBorders>
              <w:top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18" w:type="dxa"/>
            <w:tcBorders>
              <w:top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53" w:type="dxa"/>
            <w:tcBorders>
              <w:top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1.96%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Moderately polluted</w:t>
            </w:r>
          </w:p>
        </w:tc>
        <w:tc>
          <w:tcPr>
            <w:tcW w:w="1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5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9.80%</w:t>
            </w:r>
          </w:p>
        </w:tc>
        <w:tc>
          <w:tcPr>
            <w:tcW w:w="1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05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49.02%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992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Severely polluted</w:t>
            </w:r>
          </w:p>
        </w:tc>
        <w:tc>
          <w:tcPr>
            <w:tcW w:w="1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05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23.53%</w:t>
            </w:r>
          </w:p>
        </w:tc>
        <w:tc>
          <w:tcPr>
            <w:tcW w:w="1718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053" w:type="dxa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39.22%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992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Extremely polluted</w:t>
            </w:r>
          </w:p>
        </w:tc>
        <w:tc>
          <w:tcPr>
            <w:tcW w:w="1718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053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66.67%</w:t>
            </w:r>
          </w:p>
        </w:tc>
        <w:tc>
          <w:tcPr>
            <w:tcW w:w="1718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53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9.80%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A10 </w:t>
      </w:r>
      <w:r>
        <w:rPr>
          <w:rFonts w:ascii="Times New Roman" w:hAnsi="Times New Roman" w:cs="Times New Roman"/>
          <w:sz w:val="24"/>
          <w:szCs w:val="24"/>
        </w:rPr>
        <w:t>Statistics on the number of NIPI samples at different levels.</w:t>
      </w:r>
    </w:p>
    <w:tbl>
      <w:tblPr>
        <w:tblStyle w:val="5"/>
        <w:tblW w:w="888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9"/>
        <w:gridCol w:w="1385"/>
        <w:gridCol w:w="1689"/>
        <w:gridCol w:w="1385"/>
        <w:gridCol w:w="1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Levels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A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0" w:type="auto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Proportions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Proportions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Safe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Warning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Slightly polluted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33.33%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74.51%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Moderately polluted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0.529412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25.49%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Strongly polluted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0.137255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A11</w:t>
      </w:r>
      <w:r>
        <w:rPr>
          <w:rFonts w:ascii="Times New Roman" w:hAnsi="Times New Roman" w:cs="Times New Roman"/>
          <w:sz w:val="24"/>
          <w:szCs w:val="24"/>
        </w:rPr>
        <w:t xml:space="preserve"> Statistics on the number of NIRI samples at different levels.</w:t>
      </w:r>
    </w:p>
    <w:tbl>
      <w:tblPr>
        <w:tblStyle w:val="5"/>
        <w:tblW w:w="891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2479"/>
        <w:gridCol w:w="1337"/>
        <w:gridCol w:w="2313"/>
        <w:gridCol w:w="13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Levels</w:t>
            </w:r>
          </w:p>
        </w:tc>
        <w:tc>
          <w:tcPr>
            <w:tcW w:w="3722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A</w:t>
            </w:r>
          </w:p>
        </w:tc>
        <w:tc>
          <w:tcPr>
            <w:tcW w:w="3556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Layer 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7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Proportions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Numbers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Proportions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Low risk</w:t>
            </w:r>
          </w:p>
        </w:tc>
        <w:tc>
          <w:tcPr>
            <w:tcW w:w="247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17.65%</w:t>
            </w:r>
          </w:p>
        </w:tc>
        <w:tc>
          <w:tcPr>
            <w:tcW w:w="231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66.67%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Moderate risk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68.63%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33.33%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Considerable risk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13.73%</w:t>
            </w: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High risk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Extreme risk</w:t>
            </w:r>
          </w:p>
        </w:tc>
        <w:tc>
          <w:tcPr>
            <w:tcW w:w="247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804"/>
        </w:tabs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804"/>
        </w:tabs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804"/>
        </w:tabs>
        <w:rPr>
          <w:rFonts w:ascii="Times New Roman" w:hAnsi="Times New Roman" w:cs="Times New Roman"/>
          <w:sz w:val="24"/>
          <w:szCs w:val="24"/>
        </w:rPr>
        <w:sectPr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widowControl/>
        <w:numPr>
          <w:ilvl w:val="0"/>
          <w:numId w:val="1"/>
        </w:numPr>
        <w:spacing w:line="480" w:lineRule="auto"/>
        <w:jc w:val="left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Figures supplementary:</w:t>
      </w:r>
    </w:p>
    <w:p>
      <w:pPr>
        <w:pStyle w:val="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-906145</wp:posOffset>
            </wp:positionH>
            <wp:positionV relativeFrom="paragraph">
              <wp:posOffset>117475</wp:posOffset>
            </wp:positionV>
            <wp:extent cx="6985635" cy="4355465"/>
            <wp:effectExtent l="0" t="0" r="12065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85635" cy="4355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Fig.A1. </w:t>
      </w:r>
      <w:r>
        <w:rPr>
          <w:rFonts w:ascii="Times New Roman" w:hAnsi="Times New Roman" w:cs="Times New Roman"/>
          <w:sz w:val="24"/>
          <w:szCs w:val="24"/>
        </w:rPr>
        <w:t>Spatial patterns of the five heavy metal contents in layers A and B based on IDW.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pStyle w:val="2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656580" cy="5964555"/>
            <wp:effectExtent l="0" t="0" r="762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6580" cy="596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Fig.A2. </w:t>
      </w:r>
      <w:r>
        <w:rPr>
          <w:rFonts w:ascii="Times New Roman" w:hAnsi="Times New Roman" w:cs="Times New Roman"/>
          <w:sz w:val="24"/>
          <w:szCs w:val="24"/>
        </w:rPr>
        <w:t>Spatial distribution of APCS scores in soil layer A and B.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36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6"/>
          <w:szCs w:val="28"/>
          <w:lang w:val="en-US" w:eastAsia="zh-CN" w:bidi="ar"/>
        </w:rPr>
        <w:t>Data availability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"/>
          <w:sz w:val="36"/>
          <w:szCs w:val="28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40" w:firstLineChars="100"/>
        <w:jc w:val="both"/>
        <w:rPr>
          <w:rFonts w:hint="default" w:ascii="Times New Roman" w:hAnsi="Times New Roman" w:cs="Times New Roman"/>
          <w:color w:val="000000"/>
          <w:sz w:val="24"/>
          <w:szCs w:val="30"/>
          <w:shd w:val="clear" w:fill="FFFFFF"/>
          <w:lang w:val="en-US"/>
        </w:rPr>
      </w:pPr>
      <w:r>
        <w:rPr>
          <w:rFonts w:hint="default" w:ascii="Times New Roman" w:hAnsi="Times New Roman" w:eastAsia="等线" w:cs="Times New Roman"/>
          <w:color w:val="000000"/>
          <w:kern w:val="2"/>
          <w:sz w:val="24"/>
          <w:szCs w:val="30"/>
          <w:shd w:val="clear" w:fill="FFFFFF"/>
          <w:lang w:val="en-US" w:eastAsia="zh-CN" w:bidi="ar"/>
        </w:rPr>
        <w:t>Basic datasets was provided by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30"/>
          <w:shd w:val="clear" w:fill="FFFFFF"/>
          <w:lang w:val="en-US" w:eastAsia="zh-CN" w:bidi="ar"/>
        </w:rPr>
        <w:t xml:space="preserve"> National Tibetan Plateau Data Center</w:t>
      </w:r>
      <w:r>
        <w:rPr>
          <w:rFonts w:hint="default" w:ascii="Times New Roman" w:hAnsi="Times New Roman" w:eastAsia="等线" w:cs="Times New Roman"/>
          <w:color w:val="000000"/>
          <w:kern w:val="2"/>
          <w:sz w:val="24"/>
          <w:szCs w:val="30"/>
          <w:shd w:val="clear" w:fill="FFFFFF"/>
          <w:lang w:val="en-US" w:eastAsia="zh-CN" w:bidi="ar"/>
        </w:rPr>
        <w:t xml:space="preserve"> (http://data.tpdc.ac.cn) and the study datasets used and analysed during the current study are available from the corresponding author on reasonable request.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40" w:firstLineChars="100"/>
        <w:jc w:val="both"/>
        <w:rPr>
          <w:rFonts w:hint="default" w:ascii="Times New Roman" w:hAnsi="Times New Roman" w:cs="Times New Roman"/>
          <w:color w:val="000000"/>
          <w:sz w:val="24"/>
          <w:szCs w:val="30"/>
          <w:shd w:val="clear" w:fill="FFFFFF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36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6"/>
          <w:szCs w:val="28"/>
          <w:lang w:val="en-US" w:eastAsia="zh-CN" w:bidi="ar"/>
        </w:rPr>
        <w:t>Statements &amp; Declarations: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320" w:firstLineChars="100"/>
        <w:jc w:val="both"/>
        <w:rPr>
          <w:rFonts w:hint="default" w:ascii="Times New Roman" w:hAnsi="Times New Roman" w:cs="Times New Roman"/>
          <w:b/>
          <w:bCs/>
          <w:color w:val="000000"/>
          <w:sz w:val="32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>Funding: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40" w:firstLineChars="100"/>
        <w:jc w:val="both"/>
        <w:rPr>
          <w:rFonts w:hint="default" w:ascii="Times New Roman" w:hAnsi="Times New Roman" w:cs="Times New Roman"/>
          <w:b/>
          <w:bCs/>
          <w:color w:val="000000"/>
          <w:sz w:val="32"/>
          <w:szCs w:val="28"/>
          <w:lang w:val="en-US"/>
        </w:rPr>
      </w:pPr>
      <w:r>
        <w:rPr>
          <w:rFonts w:hint="default" w:ascii="Times New Roman" w:hAnsi="Times New Roman" w:eastAsia="等线" w:cs="Times New Roman"/>
          <w:color w:val="000000"/>
          <w:kern w:val="2"/>
          <w:sz w:val="24"/>
          <w:szCs w:val="30"/>
          <w:shd w:val="clear" w:fill="FFFFFF"/>
          <w:lang w:val="en-US" w:eastAsia="zh-CN" w:bidi="ar"/>
        </w:rPr>
        <w:t>This work was supported by the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30"/>
          <w:shd w:val="clear" w:fill="FFFFFF"/>
          <w:lang w:val="en-US" w:eastAsia="zh-CN" w:bidi="ar"/>
        </w:rPr>
        <w:t xml:space="preserve"> National Natural Science Foundation of China</w:t>
      </w:r>
      <w:r>
        <w:rPr>
          <w:rFonts w:hint="default" w:ascii="Times New Roman" w:hAnsi="Times New Roman" w:eastAsia="等线" w:cs="Times New Roman"/>
          <w:color w:val="000000"/>
          <w:kern w:val="2"/>
          <w:sz w:val="24"/>
          <w:szCs w:val="30"/>
          <w:shd w:val="clear" w:fill="FFFFFF"/>
          <w:lang w:val="en-US" w:eastAsia="zh-CN" w:bidi="ar"/>
        </w:rPr>
        <w:t xml:space="preserve"> (Grants No.</w:t>
      </w: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color w:val="000000"/>
          <w:kern w:val="2"/>
          <w:sz w:val="24"/>
          <w:szCs w:val="30"/>
          <w:shd w:val="clear" w:fill="FFFFFF"/>
          <w:lang w:val="en-US" w:eastAsia="zh-CN" w:bidi="ar"/>
        </w:rPr>
        <w:t>42071254).</w:t>
      </w: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color w:val="000000"/>
          <w:kern w:val="2"/>
          <w:sz w:val="24"/>
          <w:szCs w:val="30"/>
          <w:shd w:val="clear" w:fill="FFFFFF"/>
          <w:lang w:val="en-US" w:eastAsia="zh-CN" w:bidi="ar"/>
        </w:rPr>
        <w:t>The grantee is Prof. Jian Gong (Corresponding author).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20" w:firstLineChars="100"/>
        <w:jc w:val="both"/>
        <w:rPr>
          <w:rFonts w:hint="default" w:ascii="Times New Roman" w:hAnsi="Times New Roman" w:cs="Times New Roman"/>
          <w:b/>
          <w:bCs/>
          <w:color w:val="000000"/>
          <w:sz w:val="32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>Competing Interests: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等线" w:cs="Times New Roman"/>
          <w:color w:val="000000"/>
          <w:kern w:val="0"/>
          <w:sz w:val="22"/>
          <w:szCs w:val="22"/>
          <w:lang w:val="en-US" w:bidi="ar"/>
        </w:rPr>
      </w:pP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  <w:lang w:val="en-US" w:eastAsia="zh-CN" w:bidi="ar"/>
        </w:rPr>
        <w:t>The authors have no relevant financial or non-financial interests to disclose.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20" w:firstLineChars="100"/>
        <w:jc w:val="both"/>
        <w:rPr>
          <w:rFonts w:hint="default" w:ascii="Times New Roman" w:hAnsi="Times New Roman" w:cs="Times New Roman"/>
          <w:b/>
          <w:bCs/>
          <w:color w:val="000000"/>
          <w:sz w:val="32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>Conflict of interest: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333333"/>
          <w:sz w:val="22"/>
          <w:szCs w:val="22"/>
          <w:shd w:val="clear" w:fill="FCFCFC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28"/>
          <w:szCs w:val="28"/>
          <w:lang w:val="en-US" w:eastAsia="zh-CN" w:bidi="ar"/>
        </w:rPr>
        <w:t>The authors declare that they have no conflict of interest.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20" w:firstLineChars="100"/>
        <w:jc w:val="both"/>
        <w:rPr>
          <w:rFonts w:hint="default" w:ascii="Times New Roman" w:hAnsi="Times New Roman" w:eastAsia="等线" w:cs="Times New Roman"/>
          <w:b/>
          <w:bCs w:val="0"/>
          <w:color w:val="000000"/>
          <w:sz w:val="28"/>
          <w:szCs w:val="22"/>
          <w:lang w:val="en-US" w:bidi="ar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>Author Contributions: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All authors contributed to the study conception and design. Conception and design of the study, Methodology, Writing - Original Draft, Writing - Review &amp; Editing:</w:t>
      </w:r>
      <w:r>
        <w:rPr>
          <w:rFonts w:hint="default" w:ascii="Times New Roman" w:hAnsi="Times New Roman" w:eastAsia="等线" w:cs="Times New Roman"/>
          <w:b/>
          <w:bCs w:val="0"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 xml:space="preserve">[Haoran Gao]; 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Conceptualization, Supervision, Project administration, Funding acquisition, Final approval of the version to be submitted:</w:t>
      </w: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 xml:space="preserve"> [Jian Gong]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; Software, Validation, Drafting the article, Writing -Review &amp; Editing: </w:t>
      </w: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>[Jianxin Yang]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; Investigation, Resources: </w:t>
      </w: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>[Guang Chen]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 xml:space="preserve">; Data Curation, Software: </w:t>
      </w: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>[Teng Ye]</w:t>
      </w:r>
      <w:r>
        <w:rPr>
          <w:rFonts w:hint="default" w:ascii="Times New Roman" w:hAnsi="Times New Roman" w:eastAsia="等线" w:cs="Times New Roman"/>
          <w:kern w:val="2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20" w:firstLineChars="100"/>
        <w:jc w:val="both"/>
        <w:rPr>
          <w:rFonts w:hint="default" w:ascii="Times New Roman" w:hAnsi="Times New Roman" w:cs="Times New Roman"/>
          <w:b/>
          <w:bCs/>
          <w:color w:val="000000"/>
          <w:sz w:val="32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>Ethical Approval: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Not applicable.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20" w:firstLineChars="100"/>
        <w:jc w:val="both"/>
        <w:rPr>
          <w:rFonts w:hint="default" w:ascii="Times New Roman" w:hAnsi="Times New Roman" w:cs="Times New Roman"/>
          <w:b/>
          <w:bCs/>
          <w:color w:val="000000"/>
          <w:sz w:val="32"/>
          <w:szCs w:val="28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32"/>
          <w:szCs w:val="28"/>
          <w:lang w:val="en-US" w:eastAsia="zh-CN" w:bidi="ar"/>
        </w:rPr>
        <w:t>Consent to publication: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The Author confirms: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that the work described has not been published before (except in the form of an abstract or as part of a published lecture, review, or thesis):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that it is not under consideration for publication elsewhere.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that its publication has been approved by all co-authors, if any.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that its publication has been approved (tacitly or explicitly) by the responsible authorities at the institution where the work is carried out.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The Author agrees to publication in the Journal indicated below and also to publication of the article in English by Springer in Springer's corresponding English-language journal.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The copyright to the English-language article is transferred to Springer effective if and when the article is accepted for publication. The author warrants that his/her contribution is original and that he/she has full power to make this grant. The author signs for and accepts responsibility for releasing this material on behalf of any and all co-authors. The copyright transfer covers the exclusive right to reproduce and distribute the article, including reprints. translations. photographic reproductions. microform. electronic form offline. online) or any other reproductions of similar nature.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  <w:r>
        <w:rPr>
          <w:rFonts w:hint="default" w:ascii="Times New Roman" w:hAnsi="Times New Roman" w:eastAsia="等线" w:cs="Times New Roman"/>
          <w:bCs/>
          <w:color w:val="000000"/>
          <w:kern w:val="2"/>
          <w:sz w:val="24"/>
          <w:szCs w:val="28"/>
          <w:lang w:val="en-US" w:eastAsia="zh-CN" w:bidi="ar"/>
        </w:rPr>
        <w:t>After submission of the agreement signed by the corresponding author, changes of authorship or in the order to the authors listed will not be accepted by Springer.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 w:firstLine="240" w:firstLineChars="100"/>
        <w:jc w:val="both"/>
        <w:rPr>
          <w:rFonts w:hint="default" w:ascii="Times New Roman" w:hAnsi="Times New Roman" w:cs="Times New Roman"/>
          <w:bCs/>
          <w:color w:val="000000"/>
          <w:sz w:val="24"/>
          <w:szCs w:val="28"/>
          <w:lang w:val="en-US"/>
        </w:rPr>
      </w:pPr>
    </w:p>
    <w:p>
      <w:pPr>
        <w:pStyle w:val="2"/>
        <w:rPr>
          <w:rFonts w:ascii="Times New Roman" w:hAnsi="Times New Roman" w:cs="Times New Roman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15B812"/>
    <w:multiLevelType w:val="singleLevel"/>
    <w:tmpl w:val="2A15B81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4YjVjNzI4YzZlNTJiZmQwYjMwMDJjMTVjZmMyNTEifQ=="/>
  </w:docVars>
  <w:rsids>
    <w:rsidRoot w:val="00AA3C91"/>
    <w:rsid w:val="00060CAC"/>
    <w:rsid w:val="00067D54"/>
    <w:rsid w:val="00137C33"/>
    <w:rsid w:val="001E05E2"/>
    <w:rsid w:val="00247F9E"/>
    <w:rsid w:val="00326759"/>
    <w:rsid w:val="003F32A4"/>
    <w:rsid w:val="004969D3"/>
    <w:rsid w:val="005F032C"/>
    <w:rsid w:val="00642856"/>
    <w:rsid w:val="0074144C"/>
    <w:rsid w:val="00752041"/>
    <w:rsid w:val="00A72BAC"/>
    <w:rsid w:val="00AA3C91"/>
    <w:rsid w:val="00AD612F"/>
    <w:rsid w:val="00B56E15"/>
    <w:rsid w:val="00B76600"/>
    <w:rsid w:val="00D12D6D"/>
    <w:rsid w:val="00E56888"/>
    <w:rsid w:val="00ED3397"/>
    <w:rsid w:val="00F863A4"/>
    <w:rsid w:val="095317C6"/>
    <w:rsid w:val="0B232478"/>
    <w:rsid w:val="1DBD79C1"/>
    <w:rsid w:val="253F1120"/>
    <w:rsid w:val="43BF1817"/>
    <w:rsid w:val="4E732DE4"/>
    <w:rsid w:val="788307BA"/>
    <w:rsid w:val="7D4C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line number"/>
    <w:basedOn w:val="6"/>
    <w:semiHidden/>
    <w:unhideWhenUsed/>
    <w:qFormat/>
    <w:uiPriority w:val="99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922</Words>
  <Characters>4712</Characters>
  <Lines>44</Lines>
  <Paragraphs>12</Paragraphs>
  <TotalTime>19</TotalTime>
  <ScaleCrop>false</ScaleCrop>
  <LinksUpToDate>false</LinksUpToDate>
  <CharactersWithSpaces>5116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2022-12-24T16:32:00Z</dcterms:created>
  <dc:creator>高浩然</dc:creator>
  <cp:lastModifiedBy>Kk</cp:lastModifiedBy>
  <dcterms:modified xsi:type="dcterms:W3CDTF">2023-02-20T02:58:56Z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CEF0EDF50A164A4CB33CEB6C1238D614</vt:lpwstr>
  </property>
</Properties>
</file>