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8723E" w14:textId="77777777" w:rsidR="005113C5" w:rsidRPr="008C3F3C" w:rsidRDefault="005113C5" w:rsidP="005113C5">
      <w:pPr>
        <w:spacing w:line="480" w:lineRule="auto"/>
        <w:rPr>
          <w:rFonts w:ascii="Times New Roman" w:hAnsi="Times New Roman" w:cs="Times New Roman"/>
          <w:b/>
          <w:bCs/>
          <w:sz w:val="20"/>
          <w:szCs w:val="20"/>
        </w:rPr>
      </w:pPr>
      <w:r w:rsidRPr="008C3F3C">
        <w:rPr>
          <w:rFonts w:ascii="Times New Roman" w:hAnsi="Times New Roman" w:cs="Times New Roman" w:hint="eastAsia"/>
          <w:b/>
          <w:bCs/>
          <w:sz w:val="20"/>
          <w:szCs w:val="20"/>
        </w:rPr>
        <w:t xml:space="preserve">Supplementary Figure 1. </w:t>
      </w:r>
      <w:r w:rsidRPr="008C3F3C">
        <w:rPr>
          <w:rFonts w:ascii="Times New Roman" w:hAnsi="Times New Roman" w:cs="Times New Roman"/>
          <w:b/>
          <w:bCs/>
          <w:sz w:val="20"/>
          <w:szCs w:val="20"/>
        </w:rPr>
        <w:t xml:space="preserve">Kaplan-Meier analysis of primary </w:t>
      </w:r>
      <w:r w:rsidRPr="008C3F3C">
        <w:rPr>
          <w:rFonts w:ascii="Times New Roman" w:hAnsi="Times New Roman" w:cs="Times New Roman" w:hint="eastAsia"/>
          <w:b/>
          <w:bCs/>
          <w:sz w:val="20"/>
          <w:szCs w:val="20"/>
        </w:rPr>
        <w:t>outcome</w:t>
      </w:r>
      <w:r w:rsidRPr="008C3F3C">
        <w:rPr>
          <w:rFonts w:ascii="Times New Roman" w:hAnsi="Times New Roman" w:cs="Times New Roman"/>
          <w:b/>
          <w:bCs/>
          <w:sz w:val="20"/>
          <w:szCs w:val="20"/>
        </w:rPr>
        <w:t xml:space="preserve"> and secondary outcome according to stroke severity </w:t>
      </w:r>
    </w:p>
    <w:p w14:paraId="6842B361" w14:textId="42E75E1D" w:rsidR="005113C5" w:rsidRPr="008C3F3C" w:rsidRDefault="005113C5" w:rsidP="00EC127A">
      <w:pPr>
        <w:rPr>
          <w:rFonts w:ascii="Times New Roman" w:hAnsi="Times New Roman" w:cs="Times New Roman"/>
          <w:b/>
          <w:bCs/>
          <w:sz w:val="20"/>
          <w:szCs w:val="20"/>
        </w:rPr>
      </w:pPr>
      <w:r w:rsidRPr="008C3F3C">
        <w:rPr>
          <w:rFonts w:ascii="Times New Roman" w:hAnsi="Times New Roman" w:cs="Times New Roman" w:hint="eastAsia"/>
          <w:b/>
          <w:bCs/>
          <w:noProof/>
          <w:sz w:val="20"/>
          <w:szCs w:val="20"/>
        </w:rPr>
        <w:drawing>
          <wp:inline distT="0" distB="0" distL="0" distR="0" wp14:anchorId="238F43D3" wp14:editId="61BF120A">
            <wp:extent cx="7142400" cy="4985025"/>
            <wp:effectExtent l="0" t="0" r="1905" b="635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4775" cy="5000641"/>
                    </a:xfrm>
                    <a:prstGeom prst="rect">
                      <a:avLst/>
                    </a:prstGeom>
                    <a:noFill/>
                    <a:ln>
                      <a:noFill/>
                    </a:ln>
                  </pic:spPr>
                </pic:pic>
              </a:graphicData>
            </a:graphic>
          </wp:inline>
        </w:drawing>
      </w:r>
    </w:p>
    <w:p w14:paraId="5CEBA9B3" w14:textId="77777777" w:rsidR="00FB0B6B" w:rsidRPr="008C3F3C" w:rsidRDefault="00FB0B6B" w:rsidP="00FB0B6B">
      <w:pPr>
        <w:rPr>
          <w:rFonts w:ascii="Times New Roman" w:hAnsi="Times New Roman" w:cs="Times New Roman"/>
          <w:b/>
          <w:bCs/>
          <w:sz w:val="20"/>
          <w:szCs w:val="20"/>
        </w:rPr>
      </w:pPr>
    </w:p>
    <w:p w14:paraId="7A23F60D" w14:textId="77777777" w:rsidR="005113C5" w:rsidRPr="008C3F3C" w:rsidRDefault="005113C5" w:rsidP="005113C5">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lastRenderedPageBreak/>
        <w:t>(A) Cumulative incidence of the composite outcome in minor stroke patients</w:t>
      </w:r>
    </w:p>
    <w:p w14:paraId="50A34A8E" w14:textId="77777777" w:rsidR="005113C5" w:rsidRPr="008C3F3C" w:rsidRDefault="005113C5" w:rsidP="005113C5">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(B) Cumulative incidence of the ischemic stroke in minor stroke patients</w:t>
      </w:r>
    </w:p>
    <w:p w14:paraId="237010EA" w14:textId="77777777" w:rsidR="005113C5" w:rsidRPr="008C3F3C" w:rsidRDefault="005113C5" w:rsidP="005113C5">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(C) Cumulative incidence of major bleeding in minor stroke patients</w:t>
      </w:r>
    </w:p>
    <w:p w14:paraId="1D45A6FE" w14:textId="77777777" w:rsidR="005113C5" w:rsidRPr="008C3F3C" w:rsidRDefault="005113C5" w:rsidP="005113C5">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(D) Cumulative incidence of the composite outcome in moderate to severe stroke patients</w:t>
      </w:r>
    </w:p>
    <w:p w14:paraId="14242AC7" w14:textId="77777777" w:rsidR="005113C5" w:rsidRPr="008C3F3C" w:rsidRDefault="005113C5" w:rsidP="005113C5">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(E) Cumulative incidence of the ischemic stroke in moderate to severe stroke patients</w:t>
      </w:r>
    </w:p>
    <w:p w14:paraId="4A89D93A" w14:textId="77777777" w:rsidR="005113C5" w:rsidRPr="008C3F3C" w:rsidRDefault="005113C5" w:rsidP="005113C5">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(F) Cumulative incidence of major bleeding in moderate to severe stroke patients</w:t>
      </w:r>
    </w:p>
    <w:p w14:paraId="255F641B" w14:textId="52C409B1" w:rsidR="005113C5" w:rsidRPr="008C3F3C" w:rsidRDefault="005113C5" w:rsidP="005113C5">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 xml:space="preserve">SAPT: single antiplatelet therapy; DAPT: dual antiplatelet therapy; TAPT: triple antiplatelet therapy </w:t>
      </w:r>
    </w:p>
    <w:p w14:paraId="45B4AE81" w14:textId="3F977796" w:rsidR="005113C5" w:rsidRPr="008C3F3C" w:rsidRDefault="005113C5" w:rsidP="005113C5">
      <w:pPr>
        <w:spacing w:line="480" w:lineRule="auto"/>
        <w:rPr>
          <w:rFonts w:ascii="Times New Roman" w:hAnsi="Times New Roman" w:cs="Times New Roman"/>
          <w:bCs/>
          <w:sz w:val="20"/>
          <w:szCs w:val="20"/>
        </w:rPr>
      </w:pPr>
    </w:p>
    <w:p w14:paraId="30D37E79" w14:textId="3CA7BEA6" w:rsidR="005113C5" w:rsidRPr="008C3F3C" w:rsidRDefault="005113C5" w:rsidP="005113C5">
      <w:pPr>
        <w:spacing w:line="480" w:lineRule="auto"/>
        <w:rPr>
          <w:rFonts w:ascii="Times New Roman" w:hAnsi="Times New Roman" w:cs="Times New Roman"/>
          <w:bCs/>
          <w:sz w:val="20"/>
          <w:szCs w:val="20"/>
        </w:rPr>
      </w:pPr>
    </w:p>
    <w:p w14:paraId="0A49C637" w14:textId="4B45F2A3" w:rsidR="005113C5" w:rsidRPr="008C3F3C" w:rsidRDefault="005113C5" w:rsidP="005113C5">
      <w:pPr>
        <w:spacing w:line="480" w:lineRule="auto"/>
        <w:rPr>
          <w:rFonts w:ascii="Times New Roman" w:hAnsi="Times New Roman" w:cs="Times New Roman"/>
          <w:bCs/>
          <w:sz w:val="20"/>
          <w:szCs w:val="20"/>
        </w:rPr>
      </w:pPr>
    </w:p>
    <w:p w14:paraId="557A3C11" w14:textId="4D5F44BF" w:rsidR="005113C5" w:rsidRPr="008C3F3C" w:rsidRDefault="005113C5" w:rsidP="005113C5">
      <w:pPr>
        <w:spacing w:line="480" w:lineRule="auto"/>
        <w:rPr>
          <w:rFonts w:ascii="Times New Roman" w:hAnsi="Times New Roman" w:cs="Times New Roman"/>
          <w:bCs/>
          <w:sz w:val="20"/>
          <w:szCs w:val="20"/>
        </w:rPr>
      </w:pPr>
    </w:p>
    <w:p w14:paraId="5ADD34CB" w14:textId="733F2EAD" w:rsidR="005113C5" w:rsidRDefault="005113C5" w:rsidP="005113C5">
      <w:pPr>
        <w:spacing w:line="480" w:lineRule="auto"/>
        <w:rPr>
          <w:rFonts w:ascii="Times New Roman" w:hAnsi="Times New Roman" w:cs="Times New Roman"/>
          <w:bCs/>
          <w:sz w:val="20"/>
          <w:szCs w:val="20"/>
        </w:rPr>
      </w:pPr>
    </w:p>
    <w:p w14:paraId="78DA08A3" w14:textId="77777777" w:rsidR="008C3F3C" w:rsidRDefault="008C3F3C" w:rsidP="005113C5">
      <w:pPr>
        <w:spacing w:line="480" w:lineRule="auto"/>
        <w:rPr>
          <w:rFonts w:ascii="Times New Roman" w:hAnsi="Times New Roman" w:cs="Times New Roman"/>
          <w:bCs/>
          <w:sz w:val="20"/>
          <w:szCs w:val="20"/>
        </w:rPr>
      </w:pPr>
    </w:p>
    <w:p w14:paraId="5F8A5989" w14:textId="77777777" w:rsidR="008C3F3C" w:rsidRPr="008C3F3C" w:rsidRDefault="008C3F3C" w:rsidP="005113C5">
      <w:pPr>
        <w:spacing w:line="480" w:lineRule="auto"/>
        <w:rPr>
          <w:rFonts w:ascii="Times New Roman" w:hAnsi="Times New Roman" w:cs="Times New Roman" w:hint="eastAsia"/>
          <w:bCs/>
          <w:sz w:val="20"/>
          <w:szCs w:val="20"/>
        </w:rPr>
      </w:pPr>
    </w:p>
    <w:p w14:paraId="59EEA85E" w14:textId="33BE125D" w:rsidR="005113C5" w:rsidRPr="008C3F3C" w:rsidRDefault="005113C5" w:rsidP="005113C5">
      <w:pPr>
        <w:spacing w:line="480" w:lineRule="auto"/>
        <w:rPr>
          <w:rFonts w:ascii="Times New Roman" w:hAnsi="Times New Roman" w:cs="Times New Roman"/>
          <w:bCs/>
          <w:sz w:val="20"/>
          <w:szCs w:val="20"/>
        </w:rPr>
      </w:pPr>
    </w:p>
    <w:p w14:paraId="4DA6A508" w14:textId="38A7A867" w:rsidR="005113C5" w:rsidRPr="008C3F3C" w:rsidRDefault="005113C5" w:rsidP="005113C5">
      <w:pPr>
        <w:spacing w:line="480" w:lineRule="auto"/>
        <w:rPr>
          <w:rFonts w:ascii="Times New Roman" w:hAnsi="Times New Roman" w:cs="Times New Roman"/>
          <w:b/>
          <w:bCs/>
          <w:sz w:val="20"/>
          <w:szCs w:val="20"/>
        </w:rPr>
      </w:pPr>
      <w:r w:rsidRPr="008C3F3C">
        <w:rPr>
          <w:rFonts w:ascii="Times New Roman" w:hAnsi="Times New Roman" w:cs="Times New Roman"/>
          <w:b/>
          <w:bCs/>
          <w:sz w:val="20"/>
          <w:szCs w:val="20"/>
        </w:rPr>
        <w:lastRenderedPageBreak/>
        <w:t xml:space="preserve">Supplementary Figure 2. Hazard Ratio for primary outcome and secondary outcome according to stroke severity </w:t>
      </w:r>
    </w:p>
    <w:p w14:paraId="12F454A2" w14:textId="54BA7D50" w:rsidR="005113C5" w:rsidRPr="008C3F3C" w:rsidRDefault="005113C5" w:rsidP="005113C5">
      <w:pPr>
        <w:spacing w:line="480" w:lineRule="auto"/>
        <w:rPr>
          <w:rFonts w:ascii="Times New Roman" w:hAnsi="Times New Roman" w:cs="Times New Roman"/>
          <w:b/>
          <w:bCs/>
          <w:sz w:val="20"/>
          <w:szCs w:val="20"/>
        </w:rPr>
      </w:pPr>
      <w:r w:rsidRPr="008C3F3C">
        <w:rPr>
          <w:rFonts w:ascii="Times New Roman" w:hAnsi="Times New Roman" w:cs="Times New Roman"/>
          <w:b/>
          <w:bCs/>
          <w:noProof/>
          <w:sz w:val="20"/>
          <w:szCs w:val="20"/>
        </w:rPr>
        <w:drawing>
          <wp:inline distT="0" distB="0" distL="0" distR="0" wp14:anchorId="497F6E63" wp14:editId="299CAB61">
            <wp:extent cx="8697595" cy="2973705"/>
            <wp:effectExtent l="0" t="0" r="8255"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7595" cy="2973705"/>
                    </a:xfrm>
                    <a:prstGeom prst="rect">
                      <a:avLst/>
                    </a:prstGeom>
                    <a:noFill/>
                    <a:ln>
                      <a:noFill/>
                    </a:ln>
                  </pic:spPr>
                </pic:pic>
              </a:graphicData>
            </a:graphic>
          </wp:inline>
        </w:drawing>
      </w:r>
    </w:p>
    <w:p w14:paraId="1DE74D7A" w14:textId="77777777" w:rsidR="005113C5" w:rsidRPr="008C3F3C" w:rsidRDefault="005113C5" w:rsidP="005113C5">
      <w:pPr>
        <w:spacing w:line="480" w:lineRule="auto"/>
        <w:rPr>
          <w:rFonts w:ascii="Times New Roman" w:eastAsia="맑은 고딕" w:hAnsi="Times New Roman" w:cs="Times New Roman"/>
          <w:bCs/>
          <w:sz w:val="20"/>
          <w:szCs w:val="20"/>
        </w:rPr>
      </w:pPr>
      <w:r w:rsidRPr="008C3F3C">
        <w:rPr>
          <w:rFonts w:ascii="Times New Roman" w:hAnsi="Times New Roman" w:cs="Times New Roman"/>
          <w:bCs/>
          <w:sz w:val="20"/>
          <w:szCs w:val="20"/>
        </w:rPr>
        <w:t xml:space="preserve">In minor stroke patients, the incidence of composite outcomes, ischemic stroke and major bleeding events at 1 year after stroke were not significantly different within three groups. In moderate to severe stroke patients, no significant difference was observed among the DAPT and TAPT groups in the overall risks of composite outcomes and recurrent ischemic stroke at 1 year after acute ischemic stroke. However, DAPT and TAPT increased </w:t>
      </w:r>
      <w:r w:rsidRPr="008C3F3C">
        <w:rPr>
          <w:rFonts w:ascii="Times New Roman" w:eastAsia="맑은 고딕" w:hAnsi="Times New Roman" w:cs="Times New Roman"/>
          <w:bCs/>
          <w:sz w:val="20"/>
          <w:szCs w:val="20"/>
        </w:rPr>
        <w:t xml:space="preserve">the risk of major bleeding events than the SAPT. </w:t>
      </w:r>
    </w:p>
    <w:p w14:paraId="4D93FADD" w14:textId="77777777" w:rsidR="005113C5" w:rsidRDefault="005113C5" w:rsidP="005113C5">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 xml:space="preserve">SAPT: single antiplatelet therapy; DAPT: dual antiplatelet therapy; TAPT: triple antiplatelet therapy </w:t>
      </w:r>
    </w:p>
    <w:p w14:paraId="3C1E8B87" w14:textId="77777777" w:rsidR="008C3F3C" w:rsidRDefault="008C3F3C" w:rsidP="005113C5">
      <w:pPr>
        <w:spacing w:line="480" w:lineRule="auto"/>
        <w:rPr>
          <w:rFonts w:ascii="Times New Roman" w:hAnsi="Times New Roman" w:cs="Times New Roman"/>
          <w:bCs/>
          <w:sz w:val="20"/>
          <w:szCs w:val="20"/>
        </w:rPr>
      </w:pPr>
    </w:p>
    <w:p w14:paraId="7ADB87E4" w14:textId="77777777" w:rsidR="008C3F3C" w:rsidRPr="008C3F3C" w:rsidRDefault="008C3F3C" w:rsidP="005113C5">
      <w:pPr>
        <w:spacing w:line="480" w:lineRule="auto"/>
        <w:rPr>
          <w:rFonts w:ascii="Times New Roman" w:hAnsi="Times New Roman" w:cs="Times New Roman"/>
          <w:bCs/>
          <w:sz w:val="20"/>
          <w:szCs w:val="20"/>
        </w:rPr>
      </w:pPr>
    </w:p>
    <w:p w14:paraId="7F35DE30" w14:textId="77777777" w:rsidR="005113C5" w:rsidRPr="008C3F3C" w:rsidRDefault="005113C5" w:rsidP="005113C5">
      <w:pPr>
        <w:spacing w:line="480" w:lineRule="auto"/>
        <w:rPr>
          <w:rFonts w:ascii="Times New Roman" w:hAnsi="Times New Roman" w:cs="Times New Roman"/>
          <w:b/>
          <w:bCs/>
          <w:sz w:val="20"/>
          <w:szCs w:val="20"/>
        </w:rPr>
      </w:pPr>
      <w:r w:rsidRPr="008C3F3C">
        <w:rPr>
          <w:rFonts w:ascii="Times New Roman" w:hAnsi="Times New Roman" w:cs="Times New Roman" w:hint="eastAsia"/>
          <w:b/>
          <w:bCs/>
          <w:sz w:val="20"/>
          <w:szCs w:val="20"/>
        </w:rPr>
        <w:t xml:space="preserve">Supplementary Figure 3. </w:t>
      </w:r>
      <w:r w:rsidRPr="008C3F3C">
        <w:rPr>
          <w:rFonts w:ascii="Times New Roman" w:hAnsi="Times New Roman" w:cs="Times New Roman"/>
          <w:b/>
          <w:bCs/>
          <w:sz w:val="20"/>
          <w:szCs w:val="20"/>
        </w:rPr>
        <w:t xml:space="preserve">Kaplan-Meier analysis of primary </w:t>
      </w:r>
      <w:r w:rsidRPr="008C3F3C">
        <w:rPr>
          <w:rFonts w:ascii="Times New Roman" w:hAnsi="Times New Roman" w:cs="Times New Roman" w:hint="eastAsia"/>
          <w:b/>
          <w:bCs/>
          <w:sz w:val="20"/>
          <w:szCs w:val="20"/>
        </w:rPr>
        <w:t>outcome</w:t>
      </w:r>
      <w:r w:rsidRPr="008C3F3C">
        <w:rPr>
          <w:rFonts w:ascii="Times New Roman" w:hAnsi="Times New Roman" w:cs="Times New Roman"/>
          <w:b/>
          <w:bCs/>
          <w:sz w:val="20"/>
          <w:szCs w:val="20"/>
        </w:rPr>
        <w:t xml:space="preserve"> and secondary outcome according to stroke subtypes</w:t>
      </w:r>
    </w:p>
    <w:p w14:paraId="11665569" w14:textId="0D34F3FC" w:rsidR="005113C5" w:rsidRPr="008C3F3C" w:rsidRDefault="005113C5" w:rsidP="005113C5">
      <w:pPr>
        <w:spacing w:line="480" w:lineRule="auto"/>
        <w:rPr>
          <w:rFonts w:ascii="Times New Roman" w:hAnsi="Times New Roman" w:cs="Times New Roman"/>
          <w:b/>
          <w:bCs/>
          <w:sz w:val="20"/>
          <w:szCs w:val="20"/>
        </w:rPr>
      </w:pPr>
      <w:r w:rsidRPr="008C3F3C">
        <w:rPr>
          <w:rFonts w:ascii="Times New Roman" w:hAnsi="Times New Roman" w:cs="Times New Roman" w:hint="eastAsia"/>
          <w:b/>
          <w:bCs/>
          <w:noProof/>
          <w:sz w:val="20"/>
          <w:szCs w:val="20"/>
        </w:rPr>
        <w:drawing>
          <wp:inline distT="0" distB="0" distL="0" distR="0" wp14:anchorId="1A7BEFAE" wp14:editId="1B160E99">
            <wp:extent cx="7538400" cy="5266305"/>
            <wp:effectExtent l="0" t="0" r="5715"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0327" cy="5274637"/>
                    </a:xfrm>
                    <a:prstGeom prst="rect">
                      <a:avLst/>
                    </a:prstGeom>
                    <a:noFill/>
                    <a:ln>
                      <a:noFill/>
                    </a:ln>
                  </pic:spPr>
                </pic:pic>
              </a:graphicData>
            </a:graphic>
          </wp:inline>
        </w:drawing>
      </w:r>
    </w:p>
    <w:p w14:paraId="52A3A6D2" w14:textId="77777777" w:rsidR="003A4064" w:rsidRPr="008C3F3C" w:rsidRDefault="003A4064" w:rsidP="003A4064">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(A) Cumulative incidence of the composite outcome in LAA patients</w:t>
      </w:r>
    </w:p>
    <w:p w14:paraId="6B439F4D" w14:textId="77777777" w:rsidR="003A4064" w:rsidRPr="008C3F3C" w:rsidRDefault="003A4064" w:rsidP="003A4064">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(B) Cumulative incidence of the ischemic stroke in LAA patients</w:t>
      </w:r>
    </w:p>
    <w:p w14:paraId="1C434516" w14:textId="77777777" w:rsidR="003A4064" w:rsidRPr="008C3F3C" w:rsidRDefault="003A4064" w:rsidP="003A4064">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(C) Cumulative incidence of major bleeding in LAA patients</w:t>
      </w:r>
    </w:p>
    <w:p w14:paraId="5BBE170F" w14:textId="77777777" w:rsidR="003A4064" w:rsidRPr="008C3F3C" w:rsidRDefault="003A4064" w:rsidP="003A4064">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 xml:space="preserve">(D) Cumulative incidence of the composite outcome in SVO patients </w:t>
      </w:r>
    </w:p>
    <w:p w14:paraId="268791E3" w14:textId="77777777" w:rsidR="003A4064" w:rsidRPr="008C3F3C" w:rsidRDefault="003A4064" w:rsidP="003A4064">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(E) Cumulative incidence of the ischemic stroke in SVO patients</w:t>
      </w:r>
    </w:p>
    <w:p w14:paraId="39F47979" w14:textId="77777777" w:rsidR="003A4064" w:rsidRPr="008C3F3C" w:rsidRDefault="003A4064" w:rsidP="003A4064">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(F) Cumulative incidence of major bleeding in SVO patients</w:t>
      </w:r>
    </w:p>
    <w:p w14:paraId="72E4DFC9" w14:textId="77777777" w:rsidR="003A4064" w:rsidRPr="008C3F3C" w:rsidRDefault="003A4064" w:rsidP="003A4064">
      <w:pPr>
        <w:spacing w:line="480" w:lineRule="auto"/>
        <w:rPr>
          <w:rFonts w:ascii="Times New Roman" w:hAnsi="Times New Roman" w:cs="Times New Roman"/>
          <w:bCs/>
          <w:sz w:val="20"/>
          <w:szCs w:val="20"/>
        </w:rPr>
      </w:pPr>
      <w:r w:rsidRPr="008C3F3C">
        <w:rPr>
          <w:rFonts w:ascii="Times New Roman" w:hAnsi="Times New Roman" w:cs="Times New Roman"/>
          <w:bCs/>
          <w:sz w:val="20"/>
          <w:szCs w:val="20"/>
        </w:rPr>
        <w:t xml:space="preserve">LAA: large artery atherosclerosis; SVO: small vessel occlusion; SAPT: single antiplatelet therapy; DAPT: dual antiplatelet therapy; TAPT: triple antiplatelet therapy </w:t>
      </w:r>
    </w:p>
    <w:p w14:paraId="1DD34910" w14:textId="516A1123" w:rsidR="005113C5" w:rsidRPr="008C3F3C" w:rsidRDefault="005113C5" w:rsidP="005113C5">
      <w:pPr>
        <w:spacing w:line="480" w:lineRule="auto"/>
        <w:rPr>
          <w:rFonts w:ascii="Times New Roman" w:hAnsi="Times New Roman" w:cs="Times New Roman"/>
          <w:bCs/>
          <w:sz w:val="20"/>
          <w:szCs w:val="20"/>
        </w:rPr>
      </w:pPr>
    </w:p>
    <w:p w14:paraId="6D2053F0" w14:textId="0C41116E" w:rsidR="003A4064" w:rsidRPr="008C3F3C" w:rsidRDefault="003A4064" w:rsidP="005113C5">
      <w:pPr>
        <w:spacing w:line="480" w:lineRule="auto"/>
        <w:rPr>
          <w:rFonts w:ascii="Times New Roman" w:hAnsi="Times New Roman" w:cs="Times New Roman"/>
          <w:bCs/>
          <w:sz w:val="20"/>
          <w:szCs w:val="20"/>
        </w:rPr>
      </w:pPr>
    </w:p>
    <w:p w14:paraId="37466A86" w14:textId="23716E0C" w:rsidR="003A4064" w:rsidRPr="008C3F3C" w:rsidRDefault="003A4064" w:rsidP="005113C5">
      <w:pPr>
        <w:spacing w:line="480" w:lineRule="auto"/>
        <w:rPr>
          <w:rFonts w:ascii="Times New Roman" w:hAnsi="Times New Roman" w:cs="Times New Roman"/>
          <w:bCs/>
          <w:sz w:val="20"/>
          <w:szCs w:val="20"/>
        </w:rPr>
      </w:pPr>
    </w:p>
    <w:p w14:paraId="51979441" w14:textId="3F1F6FE8" w:rsidR="003A4064" w:rsidRDefault="003A4064" w:rsidP="005113C5">
      <w:pPr>
        <w:spacing w:line="480" w:lineRule="auto"/>
        <w:rPr>
          <w:rFonts w:ascii="Times New Roman" w:hAnsi="Times New Roman" w:cs="Times New Roman"/>
          <w:bCs/>
          <w:sz w:val="20"/>
          <w:szCs w:val="20"/>
        </w:rPr>
      </w:pPr>
    </w:p>
    <w:p w14:paraId="5999D494" w14:textId="77777777" w:rsidR="008C3F3C" w:rsidRDefault="008C3F3C" w:rsidP="005113C5">
      <w:pPr>
        <w:spacing w:line="480" w:lineRule="auto"/>
        <w:rPr>
          <w:rFonts w:ascii="Times New Roman" w:hAnsi="Times New Roman" w:cs="Times New Roman"/>
          <w:bCs/>
          <w:sz w:val="20"/>
          <w:szCs w:val="20"/>
        </w:rPr>
      </w:pPr>
    </w:p>
    <w:p w14:paraId="7D7D1C9C" w14:textId="77777777" w:rsidR="008C3F3C" w:rsidRDefault="008C3F3C" w:rsidP="005113C5">
      <w:pPr>
        <w:spacing w:line="480" w:lineRule="auto"/>
        <w:rPr>
          <w:rFonts w:ascii="Times New Roman" w:hAnsi="Times New Roman" w:cs="Times New Roman"/>
          <w:bCs/>
          <w:sz w:val="20"/>
          <w:szCs w:val="20"/>
        </w:rPr>
      </w:pPr>
    </w:p>
    <w:p w14:paraId="43BF8DA0" w14:textId="77777777" w:rsidR="008C3F3C" w:rsidRDefault="008C3F3C" w:rsidP="005113C5">
      <w:pPr>
        <w:spacing w:line="480" w:lineRule="auto"/>
        <w:rPr>
          <w:rFonts w:ascii="Times New Roman" w:hAnsi="Times New Roman" w:cs="Times New Roman"/>
          <w:bCs/>
          <w:sz w:val="20"/>
          <w:szCs w:val="20"/>
        </w:rPr>
      </w:pPr>
    </w:p>
    <w:p w14:paraId="26A8FDD5" w14:textId="77777777" w:rsidR="008C3F3C" w:rsidRPr="008C3F3C" w:rsidRDefault="008C3F3C" w:rsidP="005113C5">
      <w:pPr>
        <w:spacing w:line="480" w:lineRule="auto"/>
        <w:rPr>
          <w:rFonts w:ascii="Times New Roman" w:hAnsi="Times New Roman" w:cs="Times New Roman" w:hint="eastAsia"/>
          <w:bCs/>
          <w:sz w:val="20"/>
          <w:szCs w:val="20"/>
        </w:rPr>
      </w:pPr>
    </w:p>
    <w:p w14:paraId="6852372F" w14:textId="77777777" w:rsidR="003A4064" w:rsidRPr="008C3F3C" w:rsidRDefault="003A4064" w:rsidP="003A4064">
      <w:pPr>
        <w:spacing w:line="480" w:lineRule="auto"/>
        <w:rPr>
          <w:rFonts w:ascii="Times New Roman" w:hAnsi="Times New Roman" w:cs="Times New Roman"/>
          <w:b/>
          <w:bCs/>
          <w:sz w:val="20"/>
          <w:szCs w:val="20"/>
        </w:rPr>
      </w:pPr>
      <w:bookmarkStart w:id="0" w:name="_GoBack"/>
      <w:bookmarkEnd w:id="0"/>
      <w:r w:rsidRPr="008C3F3C">
        <w:rPr>
          <w:rFonts w:ascii="Times New Roman" w:hAnsi="Times New Roman" w:cs="Times New Roman"/>
          <w:b/>
          <w:bCs/>
          <w:sz w:val="20"/>
          <w:szCs w:val="20"/>
        </w:rPr>
        <w:t xml:space="preserve">Supplementary Figure 4. Hazard Ratio for primary outcome and secondary outcome according to stroke severity </w:t>
      </w:r>
    </w:p>
    <w:p w14:paraId="267228DB" w14:textId="0BFC4A5C" w:rsidR="003A4064" w:rsidRPr="008C3F3C" w:rsidRDefault="003A4064" w:rsidP="005113C5">
      <w:pPr>
        <w:spacing w:line="480" w:lineRule="auto"/>
        <w:rPr>
          <w:rFonts w:ascii="Times New Roman" w:hAnsi="Times New Roman" w:cs="Times New Roman"/>
          <w:bCs/>
          <w:sz w:val="20"/>
          <w:szCs w:val="20"/>
        </w:rPr>
      </w:pPr>
      <w:r w:rsidRPr="008C3F3C">
        <w:rPr>
          <w:rFonts w:ascii="Times New Roman" w:hAnsi="Times New Roman" w:cs="Times New Roman" w:hint="eastAsia"/>
          <w:bCs/>
          <w:noProof/>
          <w:sz w:val="20"/>
          <w:szCs w:val="20"/>
        </w:rPr>
        <w:drawing>
          <wp:inline distT="0" distB="0" distL="0" distR="0" wp14:anchorId="6F3ACBA1" wp14:editId="0832DD80">
            <wp:extent cx="8697595" cy="2534285"/>
            <wp:effectExtent l="0" t="0" r="8255"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97595" cy="2534285"/>
                    </a:xfrm>
                    <a:prstGeom prst="rect">
                      <a:avLst/>
                    </a:prstGeom>
                    <a:noFill/>
                    <a:ln>
                      <a:noFill/>
                    </a:ln>
                  </pic:spPr>
                </pic:pic>
              </a:graphicData>
            </a:graphic>
          </wp:inline>
        </w:drawing>
      </w:r>
    </w:p>
    <w:p w14:paraId="474708B0" w14:textId="77777777" w:rsidR="003A4064" w:rsidRPr="008C3F3C" w:rsidRDefault="003A4064" w:rsidP="003A4064">
      <w:pPr>
        <w:spacing w:line="480" w:lineRule="auto"/>
        <w:rPr>
          <w:rFonts w:ascii="Times New Roman" w:hAnsi="Times New Roman" w:cs="Times New Roman"/>
          <w:sz w:val="20"/>
          <w:szCs w:val="20"/>
        </w:rPr>
      </w:pPr>
      <w:r w:rsidRPr="008C3F3C">
        <w:rPr>
          <w:rFonts w:ascii="Times New Roman" w:hAnsi="Times New Roman" w:cs="Times New Roman"/>
          <w:bCs/>
          <w:sz w:val="20"/>
          <w:szCs w:val="20"/>
        </w:rPr>
        <w:t xml:space="preserve">In </w:t>
      </w:r>
      <w:r w:rsidRPr="008C3F3C">
        <w:rPr>
          <w:rFonts w:ascii="Times New Roman" w:hAnsi="Times New Roman" w:cs="Times New Roman"/>
          <w:sz w:val="20"/>
          <w:szCs w:val="20"/>
        </w:rPr>
        <w:t xml:space="preserve">the LAA group, DAPT and TAPT did not reduce the incidence of recurrent ischemic stroke or composite outcome, but they increased the risk of major bleeding events. In the SVO group, no significant differences in composite outcome, ischemic stroke and major bleeding events were observed among the three groups. </w:t>
      </w:r>
    </w:p>
    <w:p w14:paraId="0B2520E2" w14:textId="77777777" w:rsidR="003A4064" w:rsidRPr="008C3F3C" w:rsidRDefault="003A4064" w:rsidP="003A4064">
      <w:pPr>
        <w:spacing w:line="480" w:lineRule="auto"/>
        <w:rPr>
          <w:rFonts w:ascii="Times New Roman" w:hAnsi="Times New Roman" w:cs="Times New Roman"/>
          <w:b/>
          <w:bCs/>
          <w:sz w:val="20"/>
          <w:szCs w:val="20"/>
        </w:rPr>
      </w:pPr>
      <w:r w:rsidRPr="008C3F3C">
        <w:rPr>
          <w:rFonts w:ascii="Times New Roman" w:hAnsi="Times New Roman" w:cs="Times New Roman"/>
          <w:bCs/>
          <w:sz w:val="20"/>
          <w:szCs w:val="20"/>
        </w:rPr>
        <w:t>SAPT: single antiplatelet therapy; DAPT: dual antiplatelet therapy; TAPT: triple antiplatelet therapy</w:t>
      </w:r>
    </w:p>
    <w:p w14:paraId="68BD7539" w14:textId="77777777" w:rsidR="003A4064" w:rsidRPr="008C3F3C" w:rsidRDefault="003A4064" w:rsidP="005113C5">
      <w:pPr>
        <w:spacing w:line="480" w:lineRule="auto"/>
        <w:rPr>
          <w:rFonts w:ascii="Times New Roman" w:hAnsi="Times New Roman" w:cs="Times New Roman"/>
          <w:bCs/>
          <w:sz w:val="20"/>
          <w:szCs w:val="20"/>
        </w:rPr>
      </w:pPr>
    </w:p>
    <w:p w14:paraId="635F69A8" w14:textId="77777777" w:rsidR="00FB0B6B" w:rsidRPr="008C3F3C" w:rsidRDefault="00FB0B6B" w:rsidP="00FB0B6B">
      <w:pPr>
        <w:rPr>
          <w:rFonts w:ascii="Times New Roman" w:hAnsi="Times New Roman" w:cs="Times New Roman"/>
          <w:b/>
          <w:bCs/>
          <w:sz w:val="20"/>
          <w:szCs w:val="20"/>
        </w:rPr>
      </w:pPr>
    </w:p>
    <w:sectPr w:rsidR="00FB0B6B" w:rsidRPr="008C3F3C" w:rsidSect="003A4064">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FD7E3" w14:textId="77777777" w:rsidR="00EC127A" w:rsidRDefault="00EC127A" w:rsidP="002A753B">
      <w:pPr>
        <w:spacing w:after="0" w:line="240" w:lineRule="auto"/>
      </w:pPr>
      <w:r>
        <w:separator/>
      </w:r>
    </w:p>
  </w:endnote>
  <w:endnote w:type="continuationSeparator" w:id="0">
    <w:p w14:paraId="38E2EA3C" w14:textId="77777777" w:rsidR="00EC127A" w:rsidRDefault="00EC127A" w:rsidP="002A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1DD9F" w14:textId="77777777" w:rsidR="00EC127A" w:rsidRDefault="00EC127A" w:rsidP="002A753B">
      <w:pPr>
        <w:spacing w:after="0" w:line="240" w:lineRule="auto"/>
      </w:pPr>
      <w:r>
        <w:separator/>
      </w:r>
    </w:p>
  </w:footnote>
  <w:footnote w:type="continuationSeparator" w:id="0">
    <w:p w14:paraId="444C2249" w14:textId="77777777" w:rsidR="00EC127A" w:rsidRDefault="00EC127A" w:rsidP="002A75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9460CA"/>
    <w:multiLevelType w:val="hybridMultilevel"/>
    <w:tmpl w:val="04CC73DE"/>
    <w:lvl w:ilvl="0" w:tplc="0409000F">
      <w:start w:val="1"/>
      <w:numFmt w:val="decimal"/>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bordersDoNotSurroundHeader/>
  <w:bordersDoNotSurroundFooter/>
  <w:defaultTabStop w:val="800"/>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FC4"/>
    <w:rsid w:val="00024F69"/>
    <w:rsid w:val="00052127"/>
    <w:rsid w:val="00072978"/>
    <w:rsid w:val="00280F74"/>
    <w:rsid w:val="002A753B"/>
    <w:rsid w:val="00330714"/>
    <w:rsid w:val="003A1FB6"/>
    <w:rsid w:val="003A4064"/>
    <w:rsid w:val="00464FC4"/>
    <w:rsid w:val="005113C5"/>
    <w:rsid w:val="00872CBB"/>
    <w:rsid w:val="008C3F3C"/>
    <w:rsid w:val="009A2243"/>
    <w:rsid w:val="009C27F1"/>
    <w:rsid w:val="00A6265C"/>
    <w:rsid w:val="00AE7D5F"/>
    <w:rsid w:val="00B0523A"/>
    <w:rsid w:val="00EC127A"/>
    <w:rsid w:val="00EE3B5D"/>
    <w:rsid w:val="00F933FF"/>
    <w:rsid w:val="00FB0B6B"/>
    <w:rsid w:val="00FE7EE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D8E552"/>
  <w15:chartTrackingRefBased/>
  <w15:docId w15:val="{A824B323-9219-4E8C-81BE-C9BD3358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4FC4"/>
    <w:pPr>
      <w:jc w:val="left"/>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4F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2A753B"/>
    <w:pPr>
      <w:tabs>
        <w:tab w:val="center" w:pos="4513"/>
        <w:tab w:val="right" w:pos="9026"/>
      </w:tabs>
      <w:snapToGrid w:val="0"/>
    </w:pPr>
  </w:style>
  <w:style w:type="character" w:customStyle="1" w:styleId="Char">
    <w:name w:val="머리글 Char"/>
    <w:basedOn w:val="a0"/>
    <w:link w:val="a4"/>
    <w:uiPriority w:val="99"/>
    <w:rsid w:val="002A753B"/>
    <w:rPr>
      <w:kern w:val="0"/>
      <w:sz w:val="22"/>
    </w:rPr>
  </w:style>
  <w:style w:type="paragraph" w:styleId="a5">
    <w:name w:val="footer"/>
    <w:basedOn w:val="a"/>
    <w:link w:val="Char0"/>
    <w:uiPriority w:val="99"/>
    <w:unhideWhenUsed/>
    <w:rsid w:val="002A753B"/>
    <w:pPr>
      <w:tabs>
        <w:tab w:val="center" w:pos="4513"/>
        <w:tab w:val="right" w:pos="9026"/>
      </w:tabs>
      <w:snapToGrid w:val="0"/>
    </w:pPr>
  </w:style>
  <w:style w:type="character" w:customStyle="1" w:styleId="Char0">
    <w:name w:val="바닥글 Char"/>
    <w:basedOn w:val="a0"/>
    <w:link w:val="a5"/>
    <w:uiPriority w:val="99"/>
    <w:rsid w:val="002A753B"/>
    <w:rPr>
      <w:kern w:val="0"/>
      <w:sz w:val="22"/>
    </w:rPr>
  </w:style>
  <w:style w:type="paragraph" w:styleId="a6">
    <w:name w:val="List Paragraph"/>
    <w:basedOn w:val="a"/>
    <w:uiPriority w:val="34"/>
    <w:qFormat/>
    <w:rsid w:val="00EC127A"/>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388</Words>
  <Characters>2217</Characters>
  <Application>Microsoft Office Word</Application>
  <DocSecurity>0</DocSecurity>
  <Lines>18</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태정</dc:creator>
  <cp:keywords/>
  <dc:description/>
  <cp:lastModifiedBy>Windows 사용자</cp:lastModifiedBy>
  <cp:revision>6</cp:revision>
  <dcterms:created xsi:type="dcterms:W3CDTF">2022-07-07T09:55:00Z</dcterms:created>
  <dcterms:modified xsi:type="dcterms:W3CDTF">2023-02-20T06:50:00Z</dcterms:modified>
</cp:coreProperties>
</file>