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E6CE3" w14:textId="77777777" w:rsidR="00880C3F" w:rsidRDefault="00D368A2">
      <w:pPr>
        <w:pStyle w:val="TableTitle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2C2194B2" wp14:editId="1F522C9C">
            <wp:simplePos x="0" y="0"/>
            <wp:positionH relativeFrom="margin">
              <wp:posOffset>2880995</wp:posOffset>
            </wp:positionH>
            <wp:positionV relativeFrom="margin">
              <wp:posOffset>-110490</wp:posOffset>
            </wp:positionV>
            <wp:extent cx="4013835" cy="826135"/>
            <wp:effectExtent l="0" t="0" r="5715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5A3E481" w14:textId="77777777" w:rsidR="00880C3F" w:rsidRDefault="00880C3F">
      <w:pPr>
        <w:pStyle w:val="TableTitle"/>
        <w:rPr>
          <w:rFonts w:ascii="Arial" w:hAnsi="Arial" w:cs="Arial"/>
        </w:rPr>
      </w:pPr>
    </w:p>
    <w:p w14:paraId="2B821C5D" w14:textId="77777777" w:rsidR="00880C3F" w:rsidRDefault="00880C3F">
      <w:pPr>
        <w:pStyle w:val="TableTitle"/>
        <w:rPr>
          <w:rFonts w:ascii="Arial" w:hAnsi="Arial" w:cs="Arial"/>
        </w:rPr>
      </w:pPr>
    </w:p>
    <w:p w14:paraId="3986F1E1" w14:textId="77777777" w:rsidR="00880C3F" w:rsidRDefault="00880C3F">
      <w:pPr>
        <w:pStyle w:val="TableTitle"/>
        <w:rPr>
          <w:rFonts w:ascii="Arial" w:hAnsi="Arial" w:cs="Arial"/>
        </w:rPr>
      </w:pPr>
    </w:p>
    <w:p w14:paraId="08FA1344" w14:textId="77777777" w:rsidR="00880C3F" w:rsidRDefault="00880C3F">
      <w:pPr>
        <w:pStyle w:val="TableTitle"/>
        <w:rPr>
          <w:rFonts w:ascii="Arial" w:hAnsi="Arial" w:cs="Arial"/>
        </w:rPr>
      </w:pPr>
    </w:p>
    <w:p w14:paraId="7CC1D8F6" w14:textId="77777777" w:rsidR="00880C3F" w:rsidRDefault="00880C3F">
      <w:pPr>
        <w:pStyle w:val="TableTitle"/>
        <w:rPr>
          <w:rFonts w:ascii="Arial" w:hAnsi="Arial" w:cs="Arial"/>
        </w:rPr>
      </w:pPr>
    </w:p>
    <w:p w14:paraId="33AD5D97" w14:textId="77777777" w:rsidR="00880C3F" w:rsidRDefault="00D368A2">
      <w:pPr>
        <w:pStyle w:val="TableTitle"/>
        <w:spacing w:after="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SPIRIT 2013 Checklist: Recommended items to address in a clinical trial protocol and related documents*</w:t>
      </w:r>
    </w:p>
    <w:tbl>
      <w:tblPr>
        <w:tblW w:w="5092" w:type="pct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142"/>
        <w:gridCol w:w="746"/>
        <w:gridCol w:w="10679"/>
        <w:gridCol w:w="2110"/>
      </w:tblGrid>
      <w:tr w:rsidR="00880C3F" w14:paraId="0AE70AE6" w14:textId="77777777">
        <w:trPr>
          <w:cantSplit/>
          <w:trHeight w:val="259"/>
        </w:trPr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1CEC2606" w14:textId="77777777" w:rsidR="00880C3F" w:rsidRDefault="00D368A2">
            <w:pPr>
              <w:pStyle w:val="TableHead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Section/item</w:t>
            </w: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7B888D" w14:textId="77777777" w:rsidR="00880C3F" w:rsidRDefault="00D368A2">
            <w:pPr>
              <w:pStyle w:val="TableHead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Item </w:t>
            </w:r>
            <w:r>
              <w:rPr>
                <w:rFonts w:ascii="Arial" w:hAnsi="Arial" w:cs="Arial"/>
                <w:color w:val="000000"/>
                <w:sz w:val="22"/>
              </w:rPr>
              <w:t>No</w:t>
            </w:r>
          </w:p>
        </w:tc>
        <w:tc>
          <w:tcPr>
            <w:tcW w:w="34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3250ED" w14:textId="77777777" w:rsidR="00880C3F" w:rsidRDefault="00D368A2">
            <w:pPr>
              <w:pStyle w:val="TableHead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Description</w:t>
            </w:r>
          </w:p>
        </w:tc>
        <w:tc>
          <w:tcPr>
            <w:tcW w:w="673" w:type="pct"/>
            <w:tcBorders>
              <w:top w:val="single" w:sz="4" w:space="0" w:color="auto"/>
              <w:bottom w:val="single" w:sz="4" w:space="0" w:color="auto"/>
            </w:tcBorders>
          </w:tcPr>
          <w:p w14:paraId="05578DC9" w14:textId="77777777" w:rsidR="00880C3F" w:rsidRDefault="00D368A2">
            <w:pPr>
              <w:pStyle w:val="TableHead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sz w:val="22"/>
              </w:rPr>
              <w:t>Addressed on page number</w:t>
            </w:r>
          </w:p>
        </w:tc>
      </w:tr>
      <w:tr w:rsidR="00880C3F" w14:paraId="60F62B75" w14:textId="77777777">
        <w:trPr>
          <w:cantSplit/>
          <w:trHeight w:val="259"/>
        </w:trPr>
        <w:tc>
          <w:tcPr>
            <w:tcW w:w="4327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5C99D9D7" w14:textId="77777777" w:rsidR="00880C3F" w:rsidRDefault="00D368A2">
            <w:pPr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Administrative information</w:t>
            </w:r>
          </w:p>
        </w:tc>
        <w:tc>
          <w:tcPr>
            <w:tcW w:w="673" w:type="pct"/>
            <w:tcBorders>
              <w:top w:val="single" w:sz="4" w:space="0" w:color="auto"/>
            </w:tcBorders>
          </w:tcPr>
          <w:p w14:paraId="15470777" w14:textId="77777777" w:rsidR="00880C3F" w:rsidRDefault="00880C3F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880C3F" w14:paraId="584ED8C8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5EEE0F6E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Title</w:t>
            </w:r>
          </w:p>
        </w:tc>
        <w:tc>
          <w:tcPr>
            <w:tcW w:w="238" w:type="pct"/>
          </w:tcPr>
          <w:p w14:paraId="6DD2C65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3406" w:type="pct"/>
            <w:shd w:val="clear" w:color="auto" w:fill="auto"/>
          </w:tcPr>
          <w:p w14:paraId="4A0F5669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Descriptive title identifying the study </w:t>
            </w:r>
            <w:r>
              <w:rPr>
                <w:rFonts w:ascii="Arial" w:hAnsi="Arial" w:cs="Arial"/>
                <w:sz w:val="22"/>
              </w:rPr>
              <w:t>design, population, interventions, and, if applicable, trial acronym</w:t>
            </w:r>
          </w:p>
        </w:tc>
        <w:tc>
          <w:tcPr>
            <w:tcW w:w="673" w:type="pct"/>
          </w:tcPr>
          <w:p w14:paraId="4972E88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880C3F" w14:paraId="5268262D" w14:textId="77777777">
        <w:trPr>
          <w:cantSplit/>
          <w:trHeight w:val="259"/>
        </w:trPr>
        <w:tc>
          <w:tcPr>
            <w:tcW w:w="683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63DF5FC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Trial registration</w:t>
            </w:r>
          </w:p>
        </w:tc>
        <w:tc>
          <w:tcPr>
            <w:tcW w:w="238" w:type="pct"/>
          </w:tcPr>
          <w:p w14:paraId="0B6A171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2a</w:t>
            </w:r>
          </w:p>
        </w:tc>
        <w:tc>
          <w:tcPr>
            <w:tcW w:w="3406" w:type="pct"/>
          </w:tcPr>
          <w:p w14:paraId="0004468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Trial identifier and registry name. If not yet registered, name of intended registry</w:t>
            </w:r>
          </w:p>
        </w:tc>
        <w:tc>
          <w:tcPr>
            <w:tcW w:w="673" w:type="pct"/>
          </w:tcPr>
          <w:p w14:paraId="3F12E1A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</w:p>
        </w:tc>
      </w:tr>
      <w:tr w:rsidR="00880C3F" w14:paraId="73E0632E" w14:textId="77777777">
        <w:trPr>
          <w:cantSplit/>
          <w:trHeight w:val="259"/>
        </w:trPr>
        <w:tc>
          <w:tcPr>
            <w:tcW w:w="683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008D77E0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4E3C729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2b</w:t>
            </w:r>
          </w:p>
        </w:tc>
        <w:tc>
          <w:tcPr>
            <w:tcW w:w="3406" w:type="pct"/>
          </w:tcPr>
          <w:p w14:paraId="0004D6C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All items from the World Health Organization Trial </w:t>
            </w:r>
            <w:r>
              <w:rPr>
                <w:rFonts w:ascii="Arial" w:hAnsi="Arial" w:cs="Arial"/>
                <w:sz w:val="22"/>
              </w:rPr>
              <w:t>Registration Data Set</w:t>
            </w:r>
          </w:p>
        </w:tc>
        <w:tc>
          <w:tcPr>
            <w:tcW w:w="673" w:type="pct"/>
          </w:tcPr>
          <w:p w14:paraId="54AFB5DB" w14:textId="5361BD83" w:rsidR="00880C3F" w:rsidRDefault="003024B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</w:p>
        </w:tc>
      </w:tr>
      <w:tr w:rsidR="00880C3F" w14:paraId="0B9B2D82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0249D48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Protocol version</w:t>
            </w:r>
          </w:p>
        </w:tc>
        <w:tc>
          <w:tcPr>
            <w:tcW w:w="238" w:type="pct"/>
          </w:tcPr>
          <w:p w14:paraId="6569DE7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2989066E" w14:textId="77777777" w:rsidR="00880C3F" w:rsidRDefault="00D368A2">
            <w:pPr>
              <w:rPr>
                <w:rFonts w:ascii="Arial" w:hAnsi="Arial" w:cs="Arial"/>
                <w:sz w:val="22"/>
                <w:highlight w:val="cyan"/>
              </w:rPr>
            </w:pPr>
            <w:r>
              <w:rPr>
                <w:rFonts w:ascii="Arial" w:hAnsi="Arial" w:cs="Arial"/>
                <w:sz w:val="22"/>
              </w:rPr>
              <w:t>Date and version identifier</w:t>
            </w:r>
          </w:p>
        </w:tc>
        <w:tc>
          <w:tcPr>
            <w:tcW w:w="673" w:type="pct"/>
          </w:tcPr>
          <w:p w14:paraId="08C86A1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</w:t>
            </w:r>
          </w:p>
        </w:tc>
      </w:tr>
      <w:tr w:rsidR="00880C3F" w14:paraId="5F320249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5B2D815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Funding</w:t>
            </w:r>
          </w:p>
        </w:tc>
        <w:tc>
          <w:tcPr>
            <w:tcW w:w="238" w:type="pct"/>
          </w:tcPr>
          <w:p w14:paraId="7BC7810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2FAED47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Sources and types of financial, material, and other support</w:t>
            </w:r>
          </w:p>
        </w:tc>
        <w:tc>
          <w:tcPr>
            <w:tcW w:w="673" w:type="pct"/>
          </w:tcPr>
          <w:p w14:paraId="611AE0E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</w:tr>
      <w:tr w:rsidR="00880C3F" w14:paraId="03AD9329" w14:textId="77777777">
        <w:trPr>
          <w:cantSplit/>
          <w:trHeight w:val="259"/>
        </w:trPr>
        <w:tc>
          <w:tcPr>
            <w:tcW w:w="683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1C8E8F9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Roles and responsibilities</w:t>
            </w:r>
          </w:p>
        </w:tc>
        <w:tc>
          <w:tcPr>
            <w:tcW w:w="238" w:type="pct"/>
          </w:tcPr>
          <w:p w14:paraId="2427BBB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5a</w:t>
            </w:r>
          </w:p>
        </w:tc>
        <w:tc>
          <w:tcPr>
            <w:tcW w:w="3406" w:type="pct"/>
          </w:tcPr>
          <w:p w14:paraId="235870B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Names, affiliations, and roles of protocol contributors</w:t>
            </w:r>
          </w:p>
        </w:tc>
        <w:tc>
          <w:tcPr>
            <w:tcW w:w="673" w:type="pct"/>
          </w:tcPr>
          <w:p w14:paraId="12E8AFD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1,14-15</w:t>
            </w:r>
          </w:p>
        </w:tc>
      </w:tr>
      <w:tr w:rsidR="00880C3F" w14:paraId="320F24A7" w14:textId="77777777">
        <w:trPr>
          <w:cantSplit/>
          <w:trHeight w:val="293"/>
        </w:trPr>
        <w:tc>
          <w:tcPr>
            <w:tcW w:w="683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34F34225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733D4C6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5b</w:t>
            </w:r>
          </w:p>
        </w:tc>
        <w:tc>
          <w:tcPr>
            <w:tcW w:w="3406" w:type="pct"/>
          </w:tcPr>
          <w:p w14:paraId="11A8BF6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Name and contact information for the trial sponsor</w:t>
            </w:r>
          </w:p>
        </w:tc>
        <w:tc>
          <w:tcPr>
            <w:tcW w:w="673" w:type="pct"/>
          </w:tcPr>
          <w:p w14:paraId="11C4481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</w:tr>
      <w:tr w:rsidR="00880C3F" w14:paraId="0A7B35A0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09FDE347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6C04CEA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5c</w:t>
            </w:r>
          </w:p>
        </w:tc>
        <w:tc>
          <w:tcPr>
            <w:tcW w:w="3406" w:type="pct"/>
          </w:tcPr>
          <w:p w14:paraId="0F785E1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Role of study sponsor and funders, if any, in study design; collection, management, analysis, and interpretation of data; writing of the report; and the decision to submit the report for publicatio</w:t>
            </w:r>
            <w:r>
              <w:rPr>
                <w:rFonts w:ascii="Arial" w:hAnsi="Arial" w:cs="Arial"/>
                <w:sz w:val="22"/>
              </w:rPr>
              <w:t>n, including whether they will have ultimate authority over any of these activities</w:t>
            </w:r>
          </w:p>
        </w:tc>
        <w:tc>
          <w:tcPr>
            <w:tcW w:w="673" w:type="pct"/>
          </w:tcPr>
          <w:p w14:paraId="17BE8395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  <w:p w14:paraId="02CA9BD6" w14:textId="20E72EC8" w:rsidR="00880C3F" w:rsidRPr="003024B7" w:rsidRDefault="003024B7">
            <w:pPr>
              <w:rPr>
                <w:rFonts w:ascii="Arial" w:hAnsi="Arial" w:cs="Arial"/>
                <w:sz w:val="22"/>
              </w:rPr>
            </w:pPr>
            <w:r w:rsidRPr="003024B7">
              <w:rPr>
                <w:rFonts w:ascii="Arial" w:hAnsi="Arial" w:cs="Arial" w:hint="eastAsia"/>
                <w:sz w:val="22"/>
              </w:rPr>
              <w:t>1</w:t>
            </w:r>
            <w:r w:rsidRPr="003024B7">
              <w:rPr>
                <w:rFonts w:ascii="Arial" w:hAnsi="Arial" w:cs="Arial"/>
                <w:sz w:val="22"/>
              </w:rPr>
              <w:t>5</w:t>
            </w:r>
          </w:p>
          <w:p w14:paraId="31C916C4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</w:tr>
      <w:tr w:rsidR="00880C3F" w14:paraId="5B6351A9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33C4EC21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24A37FE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5d</w:t>
            </w:r>
          </w:p>
        </w:tc>
        <w:tc>
          <w:tcPr>
            <w:tcW w:w="3406" w:type="pct"/>
          </w:tcPr>
          <w:p w14:paraId="2F6DEF66" w14:textId="3B7D2FFB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Composition, roles, and responsibilities of the coordinating </w:t>
            </w:r>
            <w:proofErr w:type="spellStart"/>
            <w:r>
              <w:rPr>
                <w:rFonts w:ascii="Arial" w:hAnsi="Arial" w:cs="Arial"/>
                <w:sz w:val="22"/>
              </w:rPr>
              <w:t>centre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steering committee, endpoint adjudication committee, data management team, and other </w:t>
            </w:r>
            <w:r>
              <w:rPr>
                <w:rFonts w:ascii="Arial" w:hAnsi="Arial" w:cs="Arial"/>
                <w:sz w:val="22"/>
              </w:rPr>
              <w:t>individuals or groups overseeing the trial, if applicable (see Item 21a for data monitoring committee)</w:t>
            </w:r>
            <w:r w:rsidR="007C41E4">
              <w:rPr>
                <w:rFonts w:ascii="Arial" w:hAnsi="Arial" w:cs="Arial"/>
                <w:sz w:val="22"/>
              </w:rPr>
              <w:t xml:space="preserve"> </w:t>
            </w:r>
            <w:r w:rsidR="007C41E4" w:rsidRPr="003558DE">
              <w:rPr>
                <w:rFonts w:ascii="Arial" w:hAnsi="Arial" w:cs="Arial"/>
                <w:color w:val="FF0000"/>
                <w:sz w:val="22"/>
              </w:rPr>
              <w:t xml:space="preserve">Data management relies on a 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 xml:space="preserve">company, which is responsible for maintaining 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>Empower Electronic Data Collection (EDC)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 xml:space="preserve"> and 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 xml:space="preserve">the 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S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 xml:space="preserve">cience and 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T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 xml:space="preserve">echnology 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D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>epartment of the First Affiliated Hospital of Guangzhou University of Chinese Medicine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 xml:space="preserve"> oversee our trial. </w:t>
            </w:r>
            <w:r w:rsidR="004630F5" w:rsidRPr="003558DE">
              <w:rPr>
                <w:rFonts w:ascii="Arial" w:hAnsi="Arial" w:cs="Arial"/>
                <w:color w:val="FF0000"/>
                <w:sz w:val="22"/>
              </w:rPr>
              <w:t>Due to limited conditions, we have not set up special committee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 xml:space="preserve">s for coordinating, steering and endpoint adjudication, but 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 xml:space="preserve">the 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S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 xml:space="preserve">cience and 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T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 xml:space="preserve">echnology 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D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epartment of the First Affiliated Hospital of Guangzhou University of Chinese Medicine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 xml:space="preserve"> and </w:t>
            </w:r>
            <w:r w:rsidR="004F6CD4">
              <w:rPr>
                <w:rFonts w:ascii="Arial" w:hAnsi="Arial" w:cs="Arial"/>
                <w:color w:val="FF0000"/>
                <w:sz w:val="22"/>
              </w:rPr>
              <w:t>t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>he Clinical Trials and Biomedical Ethics Committee of the First Affiliated Hospital of Guangzhou University of Chinese Medicine</w:t>
            </w:r>
            <w:r w:rsidR="006B78D8" w:rsidRPr="003558DE">
              <w:rPr>
                <w:rFonts w:ascii="Arial" w:hAnsi="Arial" w:cs="Arial"/>
                <w:color w:val="FF0000"/>
                <w:sz w:val="22"/>
              </w:rPr>
              <w:t xml:space="preserve"> will together and our group will together take the responsibility.</w:t>
            </w:r>
          </w:p>
        </w:tc>
        <w:tc>
          <w:tcPr>
            <w:tcW w:w="673" w:type="pct"/>
          </w:tcPr>
          <w:p w14:paraId="2785DDEB" w14:textId="77777777" w:rsidR="00880C3F" w:rsidRDefault="00D368A2">
            <w:r>
              <w:rPr>
                <w:rFonts w:ascii="Arial" w:eastAsia="Times New Roman" w:hAnsi="Arial" w:cs="Arial"/>
                <w:kern w:val="0"/>
                <w:sz w:val="22"/>
                <w:lang w:bidi="ar"/>
              </w:rPr>
              <w:t>N/A</w:t>
            </w:r>
          </w:p>
          <w:p w14:paraId="559F4D3F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</w:tr>
      <w:tr w:rsidR="00880C3F" w14:paraId="3AB6DCCC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0C40B031" w14:textId="77777777" w:rsidR="00880C3F" w:rsidRDefault="00D368A2">
            <w:pPr>
              <w:pStyle w:val="TableSubHead"/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Introduction</w:t>
            </w:r>
          </w:p>
        </w:tc>
        <w:tc>
          <w:tcPr>
            <w:tcW w:w="238" w:type="pct"/>
          </w:tcPr>
          <w:p w14:paraId="28B3FB94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406" w:type="pct"/>
            <w:shd w:val="clear" w:color="auto" w:fill="auto"/>
          </w:tcPr>
          <w:p w14:paraId="1BC723F3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73" w:type="pct"/>
          </w:tcPr>
          <w:p w14:paraId="41BAEA2F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</w:tr>
      <w:tr w:rsidR="00880C3F" w14:paraId="39624B45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1441622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>Background and rationale</w:t>
            </w:r>
          </w:p>
        </w:tc>
        <w:tc>
          <w:tcPr>
            <w:tcW w:w="238" w:type="pct"/>
          </w:tcPr>
          <w:p w14:paraId="2B5EC55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6a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6DC642C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Description of research question and justification for undertaking the trial, including summary of </w:t>
            </w:r>
            <w:r>
              <w:rPr>
                <w:rFonts w:ascii="Arial" w:hAnsi="Arial" w:cs="Arial"/>
                <w:sz w:val="22"/>
              </w:rPr>
              <w:t>relevant studies (published and unpublished) examining benefits and harms for each intervention</w:t>
            </w:r>
          </w:p>
        </w:tc>
        <w:tc>
          <w:tcPr>
            <w:tcW w:w="673" w:type="pct"/>
          </w:tcPr>
          <w:p w14:paraId="69FD66E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3-4</w:t>
            </w:r>
          </w:p>
        </w:tc>
      </w:tr>
      <w:tr w:rsidR="00880C3F" w14:paraId="43B42F0F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0AEE6040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75EF23F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6b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72443EE1" w14:textId="6877A7EB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Explanation for choice of comparators</w:t>
            </w:r>
            <w:r w:rsidR="003558DE">
              <w:rPr>
                <w:rFonts w:ascii="Arial" w:hAnsi="Arial" w:cs="Arial" w:hint="eastAsia"/>
                <w:sz w:val="22"/>
              </w:rPr>
              <w:t xml:space="preserve"> </w:t>
            </w:r>
            <w:r w:rsidR="003558DE" w:rsidRPr="003558DE">
              <w:rPr>
                <w:rFonts w:ascii="Arial" w:hAnsi="Arial" w:cs="Arial"/>
                <w:color w:val="FF0000"/>
                <w:sz w:val="22"/>
              </w:rPr>
              <w:t>Based on previous literature, the placebo is appropriate for</w:t>
            </w:r>
            <w:r w:rsidR="003558DE" w:rsidRPr="003558DE">
              <w:rPr>
                <w:rFonts w:ascii="Arial" w:hAnsi="Arial" w:cs="Arial"/>
                <w:color w:val="FF0000"/>
                <w:sz w:val="22"/>
              </w:rPr>
              <w:t xml:space="preserve"> the </w:t>
            </w:r>
            <w:r w:rsidR="003558DE" w:rsidRPr="003558DE">
              <w:rPr>
                <w:rFonts w:ascii="Arial" w:hAnsi="Arial" w:cs="Arial"/>
                <w:color w:val="FF0000"/>
                <w:sz w:val="22"/>
              </w:rPr>
              <w:t>comparator</w:t>
            </w:r>
            <w:r w:rsidR="003558DE" w:rsidRPr="003558DE">
              <w:rPr>
                <w:rFonts w:ascii="Arial" w:hAnsi="Arial" w:cs="Arial"/>
                <w:color w:val="FF0000"/>
                <w:sz w:val="22"/>
              </w:rPr>
              <w:t xml:space="preserve"> in IBS-D.</w:t>
            </w:r>
          </w:p>
        </w:tc>
        <w:tc>
          <w:tcPr>
            <w:tcW w:w="673" w:type="pct"/>
          </w:tcPr>
          <w:p w14:paraId="3F2D30C1" w14:textId="05B28BA0" w:rsidR="00880C3F" w:rsidRPr="003558DE" w:rsidRDefault="003558DE">
            <w:pPr>
              <w:rPr>
                <w:rFonts w:hint="eastAsia"/>
              </w:rPr>
            </w:pPr>
            <w:r>
              <w:rPr>
                <w:rFonts w:ascii="Arial" w:eastAsia="Times New Roman" w:hAnsi="Arial" w:cs="Arial"/>
                <w:kern w:val="0"/>
                <w:sz w:val="22"/>
                <w:lang w:bidi="ar"/>
              </w:rPr>
              <w:t>N/A</w:t>
            </w:r>
          </w:p>
        </w:tc>
      </w:tr>
      <w:tr w:rsidR="00880C3F" w14:paraId="6C325643" w14:textId="77777777">
        <w:trPr>
          <w:cantSplit/>
          <w:trHeight w:val="237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727E2F3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Objectives</w:t>
            </w:r>
          </w:p>
        </w:tc>
        <w:tc>
          <w:tcPr>
            <w:tcW w:w="238" w:type="pct"/>
          </w:tcPr>
          <w:p w14:paraId="6DE5FF8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2B8816C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Specific objectives or hypotheses</w:t>
            </w:r>
          </w:p>
        </w:tc>
        <w:tc>
          <w:tcPr>
            <w:tcW w:w="673" w:type="pct"/>
          </w:tcPr>
          <w:p w14:paraId="1EDF00E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880C3F" w14:paraId="58A0C8B4" w14:textId="77777777">
        <w:trPr>
          <w:cantSplit/>
          <w:trHeight w:val="653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622438F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Trial design</w:t>
            </w:r>
          </w:p>
        </w:tc>
        <w:tc>
          <w:tcPr>
            <w:tcW w:w="238" w:type="pct"/>
          </w:tcPr>
          <w:p w14:paraId="22A9E92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6B61F79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Description of trial design </w:t>
            </w:r>
            <w:r>
              <w:rPr>
                <w:rFonts w:ascii="Arial" w:hAnsi="Arial" w:cs="Arial"/>
                <w:sz w:val="22"/>
              </w:rPr>
              <w:t>including type of trial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parallel group, crossover, factorial, single group), allocation ratio, and framework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superiority, equivalence, noninferiority, exploratory)</w:t>
            </w:r>
          </w:p>
        </w:tc>
        <w:tc>
          <w:tcPr>
            <w:tcW w:w="673" w:type="pct"/>
          </w:tcPr>
          <w:p w14:paraId="28657E0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</w:t>
            </w:r>
          </w:p>
        </w:tc>
      </w:tr>
      <w:tr w:rsidR="00880C3F" w14:paraId="23719629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432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2B408C64" w14:textId="77777777" w:rsidR="00880C3F" w:rsidRDefault="00D368A2">
            <w:pPr>
              <w:pStyle w:val="TableSubHead"/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Methods: Participants, interventions, and outcomes</w:t>
            </w:r>
          </w:p>
        </w:tc>
        <w:tc>
          <w:tcPr>
            <w:tcW w:w="673" w:type="pct"/>
            <w:shd w:val="clear" w:color="auto" w:fill="FFFFFF"/>
          </w:tcPr>
          <w:p w14:paraId="66569A7D" w14:textId="77777777" w:rsidR="00880C3F" w:rsidRDefault="00880C3F">
            <w:pPr>
              <w:pStyle w:val="TableSubHead"/>
              <w:rPr>
                <w:rFonts w:ascii="Arial" w:hAnsi="Arial" w:cs="Arial"/>
                <w:sz w:val="22"/>
              </w:rPr>
            </w:pPr>
          </w:p>
        </w:tc>
      </w:tr>
      <w:tr w:rsidR="00880C3F" w14:paraId="01C72DA4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579A7A2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Study setting</w:t>
            </w:r>
          </w:p>
        </w:tc>
        <w:tc>
          <w:tcPr>
            <w:tcW w:w="238" w:type="pct"/>
          </w:tcPr>
          <w:p w14:paraId="5C4E4E5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9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4321383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Description of study settings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673" w:type="pct"/>
          </w:tcPr>
          <w:p w14:paraId="6C75E46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</w:t>
            </w:r>
          </w:p>
        </w:tc>
      </w:tr>
      <w:tr w:rsidR="00880C3F" w14:paraId="7591881C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512E9C4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Eligibility criteria</w:t>
            </w:r>
          </w:p>
        </w:tc>
        <w:tc>
          <w:tcPr>
            <w:tcW w:w="238" w:type="pct"/>
            <w:shd w:val="clear" w:color="auto" w:fill="FFFFFF"/>
          </w:tcPr>
          <w:p w14:paraId="042F513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264BF65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Inclusion and exclusion criteria for participants.</w:t>
            </w:r>
            <w:r>
              <w:rPr>
                <w:rFonts w:ascii="Arial" w:hAnsi="Arial" w:cs="Arial"/>
                <w:sz w:val="22"/>
              </w:rPr>
              <w:t xml:space="preserve"> If applicable, eligibility criteria for study </w:t>
            </w:r>
            <w:proofErr w:type="spellStart"/>
            <w:r>
              <w:rPr>
                <w:rFonts w:ascii="Arial" w:hAnsi="Arial" w:cs="Arial"/>
                <w:sz w:val="22"/>
              </w:rPr>
              <w:t>centres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and individuals who will perform the interventions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surgeons, psychotherapists)</w:t>
            </w:r>
          </w:p>
        </w:tc>
        <w:tc>
          <w:tcPr>
            <w:tcW w:w="673" w:type="pct"/>
            <w:shd w:val="clear" w:color="auto" w:fill="FFFFFF"/>
          </w:tcPr>
          <w:p w14:paraId="4B361A0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5-6</w:t>
            </w:r>
          </w:p>
        </w:tc>
      </w:tr>
      <w:tr w:rsidR="00880C3F" w14:paraId="0E4D93DB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14:paraId="6B1F86E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Interventions</w:t>
            </w:r>
          </w:p>
        </w:tc>
        <w:tc>
          <w:tcPr>
            <w:tcW w:w="238" w:type="pct"/>
            <w:shd w:val="clear" w:color="auto" w:fill="FFFFFF"/>
          </w:tcPr>
          <w:p w14:paraId="3386C83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11a</w:t>
            </w:r>
          </w:p>
        </w:tc>
        <w:tc>
          <w:tcPr>
            <w:tcW w:w="3406" w:type="pct"/>
            <w:shd w:val="clear" w:color="auto" w:fill="FFFFFF"/>
          </w:tcPr>
          <w:p w14:paraId="54BCF69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Interventions for each group with </w:t>
            </w:r>
            <w:proofErr w:type="gramStart"/>
            <w:r>
              <w:rPr>
                <w:rFonts w:ascii="Arial" w:hAnsi="Arial" w:cs="Arial"/>
                <w:sz w:val="22"/>
              </w:rPr>
              <w:t>sufficient</w:t>
            </w:r>
            <w:proofErr w:type="gramEnd"/>
            <w:r>
              <w:rPr>
                <w:rFonts w:ascii="Arial" w:hAnsi="Arial" w:cs="Arial"/>
                <w:sz w:val="22"/>
              </w:rPr>
              <w:t xml:space="preserve"> detail to allow replication, including how and </w:t>
            </w:r>
            <w:r>
              <w:rPr>
                <w:rFonts w:ascii="Arial" w:hAnsi="Arial" w:cs="Arial"/>
                <w:sz w:val="22"/>
              </w:rPr>
              <w:t>when they will be administered</w:t>
            </w:r>
          </w:p>
          <w:p w14:paraId="704E1484" w14:textId="77777777" w:rsidR="00880C3F" w:rsidRDefault="00880C3F">
            <w:pPr>
              <w:jc w:val="right"/>
              <w:rPr>
                <w:rFonts w:ascii="Arial" w:hAnsi="Arial" w:cs="Arial"/>
                <w:sz w:val="22"/>
              </w:rPr>
            </w:pPr>
          </w:p>
        </w:tc>
        <w:tc>
          <w:tcPr>
            <w:tcW w:w="673" w:type="pct"/>
            <w:shd w:val="clear" w:color="auto" w:fill="FFFFFF"/>
          </w:tcPr>
          <w:p w14:paraId="7E75F539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</w:p>
        </w:tc>
      </w:tr>
      <w:tr w:rsidR="00880C3F" w14:paraId="503C232A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512DEDAF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6A04241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11b</w:t>
            </w:r>
          </w:p>
        </w:tc>
        <w:tc>
          <w:tcPr>
            <w:tcW w:w="3406" w:type="pct"/>
            <w:shd w:val="clear" w:color="auto" w:fill="FFFFFF"/>
          </w:tcPr>
          <w:p w14:paraId="3BE99E89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Criteria for discontinuing or modifying allocated interventions for a given trial participant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drug dose change in response to harms, participant request, or improving/worsening disease)</w:t>
            </w:r>
          </w:p>
        </w:tc>
        <w:tc>
          <w:tcPr>
            <w:tcW w:w="673" w:type="pct"/>
            <w:shd w:val="clear" w:color="auto" w:fill="FFFFFF"/>
          </w:tcPr>
          <w:p w14:paraId="0C73C43E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</w:p>
        </w:tc>
      </w:tr>
      <w:tr w:rsidR="00880C3F" w14:paraId="56B67F87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2E1DD548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498BE88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11c</w:t>
            </w:r>
          </w:p>
        </w:tc>
        <w:tc>
          <w:tcPr>
            <w:tcW w:w="3406" w:type="pct"/>
            <w:shd w:val="clear" w:color="auto" w:fill="FFFFFF"/>
          </w:tcPr>
          <w:p w14:paraId="17642D7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Strategies to improve adherence to intervention protocols, and any procedures for monitoring adherence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drug tablet return, laboratory tests)</w:t>
            </w:r>
          </w:p>
        </w:tc>
        <w:tc>
          <w:tcPr>
            <w:tcW w:w="673" w:type="pct"/>
            <w:shd w:val="clear" w:color="auto" w:fill="FFFFFF"/>
          </w:tcPr>
          <w:p w14:paraId="79308DA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</w:p>
        </w:tc>
      </w:tr>
      <w:tr w:rsidR="00880C3F" w14:paraId="4715D57E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32474BAA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742E88A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11d</w:t>
            </w:r>
          </w:p>
        </w:tc>
        <w:tc>
          <w:tcPr>
            <w:tcW w:w="3406" w:type="pct"/>
            <w:shd w:val="clear" w:color="auto" w:fill="FFFFFF"/>
          </w:tcPr>
          <w:p w14:paraId="383C7A7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Relevant concomitant care and interventions that are permitted or prohibited during the trial</w:t>
            </w:r>
          </w:p>
        </w:tc>
        <w:tc>
          <w:tcPr>
            <w:tcW w:w="673" w:type="pct"/>
            <w:shd w:val="clear" w:color="auto" w:fill="FFFFFF"/>
          </w:tcPr>
          <w:p w14:paraId="033298A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</w:p>
        </w:tc>
      </w:tr>
      <w:tr w:rsidR="00880C3F" w14:paraId="006C95AF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2BAC126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Outco</w:t>
            </w:r>
            <w:r>
              <w:rPr>
                <w:rFonts w:ascii="Arial" w:hAnsi="Arial" w:cs="Arial"/>
                <w:sz w:val="22"/>
              </w:rPr>
              <w:t>mes</w:t>
            </w:r>
          </w:p>
        </w:tc>
        <w:tc>
          <w:tcPr>
            <w:tcW w:w="238" w:type="pct"/>
            <w:shd w:val="clear" w:color="auto" w:fill="FFFFFF"/>
          </w:tcPr>
          <w:p w14:paraId="034BAD4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0944245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Primary, secondary, and other outcomes, including the specific measurement variable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systolic blood pressure), analysis metric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change from baseline, final value, time to event), method of aggregation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median, proportion), and time point</w:t>
            </w:r>
            <w:r>
              <w:rPr>
                <w:rFonts w:ascii="Arial" w:hAnsi="Arial" w:cs="Arial"/>
                <w:sz w:val="22"/>
              </w:rPr>
              <w:t xml:space="preserve"> for each outcome. Explanation of the clinical relevance of chosen efficacy and harm outcomes is strongly recommended</w:t>
            </w:r>
          </w:p>
        </w:tc>
        <w:tc>
          <w:tcPr>
            <w:tcW w:w="673" w:type="pct"/>
            <w:shd w:val="clear" w:color="auto" w:fill="FFFFFF"/>
          </w:tcPr>
          <w:p w14:paraId="1631D387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  <w:p w14:paraId="108CB0F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9-10</w:t>
            </w:r>
          </w:p>
        </w:tc>
      </w:tr>
      <w:tr w:rsidR="00880C3F" w14:paraId="1DB2F933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60B7160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Participant timeline</w:t>
            </w:r>
          </w:p>
        </w:tc>
        <w:tc>
          <w:tcPr>
            <w:tcW w:w="238" w:type="pct"/>
            <w:shd w:val="clear" w:color="auto" w:fill="FFFFFF"/>
          </w:tcPr>
          <w:p w14:paraId="6AD4FC9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07EC46F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Time schedule of enrolment, interventions (including any run-ins and washouts), assessments, and </w:t>
            </w:r>
            <w:r>
              <w:rPr>
                <w:rFonts w:ascii="Arial" w:hAnsi="Arial" w:cs="Arial"/>
                <w:sz w:val="22"/>
              </w:rPr>
              <w:t>visits for participants. A schematic diagram is highly recommended (see figure)</w:t>
            </w:r>
          </w:p>
        </w:tc>
        <w:tc>
          <w:tcPr>
            <w:tcW w:w="673" w:type="pct"/>
            <w:shd w:val="clear" w:color="auto" w:fill="FFFFFF"/>
          </w:tcPr>
          <w:p w14:paraId="0E6A43A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5, Figure 1,2</w:t>
            </w:r>
          </w:p>
        </w:tc>
      </w:tr>
      <w:tr w:rsidR="00880C3F" w14:paraId="659F3D49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760ED99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Sample size</w:t>
            </w:r>
          </w:p>
        </w:tc>
        <w:tc>
          <w:tcPr>
            <w:tcW w:w="238" w:type="pct"/>
            <w:shd w:val="clear" w:color="auto" w:fill="FFFFFF"/>
          </w:tcPr>
          <w:p w14:paraId="32BE5B4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14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4BC1BD7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Estimated number of participants needed to achieve study objectives and how it was determined, including clinical and statistical assumptions supp</w:t>
            </w:r>
            <w:r>
              <w:rPr>
                <w:rFonts w:ascii="Arial" w:hAnsi="Arial" w:cs="Arial"/>
                <w:sz w:val="22"/>
              </w:rPr>
              <w:t>orting any sample size calculations</w:t>
            </w:r>
          </w:p>
        </w:tc>
        <w:tc>
          <w:tcPr>
            <w:tcW w:w="673" w:type="pct"/>
            <w:shd w:val="clear" w:color="auto" w:fill="FFFFFF"/>
          </w:tcPr>
          <w:p w14:paraId="628D666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10-11</w:t>
            </w:r>
          </w:p>
        </w:tc>
      </w:tr>
      <w:tr w:rsidR="00880C3F" w14:paraId="04398FE2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28FF039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Recruitment</w:t>
            </w:r>
          </w:p>
        </w:tc>
        <w:tc>
          <w:tcPr>
            <w:tcW w:w="238" w:type="pct"/>
            <w:shd w:val="clear" w:color="auto" w:fill="FFFFFF"/>
          </w:tcPr>
          <w:p w14:paraId="5A3AA60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17004E6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Strategies for achieving adequate participant enrolment to reach target sample size</w:t>
            </w:r>
          </w:p>
        </w:tc>
        <w:tc>
          <w:tcPr>
            <w:tcW w:w="673" w:type="pct"/>
            <w:shd w:val="clear" w:color="auto" w:fill="FFFFFF"/>
          </w:tcPr>
          <w:p w14:paraId="01CBD86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</w:t>
            </w:r>
          </w:p>
        </w:tc>
      </w:tr>
      <w:tr w:rsidR="00880C3F" w14:paraId="71AF3896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432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2F5187E1" w14:textId="77777777" w:rsidR="00880C3F" w:rsidRDefault="00D368A2">
            <w:pPr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lastRenderedPageBreak/>
              <w:t>Methods: Assignment of interventions (for controlled trials)</w:t>
            </w:r>
          </w:p>
        </w:tc>
        <w:tc>
          <w:tcPr>
            <w:tcW w:w="673" w:type="pct"/>
            <w:shd w:val="clear" w:color="auto" w:fill="FFFFFF"/>
          </w:tcPr>
          <w:p w14:paraId="65D684BD" w14:textId="77777777" w:rsidR="00880C3F" w:rsidRDefault="00880C3F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880C3F" w14:paraId="45B11E04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6A1AC6A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Allocation:</w:t>
            </w:r>
          </w:p>
        </w:tc>
        <w:tc>
          <w:tcPr>
            <w:tcW w:w="238" w:type="pct"/>
            <w:shd w:val="clear" w:color="auto" w:fill="FFFFFF"/>
          </w:tcPr>
          <w:p w14:paraId="2042FD4F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44FC8BFA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73" w:type="pct"/>
            <w:shd w:val="clear" w:color="auto" w:fill="FFFFFF"/>
          </w:tcPr>
          <w:p w14:paraId="2792CC37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</w:tr>
      <w:tr w:rsidR="00880C3F" w14:paraId="42F518A5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36D95698" w14:textId="77777777" w:rsidR="00880C3F" w:rsidRDefault="00D368A2">
            <w:pPr>
              <w:tabs>
                <w:tab w:val="left" w:pos="180"/>
              </w:tabs>
              <w:ind w:left="2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Sequence generation</w:t>
            </w:r>
          </w:p>
        </w:tc>
        <w:tc>
          <w:tcPr>
            <w:tcW w:w="238" w:type="pct"/>
            <w:shd w:val="clear" w:color="auto" w:fill="FFFFFF"/>
          </w:tcPr>
          <w:p w14:paraId="4ADBE89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16a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717623B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Method of generating the allocation sequence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blocking) should be provided in a separ</w:t>
            </w:r>
            <w:r>
              <w:rPr>
                <w:rFonts w:ascii="Arial" w:hAnsi="Arial" w:cs="Arial"/>
                <w:sz w:val="22"/>
              </w:rPr>
              <w:t xml:space="preserve">ate document that is unavailable to those who </w:t>
            </w:r>
            <w:proofErr w:type="spellStart"/>
            <w:r>
              <w:rPr>
                <w:rFonts w:ascii="Arial" w:hAnsi="Arial" w:cs="Arial"/>
                <w:sz w:val="22"/>
              </w:rPr>
              <w:t>enrol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participants or assign interventions</w:t>
            </w:r>
          </w:p>
        </w:tc>
        <w:tc>
          <w:tcPr>
            <w:tcW w:w="673" w:type="pct"/>
            <w:shd w:val="clear" w:color="auto" w:fill="FFFFFF"/>
          </w:tcPr>
          <w:p w14:paraId="5C444AC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</w:tr>
      <w:tr w:rsidR="00880C3F" w14:paraId="79D3B52E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4FBF4ACE" w14:textId="77777777" w:rsidR="00880C3F" w:rsidRDefault="00D368A2">
            <w:pPr>
              <w:ind w:left="2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Allocation concealment mechanism</w:t>
            </w:r>
          </w:p>
        </w:tc>
        <w:tc>
          <w:tcPr>
            <w:tcW w:w="238" w:type="pct"/>
            <w:shd w:val="clear" w:color="auto" w:fill="FFFFFF"/>
          </w:tcPr>
          <w:p w14:paraId="78A5AB0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16b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069E545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Mechanism of implementing the allocation sequence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central telephone; sequentially numbered, opaque, sealed envelopes), des</w:t>
            </w:r>
            <w:r>
              <w:rPr>
                <w:rFonts w:ascii="Arial" w:hAnsi="Arial" w:cs="Arial"/>
                <w:sz w:val="22"/>
              </w:rPr>
              <w:t>cribing any steps to conceal the sequence until interventions are assigned</w:t>
            </w:r>
          </w:p>
        </w:tc>
        <w:tc>
          <w:tcPr>
            <w:tcW w:w="673" w:type="pct"/>
            <w:shd w:val="clear" w:color="auto" w:fill="FFFFFF"/>
          </w:tcPr>
          <w:p w14:paraId="0315E3E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</w:tr>
      <w:tr w:rsidR="00880C3F" w14:paraId="7577E166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49DA9761" w14:textId="77777777" w:rsidR="00880C3F" w:rsidRDefault="00D368A2">
            <w:pPr>
              <w:ind w:left="27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Implementation</w:t>
            </w:r>
          </w:p>
        </w:tc>
        <w:tc>
          <w:tcPr>
            <w:tcW w:w="238" w:type="pct"/>
            <w:shd w:val="clear" w:color="auto" w:fill="FFFFFF"/>
          </w:tcPr>
          <w:p w14:paraId="61EE43C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16c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0CAACD1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Who will generate the allocation sequence, who will </w:t>
            </w:r>
            <w:proofErr w:type="spellStart"/>
            <w:r>
              <w:rPr>
                <w:rFonts w:ascii="Arial" w:hAnsi="Arial" w:cs="Arial"/>
                <w:sz w:val="22"/>
              </w:rPr>
              <w:t>enrol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participants, and who will assign participants to interventions</w:t>
            </w:r>
          </w:p>
        </w:tc>
        <w:tc>
          <w:tcPr>
            <w:tcW w:w="673" w:type="pct"/>
            <w:shd w:val="clear" w:color="auto" w:fill="FFFFFF"/>
          </w:tcPr>
          <w:p w14:paraId="0F8B7E4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</w:tr>
      <w:tr w:rsidR="00880C3F" w14:paraId="491537D7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130EF91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Blinding (masking)</w:t>
            </w:r>
          </w:p>
        </w:tc>
        <w:tc>
          <w:tcPr>
            <w:tcW w:w="238" w:type="pct"/>
            <w:shd w:val="clear" w:color="auto" w:fill="FFFFFF"/>
          </w:tcPr>
          <w:p w14:paraId="4075FA7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17a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091743D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Who </w:t>
            </w:r>
            <w:r>
              <w:rPr>
                <w:rFonts w:ascii="Arial" w:hAnsi="Arial" w:cs="Arial"/>
                <w:sz w:val="22"/>
              </w:rPr>
              <w:t>will be blinded after assignment to interventions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trial participants, care providers, outcome assessors, data analysts), and how</w:t>
            </w:r>
          </w:p>
        </w:tc>
        <w:tc>
          <w:tcPr>
            <w:tcW w:w="673" w:type="pct"/>
            <w:shd w:val="clear" w:color="auto" w:fill="FFFFFF"/>
          </w:tcPr>
          <w:p w14:paraId="5C91311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</w:tr>
      <w:tr w:rsidR="00880C3F" w14:paraId="01C1E508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4E0C0FF1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3FCC6C6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17b</w:t>
            </w:r>
          </w:p>
        </w:tc>
        <w:tc>
          <w:tcPr>
            <w:tcW w:w="3406" w:type="pct"/>
            <w:shd w:val="clear" w:color="auto" w:fill="FFFFFF"/>
          </w:tcPr>
          <w:p w14:paraId="2067EC8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If blinded, circumstances under which unblinding is permissible, and procedure for revealing a participant’s alloc</w:t>
            </w:r>
            <w:r>
              <w:rPr>
                <w:rFonts w:ascii="Arial" w:hAnsi="Arial" w:cs="Arial"/>
                <w:sz w:val="22"/>
              </w:rPr>
              <w:t>ated intervention during the trial</w:t>
            </w:r>
          </w:p>
        </w:tc>
        <w:tc>
          <w:tcPr>
            <w:tcW w:w="673" w:type="pct"/>
            <w:shd w:val="clear" w:color="auto" w:fill="FFFFFF"/>
          </w:tcPr>
          <w:p w14:paraId="4DE9147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</w:tr>
      <w:tr w:rsidR="00880C3F" w14:paraId="6E5F072C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432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067C1D4E" w14:textId="77777777" w:rsidR="00880C3F" w:rsidRDefault="00D368A2">
            <w:pPr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Methods: Data collection, management, and analysis</w:t>
            </w:r>
          </w:p>
        </w:tc>
        <w:tc>
          <w:tcPr>
            <w:tcW w:w="673" w:type="pct"/>
            <w:shd w:val="clear" w:color="auto" w:fill="FFFFFF"/>
          </w:tcPr>
          <w:p w14:paraId="627CF20F" w14:textId="77777777" w:rsidR="00880C3F" w:rsidRDefault="00880C3F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880C3F" w14:paraId="47DD76ED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4EA31CD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Data collection methods</w:t>
            </w:r>
          </w:p>
        </w:tc>
        <w:tc>
          <w:tcPr>
            <w:tcW w:w="238" w:type="pct"/>
            <w:shd w:val="clear" w:color="auto" w:fill="FFFFFF"/>
          </w:tcPr>
          <w:p w14:paraId="6295654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18a</w:t>
            </w:r>
          </w:p>
        </w:tc>
        <w:tc>
          <w:tcPr>
            <w:tcW w:w="3406" w:type="pct"/>
            <w:shd w:val="clear" w:color="auto" w:fill="FFFFFF"/>
          </w:tcPr>
          <w:p w14:paraId="185A3499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Plans for assessment and collection of outcome, baseline, and other trial data, including any </w:t>
            </w:r>
            <w:r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duplicate measurements, training of assessors) and a description of study instruments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questionnaires, laborato</w:t>
            </w:r>
            <w:r>
              <w:rPr>
                <w:rFonts w:ascii="Arial" w:hAnsi="Arial" w:cs="Arial"/>
                <w:sz w:val="22"/>
              </w:rPr>
              <w:t>ry tests) along with their reliability and validity, if known. Reference to where data collection forms can be found, if not in the protocol</w:t>
            </w:r>
          </w:p>
        </w:tc>
        <w:tc>
          <w:tcPr>
            <w:tcW w:w="673" w:type="pct"/>
            <w:shd w:val="clear" w:color="auto" w:fill="FFFFFF"/>
          </w:tcPr>
          <w:p w14:paraId="57A09E1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9-11</w:t>
            </w:r>
          </w:p>
        </w:tc>
      </w:tr>
      <w:tr w:rsidR="00880C3F" w14:paraId="5079EA4C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16284023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2131309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18b</w:t>
            </w:r>
          </w:p>
        </w:tc>
        <w:tc>
          <w:tcPr>
            <w:tcW w:w="3406" w:type="pct"/>
            <w:shd w:val="clear" w:color="auto" w:fill="FFFFFF"/>
          </w:tcPr>
          <w:p w14:paraId="7722F62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Plans to promote participant retention and complete follow-up, including list of any outcome data to </w:t>
            </w:r>
            <w:r>
              <w:rPr>
                <w:rFonts w:ascii="Arial" w:hAnsi="Arial" w:cs="Arial"/>
                <w:sz w:val="22"/>
              </w:rPr>
              <w:t>be collected for participants who discontinue or deviate from intervention protocols</w:t>
            </w:r>
          </w:p>
        </w:tc>
        <w:tc>
          <w:tcPr>
            <w:tcW w:w="673" w:type="pct"/>
            <w:shd w:val="clear" w:color="auto" w:fill="FFFFFF"/>
          </w:tcPr>
          <w:p w14:paraId="134B72A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</w:t>
            </w:r>
          </w:p>
        </w:tc>
      </w:tr>
      <w:tr w:rsidR="00880C3F" w14:paraId="21053D61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701E54F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Data management</w:t>
            </w:r>
          </w:p>
        </w:tc>
        <w:tc>
          <w:tcPr>
            <w:tcW w:w="238" w:type="pct"/>
            <w:shd w:val="clear" w:color="auto" w:fill="FFFFFF"/>
          </w:tcPr>
          <w:p w14:paraId="56ADEB5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19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6929FBD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Plans for data entry, coding, security, and storage, including any </w:t>
            </w:r>
            <w:r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double data entry</w:t>
            </w:r>
            <w:r>
              <w:rPr>
                <w:rFonts w:ascii="Arial" w:hAnsi="Arial" w:cs="Arial"/>
                <w:bCs/>
                <w:sz w:val="22"/>
              </w:rPr>
              <w:t>; range checks fo</w:t>
            </w:r>
            <w:r>
              <w:rPr>
                <w:rFonts w:ascii="Arial" w:hAnsi="Arial" w:cs="Arial"/>
                <w:bCs/>
                <w:sz w:val="22"/>
              </w:rPr>
              <w:t>r data values</w:t>
            </w:r>
            <w:r>
              <w:rPr>
                <w:rFonts w:ascii="Arial" w:hAnsi="Arial" w:cs="Arial"/>
                <w:sz w:val="22"/>
              </w:rPr>
              <w:t>). Reference to where details of data management procedures can be found, if not in the protocol</w:t>
            </w:r>
          </w:p>
        </w:tc>
        <w:tc>
          <w:tcPr>
            <w:tcW w:w="673" w:type="pct"/>
            <w:shd w:val="clear" w:color="auto" w:fill="FFFFFF"/>
          </w:tcPr>
          <w:p w14:paraId="0AB01AE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</w:t>
            </w:r>
          </w:p>
        </w:tc>
      </w:tr>
      <w:tr w:rsidR="00880C3F" w14:paraId="4C3A8145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611078D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Statistical methods</w:t>
            </w:r>
          </w:p>
        </w:tc>
        <w:tc>
          <w:tcPr>
            <w:tcW w:w="238" w:type="pct"/>
            <w:shd w:val="clear" w:color="auto" w:fill="FFFFFF"/>
          </w:tcPr>
          <w:p w14:paraId="4FF7EE2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20a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7578FEA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Statistical methods for </w:t>
            </w:r>
            <w:proofErr w:type="spellStart"/>
            <w:r>
              <w:rPr>
                <w:rFonts w:ascii="Arial" w:hAnsi="Arial" w:cs="Arial"/>
                <w:sz w:val="22"/>
              </w:rPr>
              <w:t>analysing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primary and secondary outcomes. Reference to where other details of the </w:t>
            </w:r>
            <w:r>
              <w:rPr>
                <w:rFonts w:ascii="Arial" w:hAnsi="Arial" w:cs="Arial"/>
                <w:sz w:val="22"/>
              </w:rPr>
              <w:t>statistical analysis plan can be found, if not in the protocol</w:t>
            </w:r>
          </w:p>
        </w:tc>
        <w:tc>
          <w:tcPr>
            <w:tcW w:w="673" w:type="pct"/>
            <w:shd w:val="clear" w:color="auto" w:fill="FFFFFF"/>
          </w:tcPr>
          <w:p w14:paraId="3DCF13E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11-12</w:t>
            </w:r>
          </w:p>
        </w:tc>
      </w:tr>
      <w:tr w:rsidR="00880C3F" w14:paraId="253F010F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7B7E086F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2D16786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20b</w:t>
            </w:r>
          </w:p>
        </w:tc>
        <w:tc>
          <w:tcPr>
            <w:tcW w:w="3406" w:type="pct"/>
            <w:shd w:val="clear" w:color="auto" w:fill="FFFFFF"/>
          </w:tcPr>
          <w:p w14:paraId="52158E1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Methods for any additional analyses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subgroup and adjusted analyses)</w:t>
            </w:r>
          </w:p>
        </w:tc>
        <w:tc>
          <w:tcPr>
            <w:tcW w:w="673" w:type="pct"/>
            <w:shd w:val="clear" w:color="auto" w:fill="FFFFFF"/>
          </w:tcPr>
          <w:p w14:paraId="1FF8C23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11-12</w:t>
            </w:r>
          </w:p>
        </w:tc>
      </w:tr>
      <w:tr w:rsidR="00880C3F" w14:paraId="018DA712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7D1870D1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2DACEFF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20c</w:t>
            </w:r>
          </w:p>
        </w:tc>
        <w:tc>
          <w:tcPr>
            <w:tcW w:w="3406" w:type="pct"/>
            <w:shd w:val="clear" w:color="auto" w:fill="FFFFFF"/>
          </w:tcPr>
          <w:p w14:paraId="5E7FDD0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Definition of analysis population relating to protocol non-adherence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, as </w:t>
            </w:r>
            <w:proofErr w:type="spellStart"/>
            <w:r>
              <w:rPr>
                <w:rFonts w:ascii="Arial" w:hAnsi="Arial" w:cs="Arial"/>
                <w:sz w:val="22"/>
              </w:rPr>
              <w:t>randomised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analysis), and any statistical methods to handle missing data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multiple imputation)</w:t>
            </w:r>
          </w:p>
        </w:tc>
        <w:tc>
          <w:tcPr>
            <w:tcW w:w="673" w:type="pct"/>
            <w:shd w:val="clear" w:color="auto" w:fill="FFFFFF"/>
          </w:tcPr>
          <w:p w14:paraId="6A4F5C1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11-12</w:t>
            </w:r>
          </w:p>
        </w:tc>
      </w:tr>
      <w:tr w:rsidR="00880C3F" w14:paraId="0960B680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4327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324F0B8C" w14:textId="77777777" w:rsidR="00880C3F" w:rsidRDefault="00D368A2">
            <w:pPr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Methods: Monitoring</w:t>
            </w:r>
          </w:p>
        </w:tc>
        <w:tc>
          <w:tcPr>
            <w:tcW w:w="673" w:type="pct"/>
            <w:shd w:val="clear" w:color="auto" w:fill="FFFFFF"/>
          </w:tcPr>
          <w:p w14:paraId="1D7AC192" w14:textId="77777777" w:rsidR="00880C3F" w:rsidRDefault="00880C3F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880C3F" w14:paraId="5162688A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5E460E0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Data monitoring</w:t>
            </w:r>
          </w:p>
        </w:tc>
        <w:tc>
          <w:tcPr>
            <w:tcW w:w="238" w:type="pct"/>
            <w:shd w:val="clear" w:color="auto" w:fill="FFFFFF"/>
          </w:tcPr>
          <w:p w14:paraId="4094E33E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21a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2ADEA8A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</w:t>
            </w:r>
            <w:r>
              <w:rPr>
                <w:rFonts w:ascii="Arial" w:hAnsi="Arial" w:cs="Arial"/>
                <w:sz w:val="22"/>
              </w:rPr>
              <w:t xml:space="preserve">he protocol. Alternatively, an explanation of why a DMC is not needed </w:t>
            </w:r>
          </w:p>
        </w:tc>
        <w:tc>
          <w:tcPr>
            <w:tcW w:w="673" w:type="pct"/>
            <w:shd w:val="clear" w:color="auto" w:fill="FFFFFF"/>
          </w:tcPr>
          <w:p w14:paraId="3AF7D99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</w:t>
            </w:r>
          </w:p>
        </w:tc>
      </w:tr>
      <w:tr w:rsidR="00880C3F" w14:paraId="55B0D421" w14:textId="77777777">
        <w:tblPrEx>
          <w:shd w:val="clear" w:color="auto" w:fill="FFFFFF"/>
        </w:tblPrEx>
        <w:trPr>
          <w:cantSplit/>
          <w:trHeight w:val="491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4751604E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  <w:shd w:val="clear" w:color="auto" w:fill="FFFFFF"/>
          </w:tcPr>
          <w:p w14:paraId="17E878F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21b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4C74588B" w14:textId="084D40C1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Description of any interim analyses and stopping guidelines, including who will have access to these interim results and make the final decision </w:t>
            </w:r>
            <w:bookmarkStart w:id="0" w:name="_Hlk39330325"/>
            <w:r>
              <w:rPr>
                <w:rFonts w:ascii="Arial" w:hAnsi="Arial" w:cs="Arial"/>
                <w:sz w:val="22"/>
              </w:rPr>
              <w:t>to terminate the trial</w:t>
            </w:r>
            <w:bookmarkEnd w:id="0"/>
            <w:r w:rsidR="003558DE">
              <w:rPr>
                <w:rFonts w:ascii="Arial" w:hAnsi="Arial" w:cs="Arial"/>
                <w:sz w:val="22"/>
              </w:rPr>
              <w:t xml:space="preserve"> </w:t>
            </w:r>
            <w:r w:rsidR="003558DE" w:rsidRPr="00436F77">
              <w:rPr>
                <w:rFonts w:ascii="Arial" w:hAnsi="Arial" w:cs="Arial"/>
                <w:color w:val="FF0000"/>
                <w:sz w:val="22"/>
              </w:rPr>
              <w:t xml:space="preserve">Our study design does not include </w:t>
            </w:r>
            <w:r w:rsidR="003558DE" w:rsidRPr="00436F77">
              <w:rPr>
                <w:rFonts w:ascii="Arial" w:hAnsi="Arial" w:cs="Arial"/>
                <w:color w:val="FF0000"/>
                <w:sz w:val="22"/>
              </w:rPr>
              <w:t>interim</w:t>
            </w:r>
            <w:r w:rsidR="003558DE" w:rsidRPr="00436F77">
              <w:rPr>
                <w:rFonts w:ascii="Arial" w:hAnsi="Arial" w:cs="Arial"/>
                <w:color w:val="FF0000"/>
                <w:sz w:val="22"/>
              </w:rPr>
              <w:t xml:space="preserve"> analysis</w:t>
            </w:r>
            <w:r w:rsidR="00436F77">
              <w:rPr>
                <w:rFonts w:ascii="Arial" w:hAnsi="Arial" w:cs="Arial"/>
                <w:color w:val="FF0000"/>
                <w:sz w:val="22"/>
              </w:rPr>
              <w:t>.</w:t>
            </w:r>
          </w:p>
        </w:tc>
        <w:tc>
          <w:tcPr>
            <w:tcW w:w="673" w:type="pct"/>
            <w:shd w:val="clear" w:color="auto" w:fill="FFFFFF"/>
          </w:tcPr>
          <w:p w14:paraId="26759FAB" w14:textId="77777777" w:rsidR="00880C3F" w:rsidRDefault="00D368A2">
            <w:r>
              <w:rPr>
                <w:rFonts w:ascii="Arial" w:eastAsia="Times New Roman" w:hAnsi="Arial" w:cs="Arial"/>
                <w:kern w:val="0"/>
                <w:sz w:val="22"/>
                <w:lang w:bidi="ar"/>
              </w:rPr>
              <w:t>N/A</w:t>
            </w:r>
          </w:p>
          <w:p w14:paraId="097B2E6D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</w:tr>
      <w:tr w:rsidR="00880C3F" w14:paraId="05051217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7BC6C93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Harms</w:t>
            </w:r>
          </w:p>
        </w:tc>
        <w:tc>
          <w:tcPr>
            <w:tcW w:w="238" w:type="pct"/>
            <w:shd w:val="clear" w:color="auto" w:fill="FFFFFF"/>
          </w:tcPr>
          <w:p w14:paraId="1422D51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22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1754D81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673" w:type="pct"/>
            <w:shd w:val="clear" w:color="auto" w:fill="FFFFFF"/>
          </w:tcPr>
          <w:p w14:paraId="2CF318A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</w:t>
            </w:r>
          </w:p>
        </w:tc>
      </w:tr>
      <w:tr w:rsidR="00880C3F" w14:paraId="6D4A7F04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2E93ACE9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Auditing</w:t>
            </w:r>
          </w:p>
        </w:tc>
        <w:tc>
          <w:tcPr>
            <w:tcW w:w="238" w:type="pct"/>
            <w:shd w:val="clear" w:color="auto" w:fill="FFFFFF"/>
          </w:tcPr>
          <w:p w14:paraId="725D351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23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7CCABA5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Frequency and procedures for auditing trial </w:t>
            </w:r>
            <w:r>
              <w:rPr>
                <w:rFonts w:ascii="Arial" w:hAnsi="Arial" w:cs="Arial"/>
                <w:sz w:val="22"/>
              </w:rPr>
              <w:t>conduct, if any, and whether the process will be independent from investigators and the sponsor</w:t>
            </w:r>
          </w:p>
        </w:tc>
        <w:tc>
          <w:tcPr>
            <w:tcW w:w="673" w:type="pct"/>
            <w:shd w:val="clear" w:color="auto" w:fill="FFFFFF"/>
          </w:tcPr>
          <w:p w14:paraId="085CDB02" w14:textId="7964BF4F" w:rsidR="00880C3F" w:rsidRDefault="00446CCD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</w:t>
            </w:r>
          </w:p>
        </w:tc>
      </w:tr>
      <w:tr w:rsidR="00880C3F" w14:paraId="6800BB8F" w14:textId="77777777">
        <w:trPr>
          <w:cantSplit/>
          <w:trHeight w:val="259"/>
        </w:trPr>
        <w:tc>
          <w:tcPr>
            <w:tcW w:w="4327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14:paraId="5DF7AB7F" w14:textId="77777777" w:rsidR="00880C3F" w:rsidRDefault="00D368A2">
            <w:pPr>
              <w:pStyle w:val="TableSubHead"/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Ethics and dissemination</w:t>
            </w:r>
          </w:p>
        </w:tc>
        <w:tc>
          <w:tcPr>
            <w:tcW w:w="673" w:type="pct"/>
          </w:tcPr>
          <w:p w14:paraId="017B0879" w14:textId="77777777" w:rsidR="00880C3F" w:rsidRDefault="00880C3F">
            <w:pPr>
              <w:pStyle w:val="TableSubHead"/>
              <w:rPr>
                <w:rFonts w:ascii="Arial" w:hAnsi="Arial" w:cs="Arial"/>
                <w:sz w:val="22"/>
              </w:rPr>
            </w:pPr>
          </w:p>
        </w:tc>
      </w:tr>
      <w:tr w:rsidR="00880C3F" w14:paraId="7680A904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7F28403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Research ethics approval</w:t>
            </w:r>
          </w:p>
        </w:tc>
        <w:tc>
          <w:tcPr>
            <w:tcW w:w="238" w:type="pct"/>
          </w:tcPr>
          <w:p w14:paraId="4634F039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24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77F09DF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Plans for seeking research ethics committee/institutional review board (REC/IRB) approval</w:t>
            </w:r>
          </w:p>
        </w:tc>
        <w:tc>
          <w:tcPr>
            <w:tcW w:w="673" w:type="pct"/>
          </w:tcPr>
          <w:p w14:paraId="64E9C03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</w:tr>
      <w:tr w:rsidR="00880C3F" w14:paraId="18D34D9C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40E0FBE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Protocol amendments</w:t>
            </w:r>
          </w:p>
        </w:tc>
        <w:tc>
          <w:tcPr>
            <w:tcW w:w="238" w:type="pct"/>
          </w:tcPr>
          <w:p w14:paraId="122BE9A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25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39AEF89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Plans for communicating important protocol modifications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changes to eligibility criteria, outcomes, analyses) to relevant parties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investigators, REC/IRBs, trial participants, trial registries, journals, regulators)</w:t>
            </w:r>
          </w:p>
        </w:tc>
        <w:tc>
          <w:tcPr>
            <w:tcW w:w="673" w:type="pct"/>
          </w:tcPr>
          <w:p w14:paraId="0882B12A" w14:textId="644D11EE" w:rsidR="00880C3F" w:rsidRDefault="00565DA9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880C3F" w14:paraId="28E87EA5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7D5519B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Consent or assent</w:t>
            </w:r>
          </w:p>
        </w:tc>
        <w:tc>
          <w:tcPr>
            <w:tcW w:w="238" w:type="pct"/>
          </w:tcPr>
          <w:p w14:paraId="44C926C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26a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73E06B7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Who will obtain informed consent or assent from potential trial participants or </w:t>
            </w:r>
            <w:proofErr w:type="spellStart"/>
            <w:r>
              <w:rPr>
                <w:rFonts w:ascii="Arial" w:hAnsi="Arial" w:cs="Arial"/>
                <w:sz w:val="22"/>
              </w:rPr>
              <w:t>authorised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surrogates, and how (see Item 32)</w:t>
            </w:r>
          </w:p>
        </w:tc>
        <w:tc>
          <w:tcPr>
            <w:tcW w:w="673" w:type="pct"/>
          </w:tcPr>
          <w:p w14:paraId="03888F2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</w:tr>
      <w:tr w:rsidR="00880C3F" w14:paraId="6106C9A6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7A4F519C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4FFACD6D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26b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63A79CE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Additional consent provisions for collection and use of participant data and biological specimens in</w:t>
            </w:r>
            <w:r>
              <w:rPr>
                <w:rFonts w:ascii="Arial" w:hAnsi="Arial" w:cs="Arial"/>
                <w:sz w:val="22"/>
              </w:rPr>
              <w:t xml:space="preserve"> ancillary studies, if applicable</w:t>
            </w:r>
          </w:p>
        </w:tc>
        <w:tc>
          <w:tcPr>
            <w:tcW w:w="673" w:type="pct"/>
          </w:tcPr>
          <w:p w14:paraId="303AF64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</w:t>
            </w:r>
          </w:p>
        </w:tc>
      </w:tr>
      <w:tr w:rsidR="00880C3F" w14:paraId="443D886F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5C72C68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Confidentiality</w:t>
            </w:r>
          </w:p>
        </w:tc>
        <w:tc>
          <w:tcPr>
            <w:tcW w:w="238" w:type="pct"/>
          </w:tcPr>
          <w:p w14:paraId="3A38535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27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1DE0E51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673" w:type="pct"/>
          </w:tcPr>
          <w:p w14:paraId="57C1E365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11</w:t>
            </w:r>
          </w:p>
        </w:tc>
      </w:tr>
      <w:tr w:rsidR="00880C3F" w14:paraId="20FAB4CF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07A7F600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Declaration of </w:t>
            </w:r>
            <w:r>
              <w:rPr>
                <w:rFonts w:ascii="Arial" w:hAnsi="Arial" w:cs="Arial"/>
                <w:sz w:val="22"/>
              </w:rPr>
              <w:t>interests</w:t>
            </w:r>
          </w:p>
        </w:tc>
        <w:tc>
          <w:tcPr>
            <w:tcW w:w="238" w:type="pct"/>
          </w:tcPr>
          <w:p w14:paraId="5195122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28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5EE625D4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673" w:type="pct"/>
          </w:tcPr>
          <w:p w14:paraId="3E4610AE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</w:tr>
      <w:tr w:rsidR="00880C3F" w14:paraId="3837C655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4CF73B9F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Access to data</w:t>
            </w:r>
          </w:p>
        </w:tc>
        <w:tc>
          <w:tcPr>
            <w:tcW w:w="238" w:type="pct"/>
            <w:shd w:val="clear" w:color="auto" w:fill="FFFFFF"/>
          </w:tcPr>
          <w:p w14:paraId="43B7151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29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61B19E8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Statement of who will have access to the final trial dataset, and disclosure of contractual </w:t>
            </w:r>
            <w:r>
              <w:rPr>
                <w:rFonts w:ascii="Arial" w:hAnsi="Arial" w:cs="Arial"/>
                <w:sz w:val="22"/>
              </w:rPr>
              <w:t>agreements that limit such access for investigators</w:t>
            </w:r>
          </w:p>
        </w:tc>
        <w:tc>
          <w:tcPr>
            <w:tcW w:w="673" w:type="pct"/>
            <w:shd w:val="clear" w:color="auto" w:fill="FFFFFF"/>
          </w:tcPr>
          <w:p w14:paraId="761C56B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15</w:t>
            </w:r>
          </w:p>
        </w:tc>
      </w:tr>
      <w:tr w:rsidR="00880C3F" w14:paraId="1795ED7F" w14:textId="77777777">
        <w:tblPrEx>
          <w:shd w:val="clear" w:color="auto" w:fill="FFFFFF"/>
        </w:tblPrEx>
        <w:trPr>
          <w:cantSplit/>
          <w:trHeight w:val="259"/>
        </w:trPr>
        <w:tc>
          <w:tcPr>
            <w:tcW w:w="683" w:type="pct"/>
            <w:shd w:val="clear" w:color="auto" w:fill="FFFFFF"/>
            <w:tcMar>
              <w:top w:w="85" w:type="dxa"/>
              <w:bottom w:w="85" w:type="dxa"/>
            </w:tcMar>
          </w:tcPr>
          <w:p w14:paraId="4EC07D8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>Ancillary and post-trial care</w:t>
            </w:r>
          </w:p>
        </w:tc>
        <w:tc>
          <w:tcPr>
            <w:tcW w:w="238" w:type="pct"/>
            <w:shd w:val="clear" w:color="auto" w:fill="FFFFFF"/>
          </w:tcPr>
          <w:p w14:paraId="499C64EE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30</w:t>
            </w:r>
          </w:p>
        </w:tc>
        <w:tc>
          <w:tcPr>
            <w:tcW w:w="3406" w:type="pct"/>
            <w:shd w:val="clear" w:color="auto" w:fill="FFFFFF"/>
            <w:tcMar>
              <w:top w:w="85" w:type="dxa"/>
              <w:bottom w:w="85" w:type="dxa"/>
            </w:tcMar>
          </w:tcPr>
          <w:p w14:paraId="0FD8E3D8" w14:textId="0AFCBFAD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Provisions, if any, for ancillary and post-trial care, and for compensation to those who suffer harm from trial participation</w:t>
            </w:r>
            <w:r w:rsidR="00565DA9">
              <w:t xml:space="preserve"> </w:t>
            </w:r>
            <w:r w:rsidR="004F6CD4" w:rsidRPr="004F6CD4">
              <w:rPr>
                <w:color w:val="FF0000"/>
              </w:rPr>
              <w:t>A</w:t>
            </w:r>
            <w:r w:rsidR="00565DA9" w:rsidRPr="004F6CD4">
              <w:rPr>
                <w:rFonts w:ascii="Arial" w:hAnsi="Arial" w:cs="Arial"/>
                <w:color w:val="FF0000"/>
                <w:sz w:val="22"/>
              </w:rPr>
              <w:t>ncillary and post-trial</w:t>
            </w:r>
            <w:r w:rsidR="00565DA9" w:rsidRPr="004F6CD4">
              <w:rPr>
                <w:rFonts w:ascii="Arial" w:hAnsi="Arial" w:cs="Arial"/>
                <w:color w:val="FF0000"/>
                <w:sz w:val="22"/>
              </w:rPr>
              <w:t xml:space="preserve"> care</w:t>
            </w:r>
            <w:r w:rsidR="004F6CD4">
              <w:rPr>
                <w:rFonts w:ascii="Arial" w:hAnsi="Arial" w:cs="Arial"/>
                <w:color w:val="FF0000"/>
                <w:sz w:val="22"/>
              </w:rPr>
              <w:t xml:space="preserve"> is not necessary in our trial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 xml:space="preserve">. For 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>those who suffer harm from trial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 xml:space="preserve"> participation,</w:t>
            </w:r>
            <w:r w:rsidR="004F6CD4">
              <w:rPr>
                <w:rFonts w:ascii="Arial" w:hAnsi="Arial" w:cs="Arial"/>
                <w:color w:val="FF0000"/>
                <w:sz w:val="22"/>
              </w:rPr>
              <w:t xml:space="preserve"> 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>we will provide suitable treatments and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 xml:space="preserve"> </w:t>
            </w:r>
            <w:r w:rsidR="004F6CD4">
              <w:rPr>
                <w:rFonts w:ascii="Arial" w:hAnsi="Arial" w:cs="Arial"/>
                <w:color w:val="FF0000"/>
                <w:sz w:val="22"/>
              </w:rPr>
              <w:t>specific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 xml:space="preserve"> 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>compensation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 xml:space="preserve"> </w:t>
            </w:r>
            <w:r w:rsidR="004F6CD4" w:rsidRPr="004F6CD4">
              <w:rPr>
                <w:rFonts w:ascii="Arial" w:hAnsi="Arial" w:cs="Arial"/>
                <w:color w:val="FF0000"/>
                <w:sz w:val="22"/>
              </w:rPr>
              <w:t xml:space="preserve">needs to be coordinated by </w:t>
            </w:r>
            <w:r w:rsidR="004F6CD4">
              <w:rPr>
                <w:rFonts w:ascii="Arial" w:hAnsi="Arial" w:cs="Arial"/>
                <w:color w:val="FF0000"/>
                <w:sz w:val="22"/>
              </w:rPr>
              <w:t>t</w:t>
            </w:r>
            <w:r w:rsidR="004F6CD4" w:rsidRPr="003558DE">
              <w:rPr>
                <w:rFonts w:ascii="Arial" w:hAnsi="Arial" w:cs="Arial"/>
                <w:color w:val="FF0000"/>
                <w:sz w:val="22"/>
              </w:rPr>
              <w:t>he Clinical Trials and Biomedical Ethics Committee of the First Affiliated Hospital of Guangzhou University of Chinese Medicine</w:t>
            </w:r>
            <w:r w:rsidR="004F6CD4">
              <w:rPr>
                <w:rFonts w:ascii="Arial" w:hAnsi="Arial" w:cs="Arial"/>
                <w:color w:val="FF0000"/>
                <w:sz w:val="22"/>
              </w:rPr>
              <w:t>.</w:t>
            </w:r>
          </w:p>
        </w:tc>
        <w:tc>
          <w:tcPr>
            <w:tcW w:w="673" w:type="pct"/>
            <w:shd w:val="clear" w:color="auto" w:fill="FFFFFF"/>
          </w:tcPr>
          <w:p w14:paraId="0EA97FBB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880C3F" w14:paraId="22AE1EC6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6165CCC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Dissemination policy</w:t>
            </w:r>
          </w:p>
          <w:p w14:paraId="6DC4DC54" w14:textId="4D9ED532" w:rsidR="008C13CA" w:rsidRPr="008C13CA" w:rsidRDefault="008C13CA" w:rsidP="008C13CA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34456F63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31a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66CEFFF4" w14:textId="428524CB" w:rsidR="00880C3F" w:rsidRPr="008C13CA" w:rsidRDefault="00D368A2" w:rsidP="008C13CA">
            <w:pPr>
              <w:spacing w:line="360" w:lineRule="auto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>
              <w:rPr>
                <w:rFonts w:ascii="Arial" w:hAnsi="Arial" w:cs="Arial"/>
                <w:sz w:val="22"/>
              </w:rPr>
              <w:t xml:space="preserve">Plans </w:t>
            </w:r>
            <w:r>
              <w:rPr>
                <w:rFonts w:ascii="Arial" w:hAnsi="Arial" w:cs="Arial"/>
                <w:sz w:val="22"/>
              </w:rPr>
              <w:t>for investigators and sponsor to communicate trial results to participants, healthcare professionals, the public, and other relevant groups (</w:t>
            </w:r>
            <w:proofErr w:type="spellStart"/>
            <w:r>
              <w:rPr>
                <w:rFonts w:ascii="Arial" w:hAnsi="Arial" w:cs="Arial"/>
                <w:sz w:val="22"/>
              </w:rPr>
              <w:t>eg</w:t>
            </w:r>
            <w:proofErr w:type="spellEnd"/>
            <w:r>
              <w:rPr>
                <w:rFonts w:ascii="Arial" w:hAnsi="Arial" w:cs="Arial"/>
                <w:sz w:val="22"/>
              </w:rPr>
              <w:t>, via publication, reporting in results databases, or other data sharing arrangements), including any publication</w:t>
            </w:r>
            <w:r>
              <w:rPr>
                <w:rFonts w:ascii="Arial" w:hAnsi="Arial" w:cs="Arial"/>
                <w:sz w:val="22"/>
              </w:rPr>
              <w:t xml:space="preserve"> restrictions</w:t>
            </w:r>
            <w:r w:rsidR="008C13CA">
              <w:rPr>
                <w:rFonts w:ascii="Arial" w:hAnsi="Arial" w:cs="Arial"/>
                <w:sz w:val="22"/>
              </w:rPr>
              <w:t xml:space="preserve"> </w:t>
            </w:r>
            <w:r w:rsidR="008C13CA" w:rsidRPr="008C13CA">
              <w:rPr>
                <w:rFonts w:ascii="Arial" w:hAnsi="Arial" w:cs="Arial"/>
                <w:color w:val="FF0000"/>
                <w:sz w:val="22"/>
              </w:rPr>
              <w:t xml:space="preserve">We </w:t>
            </w:r>
            <w:r w:rsidR="008C13CA" w:rsidRPr="008C13CA">
              <w:rPr>
                <w:rFonts w:ascii="Arial" w:hAnsi="Arial" w:cs="Arial"/>
                <w:color w:val="FF0000"/>
                <w:sz w:val="22"/>
              </w:rPr>
              <w:t xml:space="preserve">don’t currently have the </w:t>
            </w:r>
            <w:r w:rsidR="008C13CA" w:rsidRPr="008C13CA">
              <w:rPr>
                <w:rFonts w:ascii="Arial" w:hAnsi="Arial" w:cs="Arial"/>
                <w:color w:val="FF0000"/>
                <w:sz w:val="22"/>
              </w:rPr>
              <w:t xml:space="preserve"> dissemination plan,</w:t>
            </w:r>
            <w:r w:rsidR="008C13CA" w:rsidRPr="008C13CA">
              <w:rPr>
                <w:rFonts w:ascii="Arial" w:hAnsi="Arial" w:cs="Arial"/>
                <w:color w:val="FF0000"/>
                <w:sz w:val="22"/>
              </w:rPr>
              <w:t xml:space="preserve"> </w:t>
            </w:r>
            <w:r w:rsidR="008C13CA" w:rsidRPr="008C13CA">
              <w:rPr>
                <w:rFonts w:ascii="Arial" w:hAnsi="Arial" w:cs="Arial"/>
                <w:color w:val="FF0000"/>
                <w:sz w:val="22"/>
              </w:rPr>
              <w:t>but the datasets of our study are available from the corresponding author upon request.</w:t>
            </w:r>
          </w:p>
        </w:tc>
        <w:tc>
          <w:tcPr>
            <w:tcW w:w="673" w:type="pct"/>
          </w:tcPr>
          <w:p w14:paraId="2E3E2F6C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880C3F" w14:paraId="6B754F39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0CDF51EC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6E5682DA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31b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07E6E74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Authorship eligibility guidelines and any intended use of professional writers</w:t>
            </w:r>
          </w:p>
        </w:tc>
        <w:tc>
          <w:tcPr>
            <w:tcW w:w="673" w:type="pct"/>
          </w:tcPr>
          <w:p w14:paraId="4043287E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880C3F" w14:paraId="217FAC0E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0E6D3BAA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38" w:type="pct"/>
          </w:tcPr>
          <w:p w14:paraId="0F96A94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31c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21E8A4F8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673" w:type="pct"/>
          </w:tcPr>
          <w:p w14:paraId="750D7CF5" w14:textId="6583F733" w:rsidR="00880C3F" w:rsidRDefault="00B91B5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N</w:t>
            </w:r>
            <w:r>
              <w:rPr>
                <w:rFonts w:ascii="Arial" w:hAnsi="Arial" w:cs="Arial"/>
                <w:sz w:val="22"/>
              </w:rPr>
              <w:t>/A</w:t>
            </w:r>
          </w:p>
        </w:tc>
      </w:tr>
      <w:tr w:rsidR="00880C3F" w14:paraId="00D785B9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39F8620A" w14:textId="77777777" w:rsidR="00880C3F" w:rsidRDefault="00D368A2">
            <w:pPr>
              <w:pStyle w:val="TableSubHead"/>
              <w:spacing w:before="18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Appendices</w:t>
            </w:r>
          </w:p>
        </w:tc>
        <w:tc>
          <w:tcPr>
            <w:tcW w:w="238" w:type="pct"/>
          </w:tcPr>
          <w:p w14:paraId="08D5E204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406" w:type="pct"/>
            <w:shd w:val="clear" w:color="auto" w:fill="auto"/>
          </w:tcPr>
          <w:p w14:paraId="104C78C4" w14:textId="77777777" w:rsidR="00880C3F" w:rsidRDefault="00880C3F">
            <w:pPr>
              <w:rPr>
                <w:rFonts w:ascii="Arial" w:hAnsi="Arial" w:cs="Arial"/>
                <w:sz w:val="22"/>
              </w:rPr>
            </w:pPr>
            <w:bookmarkStart w:id="1" w:name="_GoBack"/>
            <w:bookmarkEnd w:id="1"/>
          </w:p>
        </w:tc>
        <w:tc>
          <w:tcPr>
            <w:tcW w:w="673" w:type="pct"/>
          </w:tcPr>
          <w:p w14:paraId="60C1AB5A" w14:textId="77777777" w:rsidR="00880C3F" w:rsidRDefault="00880C3F">
            <w:pPr>
              <w:rPr>
                <w:rFonts w:ascii="Arial" w:hAnsi="Arial" w:cs="Arial"/>
                <w:sz w:val="22"/>
              </w:rPr>
            </w:pPr>
          </w:p>
        </w:tc>
      </w:tr>
      <w:tr w:rsidR="00880C3F" w14:paraId="09A2FDC6" w14:textId="77777777">
        <w:trPr>
          <w:cantSplit/>
          <w:trHeight w:val="259"/>
        </w:trPr>
        <w:tc>
          <w:tcPr>
            <w:tcW w:w="683" w:type="pct"/>
            <w:shd w:val="clear" w:color="auto" w:fill="auto"/>
            <w:tcMar>
              <w:top w:w="85" w:type="dxa"/>
              <w:bottom w:w="85" w:type="dxa"/>
            </w:tcMar>
          </w:tcPr>
          <w:p w14:paraId="6731BE8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Informed consent materials</w:t>
            </w:r>
          </w:p>
        </w:tc>
        <w:tc>
          <w:tcPr>
            <w:tcW w:w="238" w:type="pct"/>
          </w:tcPr>
          <w:p w14:paraId="7A6652D2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32</w:t>
            </w:r>
          </w:p>
        </w:tc>
        <w:tc>
          <w:tcPr>
            <w:tcW w:w="3406" w:type="pct"/>
            <w:shd w:val="clear" w:color="auto" w:fill="auto"/>
            <w:tcMar>
              <w:top w:w="85" w:type="dxa"/>
              <w:bottom w:w="85" w:type="dxa"/>
            </w:tcMar>
          </w:tcPr>
          <w:p w14:paraId="2AADC9B6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Model consent form and other related documentation given to participants and </w:t>
            </w:r>
            <w:proofErr w:type="spellStart"/>
            <w:r>
              <w:rPr>
                <w:rFonts w:ascii="Arial" w:hAnsi="Arial" w:cs="Arial"/>
                <w:sz w:val="22"/>
              </w:rPr>
              <w:t>authorised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surrogates</w:t>
            </w:r>
          </w:p>
          <w:p w14:paraId="4284468A" w14:textId="51B4A84D" w:rsidR="009E0172" w:rsidRDefault="009E0172">
            <w:pPr>
              <w:rPr>
                <w:rFonts w:ascii="Arial" w:hAnsi="Arial" w:cs="Arial"/>
                <w:sz w:val="22"/>
              </w:rPr>
            </w:pPr>
            <w:r w:rsidRPr="009E0172">
              <w:rPr>
                <w:rFonts w:ascii="Arial" w:hAnsi="Arial" w:cs="Arial" w:hint="eastAsia"/>
                <w:color w:val="FF0000"/>
                <w:sz w:val="22"/>
              </w:rPr>
              <w:t>I</w:t>
            </w:r>
            <w:r w:rsidRPr="009E0172">
              <w:rPr>
                <w:rFonts w:ascii="Arial" w:hAnsi="Arial" w:cs="Arial"/>
                <w:color w:val="FF0000"/>
                <w:sz w:val="22"/>
              </w:rPr>
              <w:t xml:space="preserve">nformed consent materials have been reviewed and approved </w:t>
            </w:r>
            <w:proofErr w:type="spellStart"/>
            <w:r w:rsidRPr="009E0172">
              <w:rPr>
                <w:rFonts w:ascii="Arial" w:hAnsi="Arial" w:cs="Arial"/>
                <w:color w:val="FF0000"/>
                <w:sz w:val="22"/>
              </w:rPr>
              <w:t>by</w:t>
            </w:r>
            <w:proofErr w:type="spellEnd"/>
            <w:r w:rsidRPr="009E0172">
              <w:rPr>
                <w:rFonts w:ascii="Arial" w:hAnsi="Arial" w:cs="Arial"/>
                <w:color w:val="FF0000"/>
                <w:sz w:val="22"/>
              </w:rPr>
              <w:t xml:space="preserve"> the Clinical Trials and Biomedical Ethics Committee of the First Affiliated Hospital of Guangzhou University of</w:t>
            </w:r>
            <w:r w:rsidRPr="009E0172">
              <w:rPr>
                <w:rFonts w:ascii="Arial" w:hAnsi="Arial" w:cs="Arial"/>
                <w:color w:val="FF0000"/>
                <w:sz w:val="22"/>
              </w:rPr>
              <w:t xml:space="preserve"> </w:t>
            </w:r>
            <w:r w:rsidRPr="003558DE">
              <w:rPr>
                <w:rFonts w:ascii="Arial" w:hAnsi="Arial" w:cs="Arial"/>
                <w:color w:val="FF0000"/>
                <w:sz w:val="22"/>
              </w:rPr>
              <w:t>Chinese Medicine</w:t>
            </w:r>
            <w:r>
              <w:rPr>
                <w:rFonts w:ascii="Arial" w:hAnsi="Arial" w:cs="Arial"/>
                <w:color w:val="FF0000"/>
                <w:sz w:val="22"/>
              </w:rPr>
              <w:t>.</w:t>
            </w:r>
          </w:p>
        </w:tc>
        <w:tc>
          <w:tcPr>
            <w:tcW w:w="673" w:type="pct"/>
          </w:tcPr>
          <w:p w14:paraId="6792E689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</w:tc>
      </w:tr>
      <w:tr w:rsidR="00880C3F" w14:paraId="5CB49D9D" w14:textId="77777777">
        <w:trPr>
          <w:cantSplit/>
          <w:trHeight w:val="259"/>
        </w:trPr>
        <w:tc>
          <w:tcPr>
            <w:tcW w:w="683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4CEE4CE7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Biological specimens</w:t>
            </w:r>
          </w:p>
        </w:tc>
        <w:tc>
          <w:tcPr>
            <w:tcW w:w="238" w:type="pct"/>
            <w:tcBorders>
              <w:bottom w:val="single" w:sz="4" w:space="0" w:color="auto"/>
            </w:tcBorders>
          </w:tcPr>
          <w:p w14:paraId="6D0907B1" w14:textId="77777777" w:rsidR="00880C3F" w:rsidRDefault="00D368A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33</w:t>
            </w:r>
          </w:p>
        </w:tc>
        <w:tc>
          <w:tcPr>
            <w:tcW w:w="3406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0E78FFF9" w14:textId="77777777" w:rsidR="00880C3F" w:rsidRDefault="00D368A2">
            <w:pPr>
              <w:spacing w:after="6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Plans for collection, laboratory evaluation, and storage of biological specimens for </w:t>
            </w:r>
            <w:r>
              <w:rPr>
                <w:rFonts w:ascii="Arial" w:hAnsi="Arial" w:cs="Arial"/>
                <w:sz w:val="22"/>
              </w:rPr>
              <w:t>genetic or molecular analysis in the current trial and for future use in ancillary studies, if applicable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5300B1DF" w14:textId="5A96A024" w:rsidR="00880C3F" w:rsidRDefault="008C13C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  <w:r>
              <w:rPr>
                <w:rFonts w:ascii="Arial" w:hAnsi="Arial" w:cs="Arial"/>
                <w:sz w:val="22"/>
              </w:rPr>
              <w:t>-9</w:t>
            </w:r>
          </w:p>
        </w:tc>
      </w:tr>
    </w:tbl>
    <w:p w14:paraId="180F7591" w14:textId="77777777" w:rsidR="00880C3F" w:rsidRDefault="00D368A2">
      <w:pPr>
        <w:spacing w:before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*It is strongly recommended that this checklist be read in conjunction with the SPIRIT 2013 Explanation &amp; Elaboration for important clarification</w:t>
      </w:r>
      <w:r>
        <w:rPr>
          <w:rFonts w:ascii="Arial" w:hAnsi="Arial" w:cs="Arial"/>
          <w:sz w:val="22"/>
        </w:rPr>
        <w:t xml:space="preserve"> on the items. Amendments to the protocol should be tracked and dated. The SPIRIT checklist is copyrighted by the SPIRIT Group under the Creative Commons “</w:t>
      </w:r>
      <w:hyperlink r:id="rId9" w:tgtFrame="_blank" w:history="1">
        <w:r>
          <w:rPr>
            <w:rStyle w:val="aff5"/>
            <w:rFonts w:ascii="Arial" w:hAnsi="Arial" w:cs="Arial"/>
            <w:sz w:val="22"/>
          </w:rPr>
          <w:t>Attribution-NonCommerc</w:t>
        </w:r>
        <w:r>
          <w:rPr>
            <w:rStyle w:val="aff5"/>
            <w:rFonts w:ascii="Arial" w:hAnsi="Arial" w:cs="Arial"/>
            <w:sz w:val="22"/>
          </w:rPr>
          <w:t>ial-NoDerivs 3.0 Unported</w:t>
        </w:r>
      </w:hyperlink>
      <w:r>
        <w:rPr>
          <w:rFonts w:ascii="Arial" w:hAnsi="Arial" w:cs="Arial"/>
          <w:sz w:val="22"/>
        </w:rPr>
        <w:t>” license.</w:t>
      </w:r>
    </w:p>
    <w:p w14:paraId="241DF3E0" w14:textId="77777777" w:rsidR="00880C3F" w:rsidRDefault="00880C3F">
      <w:pPr>
        <w:shd w:val="clear" w:color="auto" w:fill="FFFFFF"/>
        <w:rPr>
          <w:rFonts w:ascii="Arial" w:hAnsi="Arial" w:cs="Arial"/>
          <w:sz w:val="22"/>
        </w:rPr>
      </w:pPr>
    </w:p>
    <w:sectPr w:rsidR="00880C3F">
      <w:footerReference w:type="even" r:id="rId10"/>
      <w:footerReference w:type="default" r:id="rId11"/>
      <w:pgSz w:w="16834" w:h="11909" w:orient="landscape"/>
      <w:pgMar w:top="720" w:right="720" w:bottom="720" w:left="720" w:header="54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284387" w14:textId="77777777" w:rsidR="00D368A2" w:rsidRDefault="00D368A2">
      <w:r>
        <w:separator/>
      </w:r>
    </w:p>
  </w:endnote>
  <w:endnote w:type="continuationSeparator" w:id="0">
    <w:p w14:paraId="04188292" w14:textId="77777777" w:rsidR="00D368A2" w:rsidRDefault="00D36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09BFA" w14:textId="77777777" w:rsidR="00880C3F" w:rsidRDefault="00D368A2">
    <w:pPr>
      <w:pStyle w:val="af3"/>
      <w:framePr w:wrap="around" w:vAnchor="text" w:hAnchor="margin" w:xAlign="right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end"/>
    </w:r>
  </w:p>
  <w:p w14:paraId="2CAC934C" w14:textId="77777777" w:rsidR="00880C3F" w:rsidRDefault="00880C3F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26D9B" w14:textId="77777777" w:rsidR="00880C3F" w:rsidRDefault="00D368A2">
    <w:pPr>
      <w:pStyle w:val="af3"/>
      <w:framePr w:wrap="around" w:vAnchor="text" w:hAnchor="margin" w:xAlign="right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separate"/>
    </w:r>
    <w:r>
      <w:rPr>
        <w:rStyle w:val="aff1"/>
      </w:rPr>
      <w:t>3</w:t>
    </w:r>
    <w:r>
      <w:rPr>
        <w:rStyle w:val="aff1"/>
      </w:rPr>
      <w:fldChar w:fldCharType="end"/>
    </w:r>
  </w:p>
  <w:p w14:paraId="7663B071" w14:textId="77777777" w:rsidR="00880C3F" w:rsidRDefault="00880C3F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905C4E" w14:textId="77777777" w:rsidR="00D368A2" w:rsidRDefault="00D368A2">
      <w:r>
        <w:separator/>
      </w:r>
    </w:p>
  </w:footnote>
  <w:footnote w:type="continuationSeparator" w:id="0">
    <w:p w14:paraId="589278F0" w14:textId="77777777" w:rsidR="00D368A2" w:rsidRDefault="00D368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FFFFFF83"/>
    <w:lvl w:ilvl="0">
      <w:start w:val="1"/>
      <w:numFmt w:val="decimal"/>
      <w:pStyle w:val="Reference"/>
      <w:lvlText w:val="%1"/>
      <w:lvlJc w:val="left"/>
      <w:pPr>
        <w:tabs>
          <w:tab w:val="left" w:pos="515"/>
        </w:tabs>
        <w:ind w:left="628" w:hanging="340"/>
      </w:pPr>
      <w:rPr>
        <w:rFonts w:hint="default"/>
      </w:rPr>
    </w:lvl>
  </w:abstractNum>
  <w:abstractNum w:abstractNumId="1" w15:restartNumberingAfterBreak="0">
    <w:nsid w:val="0D3A128F"/>
    <w:multiLevelType w:val="multilevel"/>
    <w:tmpl w:val="0D3A128F"/>
    <w:lvl w:ilvl="0">
      <w:start w:val="1"/>
      <w:numFmt w:val="decimal"/>
      <w:pStyle w:val="WebRef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23EB1FAD"/>
    <w:multiLevelType w:val="multilevel"/>
    <w:tmpl w:val="23EB1FAD"/>
    <w:lvl w:ilvl="0">
      <w:start w:val="1"/>
      <w:numFmt w:val="none"/>
      <w:pStyle w:val="Table"/>
      <w:lvlText w:val="Table - %1"/>
      <w:lvlJc w:val="left"/>
      <w:pPr>
        <w:tabs>
          <w:tab w:val="left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  <w:rPr>
        <w:rFonts w:hint="default"/>
      </w:rPr>
    </w:lvl>
  </w:abstractNum>
  <w:abstractNum w:abstractNumId="3" w15:restartNumberingAfterBreak="0">
    <w:nsid w:val="2A623996"/>
    <w:multiLevelType w:val="multilevel"/>
    <w:tmpl w:val="2A623996"/>
    <w:lvl w:ilvl="0">
      <w:start w:val="1"/>
      <w:numFmt w:val="none"/>
      <w:pStyle w:val="video"/>
      <w:lvlText w:val="%1Video -"/>
      <w:lvlJc w:val="left"/>
      <w:pPr>
        <w:tabs>
          <w:tab w:val="left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2C5A46B2"/>
    <w:multiLevelType w:val="multilevel"/>
    <w:tmpl w:val="2C5A46B2"/>
    <w:lvl w:ilvl="0">
      <w:start w:val="1"/>
      <w:numFmt w:val="none"/>
      <w:pStyle w:val="supp-file"/>
      <w:lvlText w:val="%1supp-file -"/>
      <w:lvlJc w:val="left"/>
      <w:pPr>
        <w:tabs>
          <w:tab w:val="left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AC26C30"/>
    <w:multiLevelType w:val="multilevel"/>
    <w:tmpl w:val="3AC26C30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"/>
      <w:lvlText w:val="%2."/>
      <w:lvlJc w:val="left"/>
      <w:pPr>
        <w:tabs>
          <w:tab w:val="left" w:pos="1080"/>
        </w:tabs>
        <w:ind w:left="720" w:firstLine="0"/>
      </w:pPr>
    </w:lvl>
    <w:lvl w:ilvl="2">
      <w:start w:val="1"/>
      <w:numFmt w:val="decimal"/>
      <w:pStyle w:val="3"/>
      <w:lvlText w:val="%3."/>
      <w:lvlJc w:val="left"/>
      <w:pPr>
        <w:tabs>
          <w:tab w:val="left" w:pos="1800"/>
        </w:tabs>
        <w:ind w:left="1440" w:firstLine="0"/>
      </w:pPr>
    </w:lvl>
    <w:lvl w:ilvl="3">
      <w:start w:val="1"/>
      <w:numFmt w:val="lowerLetter"/>
      <w:pStyle w:val="4"/>
      <w:lvlText w:val="%4)"/>
      <w:lvlJc w:val="left"/>
      <w:pPr>
        <w:tabs>
          <w:tab w:val="left" w:pos="2520"/>
        </w:tabs>
        <w:ind w:left="2160" w:firstLine="0"/>
      </w:pPr>
    </w:lvl>
    <w:lvl w:ilvl="4">
      <w:start w:val="1"/>
      <w:numFmt w:val="decimal"/>
      <w:pStyle w:val="5"/>
      <w:lvlText w:val="(%5)"/>
      <w:lvlJc w:val="left"/>
      <w:pPr>
        <w:tabs>
          <w:tab w:val="left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left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left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left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left" w:pos="6120"/>
        </w:tabs>
        <w:ind w:left="5760" w:firstLine="0"/>
      </w:pPr>
    </w:lvl>
  </w:abstractNum>
  <w:abstractNum w:abstractNumId="6" w15:restartNumberingAfterBreak="0">
    <w:nsid w:val="3D494CB4"/>
    <w:multiLevelType w:val="multilevel"/>
    <w:tmpl w:val="3D494CB4"/>
    <w:lvl w:ilvl="0">
      <w:start w:val="1"/>
      <w:numFmt w:val="none"/>
      <w:pStyle w:val="Figure"/>
      <w:lvlText w:val="Figure - "/>
      <w:lvlJc w:val="left"/>
      <w:pPr>
        <w:tabs>
          <w:tab w:val="left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left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6030"/>
        </w:tabs>
        <w:ind w:left="6030" w:hanging="180"/>
      </w:pPr>
      <w:rPr>
        <w:rFonts w:hint="default"/>
      </w:rPr>
    </w:lvl>
  </w:abstractNum>
  <w:abstractNum w:abstractNumId="7" w15:restartNumberingAfterBreak="0">
    <w:nsid w:val="72211B93"/>
    <w:multiLevelType w:val="multilevel"/>
    <w:tmpl w:val="72211B93"/>
    <w:lvl w:ilvl="0">
      <w:start w:val="1"/>
      <w:numFmt w:val="decimal"/>
      <w:pStyle w:val="Address"/>
      <w:lvlText w:val="A%1"/>
      <w:lvlJc w:val="left"/>
      <w:pPr>
        <w:tabs>
          <w:tab w:val="left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796038DA"/>
    <w:multiLevelType w:val="multilevel"/>
    <w:tmpl w:val="796038DA"/>
    <w:lvl w:ilvl="0">
      <w:start w:val="1"/>
      <w:numFmt w:val="none"/>
      <w:pStyle w:val="audio"/>
      <w:lvlText w:val="%1Audio - "/>
      <w:lvlJc w:val="left"/>
      <w:pPr>
        <w:tabs>
          <w:tab w:val="left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0"/>
  </w:num>
  <w:num w:numId="5">
    <w:abstractNumId w:val="2"/>
  </w:num>
  <w:num w:numId="6">
    <w:abstractNumId w:val="1"/>
  </w:num>
  <w:num w:numId="7">
    <w:abstractNumId w:val="4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linkStyles/>
  <w:defaultTabStop w:val="720"/>
  <w:drawingGridHorizontalSpacing w:val="120"/>
  <w:displayHorizontalDrawingGridEvery w:val="0"/>
  <w:displayVertic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D2F"/>
    <w:rsid w:val="97B773C9"/>
    <w:rsid w:val="000056C9"/>
    <w:rsid w:val="00021750"/>
    <w:rsid w:val="00026772"/>
    <w:rsid w:val="00027214"/>
    <w:rsid w:val="00047C57"/>
    <w:rsid w:val="000552DB"/>
    <w:rsid w:val="000616AA"/>
    <w:rsid w:val="00067B81"/>
    <w:rsid w:val="00072A57"/>
    <w:rsid w:val="000741B7"/>
    <w:rsid w:val="00082F06"/>
    <w:rsid w:val="00083A3B"/>
    <w:rsid w:val="000C2317"/>
    <w:rsid w:val="000F7D10"/>
    <w:rsid w:val="00101F19"/>
    <w:rsid w:val="00105D98"/>
    <w:rsid w:val="00114E8F"/>
    <w:rsid w:val="001356F4"/>
    <w:rsid w:val="00144F98"/>
    <w:rsid w:val="001450BA"/>
    <w:rsid w:val="00174893"/>
    <w:rsid w:val="001C28BB"/>
    <w:rsid w:val="001D1AAB"/>
    <w:rsid w:val="001F1CB1"/>
    <w:rsid w:val="002373B3"/>
    <w:rsid w:val="00245B17"/>
    <w:rsid w:val="00264C8B"/>
    <w:rsid w:val="0029261F"/>
    <w:rsid w:val="002A2C83"/>
    <w:rsid w:val="002B3AD5"/>
    <w:rsid w:val="002D7B22"/>
    <w:rsid w:val="003024B7"/>
    <w:rsid w:val="003143A8"/>
    <w:rsid w:val="00333B92"/>
    <w:rsid w:val="0033631F"/>
    <w:rsid w:val="0033735F"/>
    <w:rsid w:val="003429C5"/>
    <w:rsid w:val="003437E7"/>
    <w:rsid w:val="003464A4"/>
    <w:rsid w:val="003558DE"/>
    <w:rsid w:val="00376164"/>
    <w:rsid w:val="00381D63"/>
    <w:rsid w:val="00386FE2"/>
    <w:rsid w:val="00391962"/>
    <w:rsid w:val="00393A20"/>
    <w:rsid w:val="003945E9"/>
    <w:rsid w:val="00394865"/>
    <w:rsid w:val="0039512F"/>
    <w:rsid w:val="003B0E5B"/>
    <w:rsid w:val="003B5F90"/>
    <w:rsid w:val="003C686B"/>
    <w:rsid w:val="003D40FA"/>
    <w:rsid w:val="003E50CF"/>
    <w:rsid w:val="003E6F4F"/>
    <w:rsid w:val="003E6F88"/>
    <w:rsid w:val="003F02FE"/>
    <w:rsid w:val="003F10FD"/>
    <w:rsid w:val="003F521F"/>
    <w:rsid w:val="00401CC0"/>
    <w:rsid w:val="00436F77"/>
    <w:rsid w:val="00440D54"/>
    <w:rsid w:val="00446CCD"/>
    <w:rsid w:val="00447275"/>
    <w:rsid w:val="00461C5E"/>
    <w:rsid w:val="004630F5"/>
    <w:rsid w:val="004800B8"/>
    <w:rsid w:val="0048401F"/>
    <w:rsid w:val="00484EC4"/>
    <w:rsid w:val="00496940"/>
    <w:rsid w:val="004B139C"/>
    <w:rsid w:val="004C08C8"/>
    <w:rsid w:val="004D5468"/>
    <w:rsid w:val="004E5353"/>
    <w:rsid w:val="004F6CD4"/>
    <w:rsid w:val="00500680"/>
    <w:rsid w:val="0053001B"/>
    <w:rsid w:val="00531C6A"/>
    <w:rsid w:val="005348D3"/>
    <w:rsid w:val="00565DA9"/>
    <w:rsid w:val="00567C86"/>
    <w:rsid w:val="0059652A"/>
    <w:rsid w:val="00597B0B"/>
    <w:rsid w:val="005B1746"/>
    <w:rsid w:val="005C1A6C"/>
    <w:rsid w:val="005D0E99"/>
    <w:rsid w:val="005F5627"/>
    <w:rsid w:val="005F6C7E"/>
    <w:rsid w:val="006142BA"/>
    <w:rsid w:val="006171BD"/>
    <w:rsid w:val="0062324B"/>
    <w:rsid w:val="0065345B"/>
    <w:rsid w:val="006737BB"/>
    <w:rsid w:val="00694425"/>
    <w:rsid w:val="00694A43"/>
    <w:rsid w:val="006A3029"/>
    <w:rsid w:val="006B1286"/>
    <w:rsid w:val="006B78D8"/>
    <w:rsid w:val="006C0A93"/>
    <w:rsid w:val="00736E57"/>
    <w:rsid w:val="00737874"/>
    <w:rsid w:val="007469F5"/>
    <w:rsid w:val="007555E1"/>
    <w:rsid w:val="0075562B"/>
    <w:rsid w:val="00757C3E"/>
    <w:rsid w:val="007A19F6"/>
    <w:rsid w:val="007B4ECE"/>
    <w:rsid w:val="007C1DA0"/>
    <w:rsid w:val="007C41E4"/>
    <w:rsid w:val="007C539E"/>
    <w:rsid w:val="007F7C6E"/>
    <w:rsid w:val="00833918"/>
    <w:rsid w:val="00843E9F"/>
    <w:rsid w:val="0085425C"/>
    <w:rsid w:val="0086054E"/>
    <w:rsid w:val="00880C3F"/>
    <w:rsid w:val="008A53CD"/>
    <w:rsid w:val="008A7ACB"/>
    <w:rsid w:val="008B2EFD"/>
    <w:rsid w:val="008C13CA"/>
    <w:rsid w:val="008E17CD"/>
    <w:rsid w:val="008F4080"/>
    <w:rsid w:val="009055EB"/>
    <w:rsid w:val="009334B0"/>
    <w:rsid w:val="00956B27"/>
    <w:rsid w:val="009936BF"/>
    <w:rsid w:val="009C0EA0"/>
    <w:rsid w:val="009E0172"/>
    <w:rsid w:val="009F5428"/>
    <w:rsid w:val="009F6EDD"/>
    <w:rsid w:val="00A02DE0"/>
    <w:rsid w:val="00A07FFA"/>
    <w:rsid w:val="00A17A66"/>
    <w:rsid w:val="00A35D2D"/>
    <w:rsid w:val="00A52D17"/>
    <w:rsid w:val="00A53FCE"/>
    <w:rsid w:val="00A66F51"/>
    <w:rsid w:val="00A82BBB"/>
    <w:rsid w:val="00AB0263"/>
    <w:rsid w:val="00AB0676"/>
    <w:rsid w:val="00AB3ABC"/>
    <w:rsid w:val="00AC1A6B"/>
    <w:rsid w:val="00AD11E6"/>
    <w:rsid w:val="00AF7B78"/>
    <w:rsid w:val="00B23DBE"/>
    <w:rsid w:val="00B41EB2"/>
    <w:rsid w:val="00B50C25"/>
    <w:rsid w:val="00B6002B"/>
    <w:rsid w:val="00B678F8"/>
    <w:rsid w:val="00B76016"/>
    <w:rsid w:val="00B77D2F"/>
    <w:rsid w:val="00B91B5F"/>
    <w:rsid w:val="00BA6535"/>
    <w:rsid w:val="00BC183F"/>
    <w:rsid w:val="00BE2C15"/>
    <w:rsid w:val="00BE792D"/>
    <w:rsid w:val="00BF2574"/>
    <w:rsid w:val="00C21345"/>
    <w:rsid w:val="00C30DC3"/>
    <w:rsid w:val="00C523F8"/>
    <w:rsid w:val="00C57DEC"/>
    <w:rsid w:val="00C71962"/>
    <w:rsid w:val="00C71ECA"/>
    <w:rsid w:val="00C749CD"/>
    <w:rsid w:val="00C863A9"/>
    <w:rsid w:val="00C94818"/>
    <w:rsid w:val="00C95305"/>
    <w:rsid w:val="00CD225C"/>
    <w:rsid w:val="00CD3C5A"/>
    <w:rsid w:val="00CE398D"/>
    <w:rsid w:val="00CE54DF"/>
    <w:rsid w:val="00D00DA6"/>
    <w:rsid w:val="00D368A2"/>
    <w:rsid w:val="00D63CEE"/>
    <w:rsid w:val="00D71B07"/>
    <w:rsid w:val="00D828EF"/>
    <w:rsid w:val="00DA2D4F"/>
    <w:rsid w:val="00DE0D3F"/>
    <w:rsid w:val="00E124A3"/>
    <w:rsid w:val="00E3191C"/>
    <w:rsid w:val="00E45C71"/>
    <w:rsid w:val="00E56C2E"/>
    <w:rsid w:val="00E7794C"/>
    <w:rsid w:val="00EE2DC6"/>
    <w:rsid w:val="00EE6D79"/>
    <w:rsid w:val="00EF631C"/>
    <w:rsid w:val="00F60FD4"/>
    <w:rsid w:val="00F635CA"/>
    <w:rsid w:val="00F721C4"/>
    <w:rsid w:val="00F8379F"/>
    <w:rsid w:val="00F84ADB"/>
    <w:rsid w:val="00FB792E"/>
    <w:rsid w:val="2FFEFF26"/>
    <w:rsid w:val="3FAA300B"/>
    <w:rsid w:val="7BFF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A50CCBD"/>
  <w15:docId w15:val="{2B6ACDD7-CBA1-4D1D-B779-4B833FE7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unhideWhenUsed="1" w:qFormat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qFormat="1"/>
    <w:lsdException w:name="toa heading" w:semiHidden="1" w:unhideWhenUsed="1"/>
    <w:lsdException w:name="List" w:uiPriority="0" w:qFormat="1"/>
    <w:lsdException w:name="List Bullet" w:uiPriority="0" w:qFormat="1"/>
    <w:lsdException w:name="List Number" w:uiPriority="0" w:qFormat="1"/>
    <w:lsdException w:name="List 2" w:uiPriority="0" w:qFormat="1"/>
    <w:lsdException w:name="List 3" w:uiPriority="0" w:qFormat="1"/>
    <w:lsdException w:name="List 4" w:uiPriority="0" w:qFormat="1"/>
    <w:lsdException w:name="List 5" w:uiPriority="0" w:qFormat="1"/>
    <w:lsdException w:name="List Bullet 2" w:uiPriority="0" w:qFormat="1"/>
    <w:lsdException w:name="List Bullet 3" w:uiPriority="0" w:qFormat="1"/>
    <w:lsdException w:name="List Bullet 4" w:uiPriority="0" w:qFormat="1"/>
    <w:lsdException w:name="List Bullet 5" w:uiPriority="0" w:qFormat="1"/>
    <w:lsdException w:name="List Number 2" w:uiPriority="0" w:qFormat="1"/>
    <w:lsdException w:name="List Number 3" w:uiPriority="0" w:qFormat="1"/>
    <w:lsdException w:name="List Number 4" w:uiPriority="0" w:qFormat="1"/>
    <w:lsdException w:name="List Number 5" w:uiPriority="0" w:qFormat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uiPriority="0" w:qFormat="1"/>
    <w:lsdException w:name="List Continue 2" w:uiPriority="0" w:qFormat="1"/>
    <w:lsdException w:name="List Continue 3" w:uiPriority="0" w:qFormat="1"/>
    <w:lsdException w:name="List Continue 4" w:uiPriority="0" w:qFormat="1"/>
    <w:lsdException w:name="List Continue 5" w:uiPriority="0" w:qFormat="1"/>
    <w:lsdException w:name="Message Header" w:uiPriority="0" w:qFormat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uiPriority="0" w:qFormat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4B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zh-CN"/>
    </w:rPr>
  </w:style>
  <w:style w:type="paragraph" w:styleId="2">
    <w:name w:val="heading 2"/>
    <w:basedOn w:val="a"/>
    <w:next w:val="a"/>
    <w:link w:val="20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  <w:lang w:val="zh-CN"/>
    </w:rPr>
  </w:style>
  <w:style w:type="paragraph" w:styleId="3">
    <w:name w:val="heading 3"/>
    <w:basedOn w:val="a"/>
    <w:next w:val="a"/>
    <w:link w:val="30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lang w:val="zh-CN"/>
    </w:rPr>
  </w:style>
  <w:style w:type="paragraph" w:styleId="4">
    <w:name w:val="heading 4"/>
    <w:basedOn w:val="a"/>
    <w:next w:val="a"/>
    <w:link w:val="40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lang w:val="zh-CN"/>
    </w:rPr>
  </w:style>
  <w:style w:type="paragraph" w:styleId="5">
    <w:name w:val="heading 5"/>
    <w:basedOn w:val="a"/>
    <w:next w:val="a"/>
    <w:link w:val="50"/>
    <w:qFormat/>
    <w:pPr>
      <w:numPr>
        <w:ilvl w:val="4"/>
        <w:numId w:val="1"/>
      </w:numPr>
      <w:spacing w:before="240" w:after="60"/>
      <w:outlineLvl w:val="4"/>
    </w:pPr>
    <w:rPr>
      <w:sz w:val="22"/>
      <w:lang w:val="zh-CN"/>
    </w:rPr>
  </w:style>
  <w:style w:type="paragraph" w:styleId="6">
    <w:name w:val="heading 6"/>
    <w:basedOn w:val="a"/>
    <w:next w:val="a"/>
    <w:link w:val="60"/>
    <w:qFormat/>
    <w:pPr>
      <w:numPr>
        <w:ilvl w:val="5"/>
        <w:numId w:val="1"/>
      </w:numPr>
      <w:spacing w:before="240" w:after="60"/>
      <w:outlineLvl w:val="5"/>
    </w:pPr>
    <w:rPr>
      <w:i/>
      <w:sz w:val="22"/>
      <w:lang w:val="zh-CN"/>
    </w:rPr>
  </w:style>
  <w:style w:type="paragraph" w:styleId="7">
    <w:name w:val="heading 7"/>
    <w:basedOn w:val="a"/>
    <w:next w:val="a"/>
    <w:link w:val="70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lang w:val="zh-CN"/>
    </w:rPr>
  </w:style>
  <w:style w:type="paragraph" w:styleId="8">
    <w:name w:val="heading 8"/>
    <w:basedOn w:val="a"/>
    <w:next w:val="a"/>
    <w:link w:val="80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  <w:lang w:val="zh-CN"/>
    </w:rPr>
  </w:style>
  <w:style w:type="paragraph" w:styleId="9">
    <w:name w:val="heading 9"/>
    <w:basedOn w:val="a"/>
    <w:next w:val="a"/>
    <w:link w:val="90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lang w:val="zh-CN"/>
    </w:rPr>
  </w:style>
  <w:style w:type="character" w:default="1" w:styleId="a0">
    <w:name w:val="Default Paragraph Font"/>
    <w:uiPriority w:val="1"/>
    <w:semiHidden/>
    <w:unhideWhenUsed/>
    <w:rsid w:val="003024B7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3024B7"/>
  </w:style>
  <w:style w:type="paragraph" w:styleId="31">
    <w:name w:val="List 3"/>
    <w:basedOn w:val="a"/>
    <w:qFormat/>
    <w:pPr>
      <w:ind w:left="849" w:hanging="283"/>
    </w:pPr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rPr>
      <w:sz w:val="20"/>
    </w:rPr>
  </w:style>
  <w:style w:type="paragraph" w:styleId="21">
    <w:name w:val="List Number 2"/>
    <w:basedOn w:val="a"/>
    <w:qFormat/>
    <w:pPr>
      <w:tabs>
        <w:tab w:val="left" w:pos="643"/>
      </w:tabs>
      <w:ind w:left="643" w:hanging="360"/>
    </w:pPr>
  </w:style>
  <w:style w:type="paragraph" w:styleId="a7">
    <w:name w:val="macro"/>
    <w:link w:val="a8"/>
    <w:semiHidden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eastAsia="Times New Roman" w:hAnsi="Courier New"/>
      <w:lang w:val="en-GB" w:eastAsia="en-US"/>
    </w:rPr>
  </w:style>
  <w:style w:type="paragraph" w:styleId="a9">
    <w:name w:val="Note Heading"/>
    <w:basedOn w:val="a"/>
    <w:next w:val="a"/>
    <w:link w:val="aa"/>
    <w:qFormat/>
    <w:rPr>
      <w:lang w:val="zh-CN"/>
    </w:rPr>
  </w:style>
  <w:style w:type="paragraph" w:styleId="41">
    <w:name w:val="List Bullet 4"/>
    <w:basedOn w:val="a"/>
    <w:qFormat/>
    <w:pPr>
      <w:tabs>
        <w:tab w:val="left" w:pos="1209"/>
      </w:tabs>
      <w:ind w:left="1209" w:hanging="360"/>
    </w:pPr>
  </w:style>
  <w:style w:type="paragraph" w:styleId="ab">
    <w:name w:val="List Number"/>
    <w:basedOn w:val="a"/>
    <w:qFormat/>
    <w:pPr>
      <w:tabs>
        <w:tab w:val="left" w:pos="360"/>
      </w:tabs>
      <w:ind w:left="360" w:hanging="360"/>
    </w:pPr>
  </w:style>
  <w:style w:type="paragraph" w:styleId="ac">
    <w:name w:val="caption"/>
    <w:basedOn w:val="a"/>
    <w:next w:val="a"/>
    <w:qFormat/>
    <w:pPr>
      <w:spacing w:before="120" w:after="120"/>
    </w:pPr>
    <w:rPr>
      <w:b/>
      <w:sz w:val="20"/>
    </w:rPr>
  </w:style>
  <w:style w:type="paragraph" w:styleId="ad">
    <w:name w:val="List Bullet"/>
    <w:basedOn w:val="a"/>
    <w:qFormat/>
    <w:pPr>
      <w:tabs>
        <w:tab w:val="left" w:pos="360"/>
      </w:tabs>
      <w:ind w:left="360" w:hanging="360"/>
    </w:pPr>
  </w:style>
  <w:style w:type="paragraph" w:styleId="ae">
    <w:name w:val="Document Map"/>
    <w:basedOn w:val="a"/>
    <w:link w:val="af"/>
    <w:semiHidden/>
    <w:qFormat/>
    <w:pPr>
      <w:shd w:val="clear" w:color="auto" w:fill="000080"/>
    </w:pPr>
    <w:rPr>
      <w:rFonts w:ascii="Tahoma" w:hAnsi="Tahoma"/>
      <w:sz w:val="20"/>
      <w:lang w:val="zh-CN"/>
    </w:rPr>
  </w:style>
  <w:style w:type="paragraph" w:styleId="32">
    <w:name w:val="List Bullet 3"/>
    <w:basedOn w:val="a"/>
    <w:qFormat/>
    <w:pPr>
      <w:tabs>
        <w:tab w:val="left" w:pos="926"/>
      </w:tabs>
      <w:ind w:left="926" w:hanging="360"/>
    </w:pPr>
  </w:style>
  <w:style w:type="paragraph" w:styleId="33">
    <w:name w:val="List Number 3"/>
    <w:basedOn w:val="a"/>
    <w:qFormat/>
    <w:pPr>
      <w:tabs>
        <w:tab w:val="left" w:pos="926"/>
      </w:tabs>
      <w:ind w:left="926" w:hanging="360"/>
    </w:pPr>
  </w:style>
  <w:style w:type="paragraph" w:styleId="22">
    <w:name w:val="List 2"/>
    <w:basedOn w:val="a"/>
    <w:qFormat/>
    <w:pPr>
      <w:ind w:left="566" w:hanging="283"/>
    </w:pPr>
  </w:style>
  <w:style w:type="paragraph" w:styleId="af0">
    <w:name w:val="List Continue"/>
    <w:basedOn w:val="a"/>
    <w:qFormat/>
    <w:pPr>
      <w:spacing w:after="120"/>
      <w:ind w:left="283"/>
    </w:pPr>
  </w:style>
  <w:style w:type="paragraph" w:styleId="23">
    <w:name w:val="List Bullet 2"/>
    <w:basedOn w:val="a"/>
    <w:qFormat/>
    <w:pPr>
      <w:tabs>
        <w:tab w:val="left" w:pos="515"/>
      </w:tabs>
      <w:ind w:left="628" w:hanging="340"/>
    </w:pPr>
  </w:style>
  <w:style w:type="paragraph" w:styleId="51">
    <w:name w:val="List Bullet 5"/>
    <w:basedOn w:val="a"/>
    <w:qFormat/>
    <w:pPr>
      <w:tabs>
        <w:tab w:val="left" w:pos="1492"/>
      </w:tabs>
      <w:ind w:left="1492" w:hanging="360"/>
    </w:pPr>
  </w:style>
  <w:style w:type="paragraph" w:styleId="42">
    <w:name w:val="List Number 4"/>
    <w:basedOn w:val="a"/>
    <w:qFormat/>
    <w:pPr>
      <w:tabs>
        <w:tab w:val="left" w:pos="1209"/>
      </w:tabs>
      <w:ind w:left="1209" w:hanging="360"/>
    </w:pPr>
  </w:style>
  <w:style w:type="paragraph" w:styleId="52">
    <w:name w:val="List Continue 5"/>
    <w:basedOn w:val="a"/>
    <w:qFormat/>
    <w:pPr>
      <w:spacing w:after="120"/>
      <w:ind w:left="1415"/>
    </w:pPr>
  </w:style>
  <w:style w:type="paragraph" w:styleId="af1">
    <w:name w:val="Balloon Text"/>
    <w:basedOn w:val="a"/>
    <w:link w:val="af2"/>
    <w:uiPriority w:val="99"/>
    <w:unhideWhenUsed/>
    <w:qFormat/>
    <w:rPr>
      <w:rFonts w:ascii="Tahoma" w:hAnsi="Tahoma"/>
      <w:sz w:val="16"/>
      <w:szCs w:val="16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</w:pPr>
    <w:rPr>
      <w:rFonts w:ascii="Arial" w:hAnsi="Arial"/>
      <w:sz w:val="20"/>
      <w:lang w:val="zh-CN"/>
    </w:rPr>
  </w:style>
  <w:style w:type="paragraph" w:styleId="af5">
    <w:name w:val="header"/>
    <w:basedOn w:val="a"/>
    <w:link w:val="af6"/>
    <w:qFormat/>
    <w:pPr>
      <w:tabs>
        <w:tab w:val="center" w:pos="4153"/>
        <w:tab w:val="right" w:pos="8306"/>
      </w:tabs>
    </w:pPr>
    <w:rPr>
      <w:sz w:val="18"/>
      <w:lang w:val="zh-CN"/>
    </w:rPr>
  </w:style>
  <w:style w:type="paragraph" w:styleId="43">
    <w:name w:val="List Continue 4"/>
    <w:basedOn w:val="a"/>
    <w:qFormat/>
    <w:pPr>
      <w:spacing w:after="120"/>
      <w:ind w:left="1132"/>
    </w:pPr>
  </w:style>
  <w:style w:type="paragraph" w:styleId="af7">
    <w:name w:val="Subtitle"/>
    <w:basedOn w:val="a"/>
    <w:link w:val="af8"/>
    <w:qFormat/>
    <w:pPr>
      <w:spacing w:after="60"/>
      <w:outlineLvl w:val="1"/>
    </w:pPr>
    <w:rPr>
      <w:i/>
      <w:lang w:val="zh-CN"/>
    </w:rPr>
  </w:style>
  <w:style w:type="paragraph" w:styleId="53">
    <w:name w:val="List Number 5"/>
    <w:basedOn w:val="a"/>
    <w:qFormat/>
    <w:pPr>
      <w:tabs>
        <w:tab w:val="left" w:pos="1492"/>
      </w:tabs>
      <w:ind w:left="1492" w:hanging="360"/>
    </w:pPr>
  </w:style>
  <w:style w:type="paragraph" w:styleId="af9">
    <w:name w:val="List"/>
    <w:basedOn w:val="a"/>
    <w:qFormat/>
    <w:pPr>
      <w:ind w:left="283" w:hanging="283"/>
    </w:pPr>
  </w:style>
  <w:style w:type="paragraph" w:styleId="afa">
    <w:name w:val="footnote text"/>
    <w:basedOn w:val="a"/>
    <w:link w:val="afb"/>
    <w:semiHidden/>
    <w:qFormat/>
    <w:rPr>
      <w:sz w:val="20"/>
      <w:lang w:val="zh-CN"/>
    </w:rPr>
  </w:style>
  <w:style w:type="paragraph" w:styleId="54">
    <w:name w:val="List 5"/>
    <w:basedOn w:val="a"/>
    <w:qFormat/>
    <w:pPr>
      <w:ind w:left="1415" w:hanging="283"/>
    </w:pPr>
  </w:style>
  <w:style w:type="paragraph" w:styleId="44">
    <w:name w:val="List 4"/>
    <w:basedOn w:val="a"/>
    <w:qFormat/>
    <w:pPr>
      <w:ind w:left="1132" w:hanging="283"/>
    </w:pPr>
  </w:style>
  <w:style w:type="paragraph" w:styleId="24">
    <w:name w:val="List Continue 2"/>
    <w:basedOn w:val="a"/>
    <w:qFormat/>
    <w:pPr>
      <w:spacing w:after="120"/>
      <w:ind w:left="566"/>
    </w:pPr>
  </w:style>
  <w:style w:type="paragraph" w:styleId="afc">
    <w:name w:val="Message Header"/>
    <w:basedOn w:val="a"/>
    <w:link w:val="afd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  <w:lang w:val="zh-CN"/>
    </w:rPr>
  </w:style>
  <w:style w:type="paragraph" w:styleId="34">
    <w:name w:val="List Continue 3"/>
    <w:basedOn w:val="a"/>
    <w:qFormat/>
    <w:pPr>
      <w:spacing w:after="120"/>
      <w:ind w:left="849"/>
    </w:pPr>
  </w:style>
  <w:style w:type="paragraph" w:styleId="afe">
    <w:name w:val="Title"/>
    <w:basedOn w:val="a"/>
    <w:link w:val="aff"/>
    <w:qFormat/>
    <w:pPr>
      <w:spacing w:before="60" w:after="60"/>
      <w:outlineLvl w:val="0"/>
    </w:pPr>
    <w:rPr>
      <w:b/>
      <w:sz w:val="28"/>
      <w:lang w:val="zh-CN"/>
    </w:rPr>
  </w:style>
  <w:style w:type="character" w:styleId="aff0">
    <w:name w:val="Strong"/>
    <w:uiPriority w:val="22"/>
    <w:qFormat/>
    <w:rPr>
      <w:b/>
      <w:bCs/>
    </w:rPr>
  </w:style>
  <w:style w:type="character" w:styleId="aff1">
    <w:name w:val="page number"/>
    <w:basedOn w:val="a0"/>
    <w:qFormat/>
  </w:style>
  <w:style w:type="character" w:styleId="aff2">
    <w:name w:val="FollowedHyperlink"/>
    <w:qFormat/>
    <w:rPr>
      <w:color w:val="800080"/>
      <w:u w:val="single"/>
    </w:rPr>
  </w:style>
  <w:style w:type="character" w:styleId="aff3">
    <w:name w:val="Emphasis"/>
    <w:uiPriority w:val="20"/>
    <w:qFormat/>
    <w:rPr>
      <w:i/>
      <w:iCs/>
    </w:rPr>
  </w:style>
  <w:style w:type="character" w:styleId="aff4">
    <w:name w:val="line number"/>
    <w:basedOn w:val="a0"/>
    <w:qFormat/>
  </w:style>
  <w:style w:type="character" w:styleId="aff5">
    <w:name w:val="Hyperlink"/>
    <w:qFormat/>
    <w:rPr>
      <w:color w:val="0000FF"/>
      <w:u w:val="single"/>
    </w:rPr>
  </w:style>
  <w:style w:type="character" w:styleId="aff6">
    <w:name w:val="annotation reference"/>
    <w:uiPriority w:val="99"/>
    <w:unhideWhenUsed/>
    <w:qFormat/>
    <w:rPr>
      <w:sz w:val="16"/>
      <w:szCs w:val="16"/>
    </w:rPr>
  </w:style>
  <w:style w:type="character" w:styleId="aff7">
    <w:name w:val="footnote reference"/>
    <w:semiHidden/>
    <w:qFormat/>
    <w:rPr>
      <w:vertAlign w:val="superscript"/>
    </w:rPr>
  </w:style>
  <w:style w:type="character" w:customStyle="1" w:styleId="af6">
    <w:name w:val="页眉 字符"/>
    <w:link w:val="af5"/>
    <w:qFormat/>
    <w:rPr>
      <w:rFonts w:ascii="Times New Roman" w:eastAsia="Times New Roman" w:hAnsi="Times New Roman"/>
      <w:sz w:val="18"/>
      <w:lang w:eastAsia="en-US"/>
    </w:rPr>
  </w:style>
  <w:style w:type="character" w:customStyle="1" w:styleId="af4">
    <w:name w:val="页脚 字符"/>
    <w:link w:val="af3"/>
    <w:qFormat/>
    <w:rPr>
      <w:rFonts w:ascii="Arial" w:eastAsia="Times New Roman" w:hAnsi="Arial"/>
      <w:lang w:eastAsia="en-US"/>
    </w:rPr>
  </w:style>
  <w:style w:type="character" w:customStyle="1" w:styleId="10">
    <w:name w:val="标题 1 字符"/>
    <w:link w:val="1"/>
    <w:qFormat/>
    <w:rPr>
      <w:rFonts w:ascii="Arial" w:eastAsia="Times New Roman" w:hAnsi="Arial"/>
      <w:b/>
      <w:bCs/>
      <w:kern w:val="32"/>
      <w:sz w:val="32"/>
      <w:szCs w:val="32"/>
      <w:lang w:eastAsia="en-US"/>
    </w:rPr>
  </w:style>
  <w:style w:type="character" w:customStyle="1" w:styleId="20">
    <w:name w:val="标题 2 字符"/>
    <w:link w:val="2"/>
    <w:qFormat/>
    <w:rPr>
      <w:rFonts w:ascii="Arial" w:eastAsia="Times New Roman" w:hAnsi="Arial"/>
      <w:b/>
      <w:i/>
      <w:sz w:val="24"/>
      <w:lang w:eastAsia="en-US"/>
    </w:rPr>
  </w:style>
  <w:style w:type="character" w:customStyle="1" w:styleId="30">
    <w:name w:val="标题 3 字符"/>
    <w:link w:val="3"/>
    <w:qFormat/>
    <w:rPr>
      <w:rFonts w:ascii="Arial" w:eastAsia="Times New Roman" w:hAnsi="Arial"/>
      <w:sz w:val="24"/>
      <w:lang w:eastAsia="en-US"/>
    </w:rPr>
  </w:style>
  <w:style w:type="character" w:customStyle="1" w:styleId="40">
    <w:name w:val="标题 4 字符"/>
    <w:link w:val="4"/>
    <w:qFormat/>
    <w:rPr>
      <w:rFonts w:ascii="Arial" w:eastAsia="Times New Roman" w:hAnsi="Arial"/>
      <w:b/>
      <w:sz w:val="24"/>
      <w:lang w:eastAsia="en-US"/>
    </w:rPr>
  </w:style>
  <w:style w:type="character" w:customStyle="1" w:styleId="50">
    <w:name w:val="标题 5 字符"/>
    <w:link w:val="5"/>
    <w:qFormat/>
    <w:rPr>
      <w:rFonts w:ascii="Times New Roman" w:eastAsia="Times New Roman" w:hAnsi="Times New Roman"/>
      <w:sz w:val="22"/>
      <w:lang w:eastAsia="en-US"/>
    </w:rPr>
  </w:style>
  <w:style w:type="character" w:customStyle="1" w:styleId="60">
    <w:name w:val="标题 6 字符"/>
    <w:link w:val="6"/>
    <w:qFormat/>
    <w:rPr>
      <w:rFonts w:ascii="Times New Roman" w:eastAsia="Times New Roman" w:hAnsi="Times New Roman"/>
      <w:i/>
      <w:sz w:val="22"/>
      <w:lang w:eastAsia="en-US"/>
    </w:rPr>
  </w:style>
  <w:style w:type="character" w:customStyle="1" w:styleId="70">
    <w:name w:val="标题 7 字符"/>
    <w:link w:val="7"/>
    <w:qFormat/>
    <w:rPr>
      <w:rFonts w:ascii="Arial" w:eastAsia="Times New Roman" w:hAnsi="Arial"/>
      <w:lang w:eastAsia="en-US"/>
    </w:rPr>
  </w:style>
  <w:style w:type="character" w:customStyle="1" w:styleId="80">
    <w:name w:val="标题 8 字符"/>
    <w:link w:val="8"/>
    <w:qFormat/>
    <w:rPr>
      <w:rFonts w:ascii="Arial" w:eastAsia="Times New Roman" w:hAnsi="Arial"/>
      <w:i/>
      <w:lang w:eastAsia="en-US"/>
    </w:rPr>
  </w:style>
  <w:style w:type="character" w:customStyle="1" w:styleId="90">
    <w:name w:val="标题 9 字符"/>
    <w:link w:val="9"/>
    <w:qFormat/>
    <w:rPr>
      <w:rFonts w:ascii="Arial" w:eastAsia="Times New Roman" w:hAnsi="Arial"/>
      <w:b/>
      <w:i/>
      <w:sz w:val="18"/>
      <w:lang w:eastAsia="en-US"/>
    </w:rPr>
  </w:style>
  <w:style w:type="paragraph" w:customStyle="1" w:styleId="Abbreviations">
    <w:name w:val="Abbreviations"/>
    <w:basedOn w:val="a"/>
    <w:qFormat/>
  </w:style>
  <w:style w:type="paragraph" w:customStyle="1" w:styleId="AbstractPara">
    <w:name w:val="AbstractPara"/>
    <w:basedOn w:val="a"/>
    <w:qFormat/>
  </w:style>
  <w:style w:type="paragraph" w:customStyle="1" w:styleId="AbstractTitle">
    <w:name w:val="AbstractTitle"/>
    <w:basedOn w:val="a"/>
    <w:next w:val="AbstractPara"/>
    <w:qFormat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"/>
    <w:qFormat/>
    <w:pPr>
      <w:spacing w:before="120" w:line="240" w:lineRule="exact"/>
    </w:pPr>
  </w:style>
  <w:style w:type="paragraph" w:customStyle="1" w:styleId="Acknowledge">
    <w:name w:val="Acknowledge"/>
    <w:basedOn w:val="a"/>
    <w:qFormat/>
  </w:style>
  <w:style w:type="paragraph" w:customStyle="1" w:styleId="Address">
    <w:name w:val="Address"/>
    <w:basedOn w:val="a"/>
    <w:qFormat/>
    <w:pPr>
      <w:numPr>
        <w:numId w:val="2"/>
      </w:numPr>
      <w:spacing w:before="120" w:after="40"/>
    </w:pPr>
  </w:style>
  <w:style w:type="paragraph" w:customStyle="1" w:styleId="Author">
    <w:name w:val="Author"/>
    <w:basedOn w:val="a"/>
    <w:next w:val="a"/>
    <w:qFormat/>
    <w:pPr>
      <w:spacing w:before="80"/>
    </w:pPr>
  </w:style>
  <w:style w:type="paragraph" w:customStyle="1" w:styleId="AuthoredBy">
    <w:name w:val="AuthoredBy"/>
    <w:basedOn w:val="a"/>
    <w:qFormat/>
  </w:style>
  <w:style w:type="paragraph" w:customStyle="1" w:styleId="Banner">
    <w:name w:val="Banner"/>
    <w:basedOn w:val="a"/>
    <w:qFormat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"/>
    <w:qFormat/>
    <w:pPr>
      <w:pBdr>
        <w:bottom w:val="single" w:sz="12" w:space="1" w:color="auto"/>
        <w:right w:val="single" w:sz="12" w:space="1" w:color="auto"/>
      </w:pBdr>
      <w:spacing w:after="120"/>
    </w:pPr>
  </w:style>
  <w:style w:type="paragraph" w:customStyle="1" w:styleId="BoxStart1">
    <w:name w:val="BoxStart1"/>
    <w:basedOn w:val="a"/>
    <w:qFormat/>
    <w:pPr>
      <w:pBdr>
        <w:top w:val="single" w:sz="12" w:space="1" w:color="auto"/>
        <w:left w:val="single" w:sz="12" w:space="1" w:color="auto"/>
      </w:pBdr>
    </w:pPr>
  </w:style>
  <w:style w:type="paragraph" w:customStyle="1" w:styleId="BoxStart2">
    <w:name w:val="BoxStart2"/>
    <w:basedOn w:val="BoxStart1"/>
    <w:qFormat/>
  </w:style>
  <w:style w:type="paragraph" w:customStyle="1" w:styleId="BoxStart3">
    <w:name w:val="BoxStart3"/>
    <w:basedOn w:val="BoxStart1"/>
    <w:qFormat/>
  </w:style>
  <w:style w:type="paragraph" w:customStyle="1" w:styleId="Epigraph">
    <w:name w:val="Epigraph"/>
    <w:basedOn w:val="IndentQuote"/>
    <w:qFormat/>
  </w:style>
  <w:style w:type="paragraph" w:customStyle="1" w:styleId="IndentQuote">
    <w:name w:val="IndentQuote"/>
    <w:basedOn w:val="a"/>
    <w:qFormat/>
    <w:pPr>
      <w:spacing w:before="60" w:line="240" w:lineRule="exact"/>
      <w:ind w:left="288" w:right="288"/>
    </w:pPr>
  </w:style>
  <w:style w:type="character" w:customStyle="1" w:styleId="aff">
    <w:name w:val="标题 字符"/>
    <w:link w:val="afe"/>
    <w:qFormat/>
    <w:rPr>
      <w:rFonts w:ascii="Times New Roman" w:eastAsia="Times New Roman" w:hAnsi="Times New Roman"/>
      <w:b/>
      <w:sz w:val="28"/>
      <w:lang w:eastAsia="en-US"/>
    </w:rPr>
  </w:style>
  <w:style w:type="paragraph" w:customStyle="1" w:styleId="Conflict">
    <w:name w:val="Conflict"/>
    <w:basedOn w:val="a"/>
    <w:qFormat/>
    <w:pPr>
      <w:spacing w:before="120" w:after="120"/>
    </w:pPr>
  </w:style>
  <w:style w:type="paragraph" w:customStyle="1" w:styleId="Correspdent">
    <w:name w:val="Correspdent"/>
    <w:basedOn w:val="a"/>
    <w:qFormat/>
  </w:style>
  <w:style w:type="paragraph" w:customStyle="1" w:styleId="Credit">
    <w:name w:val="Credit"/>
    <w:basedOn w:val="ac"/>
    <w:qFormat/>
    <w:rPr>
      <w:sz w:val="18"/>
    </w:rPr>
  </w:style>
  <w:style w:type="paragraph" w:customStyle="1" w:styleId="Article">
    <w:name w:val="Article"/>
    <w:basedOn w:val="a"/>
    <w:qFormat/>
    <w:pPr>
      <w:keepNext/>
      <w:suppressAutoHyphens/>
      <w:spacing w:before="120" w:after="60"/>
    </w:pPr>
    <w:rPr>
      <w:rFonts w:ascii="Arial" w:hAnsi="Arial"/>
      <w:b/>
      <w:sz w:val="18"/>
    </w:rPr>
  </w:style>
  <w:style w:type="paragraph" w:customStyle="1" w:styleId="Para">
    <w:name w:val="Para"/>
    <w:basedOn w:val="a"/>
    <w:qFormat/>
    <w:pPr>
      <w:spacing w:line="360" w:lineRule="auto"/>
      <w:ind w:firstLine="288"/>
    </w:pPr>
  </w:style>
  <w:style w:type="paragraph" w:customStyle="1" w:styleId="Equation">
    <w:name w:val="Equation"/>
    <w:basedOn w:val="a"/>
    <w:qFormat/>
    <w:rPr>
      <w:b/>
      <w:i/>
    </w:rPr>
  </w:style>
  <w:style w:type="paragraph" w:customStyle="1" w:styleId="FigLeg">
    <w:name w:val="FigLeg"/>
    <w:basedOn w:val="a"/>
    <w:qFormat/>
  </w:style>
  <w:style w:type="paragraph" w:customStyle="1" w:styleId="Figure">
    <w:name w:val="Figure"/>
    <w:basedOn w:val="a"/>
    <w:qFormat/>
    <w:pPr>
      <w:numPr>
        <w:numId w:val="3"/>
      </w:numPr>
      <w:tabs>
        <w:tab w:val="left" w:pos="720"/>
      </w:tabs>
    </w:pPr>
    <w:rPr>
      <w:b/>
    </w:rPr>
  </w:style>
  <w:style w:type="character" w:customStyle="1" w:styleId="FigureRef">
    <w:name w:val="FigureRef"/>
    <w:qFormat/>
    <w:rPr>
      <w:color w:val="0000FF"/>
      <w:vertAlign w:val="superscript"/>
    </w:rPr>
  </w:style>
  <w:style w:type="character" w:customStyle="1" w:styleId="FnoteRef">
    <w:name w:val="FnoteRef"/>
    <w:qFormat/>
    <w:rPr>
      <w:color w:val="FF0000"/>
      <w:vertAlign w:val="superscript"/>
    </w:rPr>
  </w:style>
  <w:style w:type="paragraph" w:customStyle="1" w:styleId="Footnote">
    <w:name w:val="Footnote"/>
    <w:basedOn w:val="a"/>
    <w:qFormat/>
  </w:style>
  <w:style w:type="character" w:customStyle="1" w:styleId="afb">
    <w:name w:val="脚注文本 字符"/>
    <w:link w:val="afa"/>
    <w:semiHidden/>
    <w:qFormat/>
    <w:rPr>
      <w:rFonts w:ascii="Times New Roman" w:eastAsia="Times New Roman" w:hAnsi="Times New Roman"/>
      <w:lang w:eastAsia="en-US"/>
    </w:rPr>
  </w:style>
  <w:style w:type="paragraph" w:customStyle="1" w:styleId="Funding">
    <w:name w:val="Funding"/>
    <w:basedOn w:val="a"/>
    <w:qFormat/>
    <w:pPr>
      <w:spacing w:after="120"/>
    </w:pPr>
  </w:style>
  <w:style w:type="paragraph" w:customStyle="1" w:styleId="ArtGroupTitle">
    <w:name w:val="ArtGroupTitle"/>
    <w:basedOn w:val="afe"/>
    <w:next w:val="afe"/>
    <w:qFormat/>
  </w:style>
  <w:style w:type="paragraph" w:customStyle="1" w:styleId="HeadA">
    <w:name w:val="HeadA"/>
    <w:basedOn w:val="a"/>
    <w:qFormat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"/>
    <w:qFormat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"/>
    <w:qFormat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customStyle="1" w:styleId="Keywords">
    <w:name w:val="Keywords"/>
    <w:basedOn w:val="a"/>
    <w:qFormat/>
  </w:style>
  <w:style w:type="paragraph" w:customStyle="1" w:styleId="List1">
    <w:name w:val="List1"/>
    <w:basedOn w:val="a"/>
    <w:qFormat/>
    <w:pPr>
      <w:spacing w:before="40" w:after="120" w:line="240" w:lineRule="exact"/>
    </w:pPr>
  </w:style>
  <w:style w:type="paragraph" w:customStyle="1" w:styleId="List2">
    <w:name w:val="List2"/>
    <w:basedOn w:val="a"/>
    <w:qFormat/>
    <w:pPr>
      <w:spacing w:before="40" w:line="240" w:lineRule="exact"/>
      <w:ind w:left="720"/>
    </w:pPr>
  </w:style>
  <w:style w:type="paragraph" w:customStyle="1" w:styleId="ListPara">
    <w:name w:val="ListPara"/>
    <w:basedOn w:val="a"/>
    <w:qFormat/>
    <w:pPr>
      <w:ind w:left="720"/>
    </w:pPr>
  </w:style>
  <w:style w:type="paragraph" w:customStyle="1" w:styleId="Miscellaneous">
    <w:name w:val="Miscellaneous"/>
    <w:basedOn w:val="a"/>
    <w:qFormat/>
    <w:pPr>
      <w:spacing w:before="120" w:line="240" w:lineRule="exact"/>
    </w:pPr>
  </w:style>
  <w:style w:type="paragraph" w:customStyle="1" w:styleId="MoreInfo">
    <w:name w:val="MoreInfo"/>
    <w:basedOn w:val="a"/>
    <w:qFormat/>
    <w:pPr>
      <w:spacing w:before="120"/>
    </w:pPr>
  </w:style>
  <w:style w:type="paragraph" w:customStyle="1" w:styleId="MoreInfoWeb">
    <w:name w:val="MoreInfoWeb"/>
    <w:basedOn w:val="a"/>
    <w:qFormat/>
    <w:pPr>
      <w:spacing w:before="120" w:line="240" w:lineRule="exact"/>
    </w:pPr>
  </w:style>
  <w:style w:type="paragraph" w:customStyle="1" w:styleId="Collaboration">
    <w:name w:val="Collaboration"/>
    <w:basedOn w:val="Author"/>
    <w:qFormat/>
  </w:style>
  <w:style w:type="paragraph" w:customStyle="1" w:styleId="ParaCont">
    <w:name w:val="ParaCont"/>
    <w:basedOn w:val="a"/>
    <w:qFormat/>
    <w:pPr>
      <w:spacing w:line="360" w:lineRule="auto"/>
    </w:pPr>
  </w:style>
  <w:style w:type="paragraph" w:customStyle="1" w:styleId="HeadE">
    <w:name w:val="HeadE"/>
    <w:basedOn w:val="HeadD"/>
    <w:qFormat/>
    <w:rPr>
      <w:b w:val="0"/>
      <w:i/>
    </w:rPr>
  </w:style>
  <w:style w:type="paragraph" w:customStyle="1" w:styleId="HeadD">
    <w:name w:val="HeadD"/>
    <w:basedOn w:val="HeadB"/>
    <w:next w:val="a"/>
    <w:qFormat/>
    <w:pPr>
      <w:outlineLvl w:val="4"/>
    </w:pPr>
    <w:rPr>
      <w:sz w:val="16"/>
    </w:rPr>
  </w:style>
  <w:style w:type="paragraph" w:customStyle="1" w:styleId="Participators">
    <w:name w:val="Participators"/>
    <w:basedOn w:val="a"/>
    <w:qFormat/>
    <w:pPr>
      <w:spacing w:before="120" w:after="120"/>
    </w:pPr>
  </w:style>
  <w:style w:type="paragraph" w:customStyle="1" w:styleId="Position">
    <w:name w:val="Position"/>
    <w:basedOn w:val="a"/>
    <w:next w:val="a"/>
    <w:qFormat/>
    <w:rPr>
      <w:i/>
    </w:rPr>
  </w:style>
  <w:style w:type="paragraph" w:customStyle="1" w:styleId="ProductAuth">
    <w:name w:val="ProductAuth"/>
    <w:basedOn w:val="Address"/>
    <w:qFormat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qFormat/>
  </w:style>
  <w:style w:type="paragraph" w:customStyle="1" w:styleId="QuoteRef">
    <w:name w:val="QuoteRef"/>
    <w:basedOn w:val="a"/>
    <w:qFormat/>
    <w:pPr>
      <w:spacing w:after="60"/>
    </w:pPr>
  </w:style>
  <w:style w:type="paragraph" w:customStyle="1" w:styleId="Rating">
    <w:name w:val="Rating"/>
    <w:basedOn w:val="Para"/>
    <w:qFormat/>
    <w:pPr>
      <w:ind w:firstLine="0"/>
    </w:pPr>
  </w:style>
  <w:style w:type="paragraph" w:customStyle="1" w:styleId="Reference">
    <w:name w:val="Reference"/>
    <w:basedOn w:val="a"/>
    <w:qFormat/>
    <w:pPr>
      <w:numPr>
        <w:numId w:val="4"/>
      </w:numPr>
      <w:spacing w:before="40" w:line="360" w:lineRule="auto"/>
    </w:pPr>
  </w:style>
  <w:style w:type="paragraph" w:customStyle="1" w:styleId="RelatedTo">
    <w:name w:val="RelatedTo"/>
    <w:basedOn w:val="a"/>
    <w:qFormat/>
  </w:style>
  <w:style w:type="paragraph" w:customStyle="1" w:styleId="RelatedToWeb">
    <w:name w:val="RelatedToWeb"/>
    <w:basedOn w:val="a"/>
    <w:qFormat/>
  </w:style>
  <w:style w:type="paragraph" w:customStyle="1" w:styleId="OnBehalfOf">
    <w:name w:val="OnBehalfOf"/>
    <w:basedOn w:val="ShortTitle"/>
    <w:qFormat/>
    <w:pPr>
      <w:spacing w:before="120" w:after="120"/>
    </w:pPr>
    <w:rPr>
      <w:i w:val="0"/>
    </w:rPr>
  </w:style>
  <w:style w:type="paragraph" w:customStyle="1" w:styleId="ShortTitle">
    <w:name w:val="ShortTitle"/>
    <w:basedOn w:val="a"/>
    <w:qFormat/>
    <w:rPr>
      <w:i/>
    </w:rPr>
  </w:style>
  <w:style w:type="paragraph" w:customStyle="1" w:styleId="ShortAuthor">
    <w:name w:val="ShortAuthor"/>
    <w:basedOn w:val="a"/>
    <w:qFormat/>
    <w:rPr>
      <w:i/>
    </w:rPr>
  </w:style>
  <w:style w:type="paragraph" w:customStyle="1" w:styleId="SourceRef">
    <w:name w:val="SourceRef"/>
    <w:basedOn w:val="Para"/>
    <w:qFormat/>
    <w:pPr>
      <w:ind w:firstLine="0"/>
    </w:pPr>
  </w:style>
  <w:style w:type="paragraph" w:customStyle="1" w:styleId="Standfirst">
    <w:name w:val="Standfirst"/>
    <w:basedOn w:val="Accepted"/>
    <w:qFormat/>
  </w:style>
  <w:style w:type="character" w:customStyle="1" w:styleId="af8">
    <w:name w:val="副标题 字符"/>
    <w:link w:val="af7"/>
    <w:qFormat/>
    <w:rPr>
      <w:rFonts w:ascii="Times New Roman" w:eastAsia="Times New Roman" w:hAnsi="Times New Roman"/>
      <w:i/>
      <w:sz w:val="24"/>
      <w:lang w:eastAsia="en-US"/>
    </w:rPr>
  </w:style>
  <w:style w:type="paragraph" w:customStyle="1" w:styleId="11">
    <w:name w:val="副标题1"/>
    <w:basedOn w:val="af7"/>
    <w:qFormat/>
  </w:style>
  <w:style w:type="paragraph" w:customStyle="1" w:styleId="Table">
    <w:name w:val="Table"/>
    <w:basedOn w:val="a"/>
    <w:qFormat/>
    <w:pPr>
      <w:numPr>
        <w:numId w:val="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a"/>
    <w:qFormat/>
  </w:style>
  <w:style w:type="character" w:customStyle="1" w:styleId="TableRef">
    <w:name w:val="TableRef"/>
    <w:qFormat/>
    <w:rPr>
      <w:color w:val="0000FF"/>
      <w:vertAlign w:val="superscript"/>
    </w:rPr>
  </w:style>
  <w:style w:type="paragraph" w:customStyle="1" w:styleId="TableTitle">
    <w:name w:val="TableTitle"/>
    <w:basedOn w:val="a"/>
    <w:qFormat/>
  </w:style>
  <w:style w:type="paragraph" w:customStyle="1" w:styleId="Topic">
    <w:name w:val="Topic"/>
    <w:basedOn w:val="a"/>
    <w:qFormat/>
    <w:pPr>
      <w:spacing w:before="40" w:line="260" w:lineRule="exact"/>
    </w:pPr>
    <w:rPr>
      <w:i/>
      <w:color w:val="0000FF"/>
    </w:rPr>
  </w:style>
  <w:style w:type="character" w:customStyle="1" w:styleId="URL">
    <w:name w:val="URL"/>
    <w:qFormat/>
    <w:rPr>
      <w:color w:val="666699"/>
    </w:rPr>
  </w:style>
  <w:style w:type="paragraph" w:customStyle="1" w:styleId="WebRef">
    <w:name w:val="WebRef"/>
    <w:basedOn w:val="a"/>
    <w:qFormat/>
    <w:pPr>
      <w:numPr>
        <w:numId w:val="6"/>
      </w:numPr>
      <w:tabs>
        <w:tab w:val="left" w:pos="720"/>
      </w:tabs>
    </w:pPr>
  </w:style>
  <w:style w:type="character" w:customStyle="1" w:styleId="XRef">
    <w:name w:val="XRef"/>
    <w:qFormat/>
    <w:rPr>
      <w:color w:val="0000FF"/>
      <w:vertAlign w:val="superscript"/>
    </w:rPr>
  </w:style>
  <w:style w:type="character" w:customStyle="1" w:styleId="wXRef">
    <w:name w:val="wXRef"/>
    <w:basedOn w:val="XRef"/>
    <w:qFormat/>
    <w:rPr>
      <w:color w:val="0000FF"/>
      <w:vertAlign w:val="superscript"/>
    </w:rPr>
  </w:style>
  <w:style w:type="character" w:customStyle="1" w:styleId="email">
    <w:name w:val="email"/>
    <w:basedOn w:val="URL"/>
    <w:qFormat/>
    <w:rPr>
      <w:color w:val="666699"/>
    </w:rPr>
  </w:style>
  <w:style w:type="paragraph" w:customStyle="1" w:styleId="BoxStartx">
    <w:name w:val="BoxStartx"/>
    <w:basedOn w:val="BoxStart1"/>
    <w:qFormat/>
  </w:style>
  <w:style w:type="character" w:customStyle="1" w:styleId="a8">
    <w:name w:val="宏文本 字符"/>
    <w:link w:val="a7"/>
    <w:semiHidden/>
    <w:qFormat/>
    <w:rPr>
      <w:rFonts w:ascii="Courier New" w:eastAsia="Times New Roman" w:hAnsi="Courier New"/>
      <w:lang w:val="en-GB" w:eastAsia="en-US" w:bidi="ar-SA"/>
    </w:rPr>
  </w:style>
  <w:style w:type="character" w:customStyle="1" w:styleId="afd">
    <w:name w:val="信息标题 字符"/>
    <w:link w:val="afc"/>
    <w:qFormat/>
    <w:rPr>
      <w:rFonts w:ascii="Arial" w:eastAsia="Times New Roman" w:hAnsi="Arial"/>
      <w:sz w:val="24"/>
      <w:szCs w:val="24"/>
      <w:shd w:val="pct20" w:color="auto" w:fill="auto"/>
      <w:lang w:eastAsia="en-US"/>
    </w:rPr>
  </w:style>
  <w:style w:type="character" w:customStyle="1" w:styleId="aa">
    <w:name w:val="注释标题 字符"/>
    <w:link w:val="a9"/>
    <w:qFormat/>
    <w:rPr>
      <w:rFonts w:ascii="Times New Roman" w:eastAsia="Times New Roman" w:hAnsi="Times New Roman"/>
      <w:sz w:val="24"/>
      <w:lang w:eastAsia="en-US"/>
    </w:rPr>
  </w:style>
  <w:style w:type="character" w:customStyle="1" w:styleId="ParaHead">
    <w:name w:val="ParaHead"/>
    <w:qFormat/>
    <w:rPr>
      <w:color w:val="999999"/>
      <w:shd w:val="clear" w:color="auto" w:fill="auto"/>
    </w:rPr>
  </w:style>
  <w:style w:type="paragraph" w:customStyle="1" w:styleId="TableHeader">
    <w:name w:val="TableHeader"/>
    <w:basedOn w:val="Para"/>
    <w:qFormat/>
    <w:pPr>
      <w:spacing w:before="120" w:line="240" w:lineRule="auto"/>
      <w:ind w:firstLine="0"/>
    </w:pPr>
    <w:rPr>
      <w:b/>
    </w:rPr>
  </w:style>
  <w:style w:type="character" w:customStyle="1" w:styleId="Image">
    <w:name w:val="Image"/>
    <w:qFormat/>
    <w:rPr>
      <w:b/>
      <w:color w:val="00FF00"/>
    </w:rPr>
  </w:style>
  <w:style w:type="paragraph" w:customStyle="1" w:styleId="TableSubHead">
    <w:name w:val="TableSubHead"/>
    <w:basedOn w:val="TableHeader"/>
    <w:qFormat/>
  </w:style>
  <w:style w:type="paragraph" w:customStyle="1" w:styleId="ArtGroup">
    <w:name w:val="ArtGroup"/>
    <w:basedOn w:val="Article"/>
    <w:qFormat/>
    <w:rPr>
      <w:sz w:val="22"/>
    </w:rPr>
  </w:style>
  <w:style w:type="paragraph" w:customStyle="1" w:styleId="Biog">
    <w:name w:val="Biog"/>
    <w:basedOn w:val="MoreInfo"/>
    <w:qFormat/>
  </w:style>
  <w:style w:type="paragraph" w:customStyle="1" w:styleId="SearchInfo">
    <w:name w:val="SearchInfo"/>
    <w:basedOn w:val="a"/>
    <w:qFormat/>
    <w:pPr>
      <w:spacing w:before="120" w:line="240" w:lineRule="exact"/>
    </w:pPr>
  </w:style>
  <w:style w:type="paragraph" w:customStyle="1" w:styleId="SeriesInfo">
    <w:name w:val="SeriesInfo"/>
    <w:basedOn w:val="a"/>
    <w:qFormat/>
    <w:pPr>
      <w:spacing w:before="120" w:line="240" w:lineRule="exact"/>
    </w:pPr>
  </w:style>
  <w:style w:type="paragraph" w:customStyle="1" w:styleId="Remark">
    <w:name w:val="Remark"/>
    <w:basedOn w:val="a"/>
    <w:qFormat/>
    <w:rPr>
      <w:color w:val="FF0000"/>
    </w:rPr>
  </w:style>
  <w:style w:type="paragraph" w:customStyle="1" w:styleId="BoxStart4">
    <w:name w:val="BoxStart4"/>
    <w:basedOn w:val="BoxStart3"/>
    <w:qFormat/>
  </w:style>
  <w:style w:type="paragraph" w:customStyle="1" w:styleId="12">
    <w:name w:val="书目1"/>
    <w:basedOn w:val="Reference"/>
    <w:qFormat/>
    <w:pPr>
      <w:numPr>
        <w:numId w:val="0"/>
      </w:numPr>
    </w:pPr>
  </w:style>
  <w:style w:type="paragraph" w:customStyle="1" w:styleId="PullQuote">
    <w:name w:val="PullQuote"/>
    <w:basedOn w:val="IndentQuote"/>
    <w:qFormat/>
  </w:style>
  <w:style w:type="paragraph" w:customStyle="1" w:styleId="AncillHead">
    <w:name w:val="AncillHead"/>
    <w:basedOn w:val="HeadB"/>
    <w:qFormat/>
  </w:style>
  <w:style w:type="paragraph" w:customStyle="1" w:styleId="RefHead">
    <w:name w:val="RefHead"/>
    <w:basedOn w:val="HeadB"/>
    <w:qFormat/>
  </w:style>
  <w:style w:type="paragraph" w:customStyle="1" w:styleId="FlushQuote">
    <w:name w:val="FlushQuote"/>
    <w:basedOn w:val="IndentQuote"/>
    <w:qFormat/>
    <w:pPr>
      <w:ind w:left="0" w:right="0"/>
    </w:pPr>
    <w:rPr>
      <w:sz w:val="22"/>
    </w:rPr>
  </w:style>
  <w:style w:type="paragraph" w:customStyle="1" w:styleId="ProductTitle">
    <w:name w:val="ProductTitle"/>
    <w:basedOn w:val="a"/>
    <w:next w:val="ProductAuth"/>
    <w:qFormat/>
    <w:rPr>
      <w:b/>
      <w:sz w:val="28"/>
    </w:rPr>
  </w:style>
  <w:style w:type="paragraph" w:customStyle="1" w:styleId="EthicalApproval">
    <w:name w:val="EthicalApproval"/>
    <w:basedOn w:val="Participators"/>
    <w:qFormat/>
  </w:style>
  <w:style w:type="character" w:customStyle="1" w:styleId="addRef">
    <w:name w:val="addRef"/>
    <w:basedOn w:val="XRef"/>
    <w:qFormat/>
    <w:rPr>
      <w:color w:val="0000FF"/>
      <w:vertAlign w:val="superscript"/>
    </w:rPr>
  </w:style>
  <w:style w:type="paragraph" w:customStyle="1" w:styleId="AmendmentNote">
    <w:name w:val="AmendmentNote"/>
    <w:basedOn w:val="MoreInfo"/>
    <w:qFormat/>
  </w:style>
  <w:style w:type="paragraph" w:customStyle="1" w:styleId="List3">
    <w:name w:val="List3"/>
    <w:basedOn w:val="List2"/>
    <w:qFormat/>
    <w:pPr>
      <w:ind w:left="1200"/>
    </w:pPr>
  </w:style>
  <w:style w:type="paragraph" w:customStyle="1" w:styleId="EdNoteTitle">
    <w:name w:val="EdNoteTitle"/>
    <w:basedOn w:val="HeadA"/>
    <w:qFormat/>
    <w:rPr>
      <w:sz w:val="28"/>
    </w:rPr>
  </w:style>
  <w:style w:type="character" w:customStyle="1" w:styleId="surname">
    <w:name w:val="surname"/>
    <w:qFormat/>
    <w:rPr>
      <w:color w:val="993366"/>
      <w:shd w:val="clear" w:color="auto" w:fill="auto"/>
    </w:rPr>
  </w:style>
  <w:style w:type="character" w:customStyle="1" w:styleId="suffix">
    <w:name w:val="suffix"/>
    <w:qFormat/>
    <w:rPr>
      <w:color w:val="339966"/>
      <w:shd w:val="clear" w:color="auto" w:fill="auto"/>
    </w:rPr>
  </w:style>
  <w:style w:type="paragraph" w:customStyle="1" w:styleId="BoxFootnote">
    <w:name w:val="BoxFootnote"/>
    <w:basedOn w:val="Footnote"/>
    <w:qFormat/>
    <w:pPr>
      <w:spacing w:before="60"/>
    </w:pPr>
    <w:rPr>
      <w:sz w:val="20"/>
    </w:rPr>
  </w:style>
  <w:style w:type="paragraph" w:customStyle="1" w:styleId="Citeline">
    <w:name w:val="Citeline"/>
    <w:basedOn w:val="MoreInfo"/>
    <w:qFormat/>
  </w:style>
  <w:style w:type="paragraph" w:customStyle="1" w:styleId="supp-file">
    <w:name w:val="supp-file"/>
    <w:basedOn w:val="Table"/>
    <w:qFormat/>
    <w:pPr>
      <w:numPr>
        <w:numId w:val="7"/>
      </w:numPr>
    </w:pPr>
    <w:rPr>
      <w:b/>
      <w:i w:val="0"/>
    </w:rPr>
  </w:style>
  <w:style w:type="paragraph" w:customStyle="1" w:styleId="supp-title">
    <w:name w:val="supp-title"/>
    <w:basedOn w:val="HeadA"/>
    <w:qFormat/>
  </w:style>
  <w:style w:type="paragraph" w:customStyle="1" w:styleId="supp-desc">
    <w:name w:val="supp-desc"/>
    <w:basedOn w:val="Footnote"/>
    <w:qFormat/>
  </w:style>
  <w:style w:type="paragraph" w:customStyle="1" w:styleId="supp-caption">
    <w:name w:val="supp-caption"/>
    <w:basedOn w:val="FigLeg"/>
    <w:qFormat/>
  </w:style>
  <w:style w:type="character" w:customStyle="1" w:styleId="af">
    <w:name w:val="文档结构图 字符"/>
    <w:link w:val="ae"/>
    <w:semiHidden/>
    <w:qFormat/>
    <w:rPr>
      <w:rFonts w:ascii="Tahoma" w:eastAsia="Times New Roman" w:hAnsi="Tahoma" w:cs="Tahoma"/>
      <w:shd w:val="clear" w:color="auto" w:fill="000080"/>
      <w:lang w:eastAsia="en-US"/>
    </w:rPr>
  </w:style>
  <w:style w:type="paragraph" w:customStyle="1" w:styleId="video">
    <w:name w:val="video"/>
    <w:basedOn w:val="supp-file"/>
    <w:next w:val="ac"/>
    <w:qFormat/>
    <w:pPr>
      <w:numPr>
        <w:numId w:val="8"/>
      </w:numPr>
    </w:pPr>
  </w:style>
  <w:style w:type="paragraph" w:customStyle="1" w:styleId="audio">
    <w:name w:val="audio"/>
    <w:basedOn w:val="video"/>
    <w:qFormat/>
    <w:pPr>
      <w:numPr>
        <w:numId w:val="9"/>
      </w:numPr>
    </w:pPr>
  </w:style>
  <w:style w:type="character" w:customStyle="1" w:styleId="a6">
    <w:name w:val="批注文字 字符"/>
    <w:link w:val="a4"/>
    <w:uiPriority w:val="99"/>
    <w:semiHidden/>
    <w:qFormat/>
    <w:rPr>
      <w:rFonts w:ascii="Times New Roman" w:eastAsia="Times New Roman" w:hAnsi="Times New Roman"/>
      <w:lang w:val="en-GB"/>
    </w:rPr>
  </w:style>
  <w:style w:type="character" w:customStyle="1" w:styleId="a5">
    <w:name w:val="批注主题 字符"/>
    <w:link w:val="a3"/>
    <w:uiPriority w:val="99"/>
    <w:semiHidden/>
    <w:qFormat/>
    <w:rPr>
      <w:rFonts w:ascii="Times New Roman" w:eastAsia="Times New Roman" w:hAnsi="Times New Roman"/>
      <w:b/>
      <w:bCs/>
      <w:lang w:val="en-GB"/>
    </w:rPr>
  </w:style>
  <w:style w:type="character" w:customStyle="1" w:styleId="af2">
    <w:name w:val="批注框文本 字符"/>
    <w:link w:val="af1"/>
    <w:uiPriority w:val="99"/>
    <w:semiHidden/>
    <w:qFormat/>
    <w:rPr>
      <w:rFonts w:ascii="Tahoma" w:eastAsia="Times New Roman" w:hAnsi="Tahoma" w:cs="Tahoma"/>
      <w:sz w:val="16"/>
      <w:szCs w:val="16"/>
      <w:lang w:val="en-GB"/>
    </w:rPr>
  </w:style>
  <w:style w:type="paragraph" w:customStyle="1" w:styleId="13">
    <w:name w:val="修订1"/>
    <w:hidden/>
    <w:uiPriority w:val="99"/>
    <w:semiHidden/>
    <w:qFormat/>
    <w:rPr>
      <w:rFonts w:eastAsia="Times New Roman"/>
      <w:sz w:val="24"/>
      <w:lang w:val="en-GB" w:eastAsia="en-US"/>
    </w:rPr>
  </w:style>
  <w:style w:type="character" w:customStyle="1" w:styleId="100">
    <w:name w:val="10"/>
    <w:basedOn w:val="a0"/>
    <w:qFormat/>
    <w:rPr>
      <w:rFonts w:ascii="Calibri" w:hAnsi="Calibri" w:cs="Calibri" w:hint="default"/>
    </w:rPr>
  </w:style>
  <w:style w:type="character" w:customStyle="1" w:styleId="15">
    <w:name w:val="15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reativecommons.org/licenses/by-nc-nd/3.0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5</Pages>
  <Words>1725</Words>
  <Characters>9838</Characters>
  <Application>Microsoft Office Word</Application>
  <DocSecurity>0</DocSecurity>
  <Lines>81</Lines>
  <Paragraphs>23</Paragraphs>
  <ScaleCrop>false</ScaleCrop>
  <Company/>
  <LinksUpToDate>false</LinksUpToDate>
  <CharactersWithSpaces>11540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  SPIRIT 2013 checklist: recommended items to address in a clinical trial protocol and related documents*</dc:title>
  <dc:creator>JKitchen</dc:creator>
  <cp:lastModifiedBy>wang yan</cp:lastModifiedBy>
  <cp:revision>8</cp:revision>
  <dcterms:created xsi:type="dcterms:W3CDTF">2019-04-25T22:43:00Z</dcterms:created>
  <dcterms:modified xsi:type="dcterms:W3CDTF">2020-05-02T11:44:00Z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2052-1.9.0.2959</vt:lpwstr>
  </property>
</Properties>
</file>