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EDAA49" w14:textId="77777777" w:rsidR="000E5CD4" w:rsidRDefault="00000000">
      <w:pPr>
        <w:jc w:val="center"/>
        <w:rPr>
          <w:sz w:val="20"/>
          <w:szCs w:val="20"/>
        </w:rPr>
      </w:pPr>
      <w:r>
        <w:rPr>
          <w:sz w:val="20"/>
          <w:szCs w:val="20"/>
        </w:rPr>
        <w:t xml:space="preserve"> Cooking the books: Pervasive over-crediting from cookstoves offset methodologies</w:t>
      </w:r>
    </w:p>
    <w:p w14:paraId="73AAA9CD" w14:textId="77777777" w:rsidR="000E5CD4" w:rsidRDefault="000E5CD4">
      <w:pPr>
        <w:rPr>
          <w:sz w:val="20"/>
          <w:szCs w:val="20"/>
        </w:rPr>
      </w:pPr>
    </w:p>
    <w:p w14:paraId="75412444" w14:textId="77777777" w:rsidR="000E5CD4" w:rsidRDefault="000E5CD4">
      <w:pPr>
        <w:jc w:val="center"/>
        <w:rPr>
          <w:sz w:val="20"/>
          <w:szCs w:val="20"/>
        </w:rPr>
      </w:pPr>
    </w:p>
    <w:p w14:paraId="5F193C36" w14:textId="77777777" w:rsidR="000E5CD4" w:rsidRDefault="00000000">
      <w:pPr>
        <w:rPr>
          <w:sz w:val="20"/>
          <w:szCs w:val="20"/>
        </w:rPr>
      </w:pPr>
      <w:r>
        <w:rPr>
          <w:sz w:val="20"/>
          <w:szCs w:val="20"/>
        </w:rPr>
        <w:t xml:space="preserve">*Corresponding author: </w:t>
      </w:r>
      <w:hyperlink r:id="rId7">
        <w:r>
          <w:rPr>
            <w:color w:val="0563C1"/>
            <w:sz w:val="20"/>
            <w:szCs w:val="20"/>
            <w:u w:val="single"/>
          </w:rPr>
          <w:t>agillwiehl@berkeley.edu</w:t>
        </w:r>
      </w:hyperlink>
    </w:p>
    <w:p w14:paraId="6627D907" w14:textId="77777777" w:rsidR="000E5CD4" w:rsidRDefault="000E5CD4">
      <w:pPr>
        <w:rPr>
          <w:sz w:val="20"/>
          <w:szCs w:val="20"/>
        </w:rPr>
      </w:pPr>
    </w:p>
    <w:p w14:paraId="21BDD396" w14:textId="77777777" w:rsidR="000E5CD4" w:rsidRDefault="00000000">
      <w:pPr>
        <w:rPr>
          <w:rFonts w:ascii="Times New Roman" w:eastAsia="Times New Roman" w:hAnsi="Times New Roman" w:cs="Times New Roman"/>
        </w:rPr>
      </w:pPr>
      <w:r>
        <w:rPr>
          <w:b/>
          <w:color w:val="000000"/>
          <w:sz w:val="20"/>
          <w:szCs w:val="20"/>
          <w:highlight w:val="white"/>
        </w:rPr>
        <w:t>Supplemental Materials</w:t>
      </w:r>
    </w:p>
    <w:p w14:paraId="0A6AE681" w14:textId="77777777" w:rsidR="000E5CD4" w:rsidRDefault="000E5CD4">
      <w:pPr>
        <w:rPr>
          <w:rFonts w:ascii="Times New Roman" w:eastAsia="Times New Roman" w:hAnsi="Times New Roman" w:cs="Times New Roman"/>
        </w:rPr>
      </w:pPr>
    </w:p>
    <w:p w14:paraId="4219A181" w14:textId="77777777" w:rsidR="000E5CD4" w:rsidRDefault="00000000">
      <w:pPr>
        <w:rPr>
          <w:rFonts w:ascii="Times New Roman" w:eastAsia="Times New Roman" w:hAnsi="Times New Roman" w:cs="Times New Roman"/>
        </w:rPr>
      </w:pPr>
      <w:r>
        <w:rPr>
          <w:color w:val="000000"/>
          <w:sz w:val="20"/>
          <w:szCs w:val="20"/>
        </w:rPr>
        <w:t>This document includes supplemental information on: </w:t>
      </w:r>
    </w:p>
    <w:p w14:paraId="6C55A601" w14:textId="77777777" w:rsidR="000E5CD4" w:rsidRDefault="00000000">
      <w:pPr>
        <w:numPr>
          <w:ilvl w:val="0"/>
          <w:numId w:val="2"/>
        </w:numPr>
        <w:rPr>
          <w:b/>
          <w:sz w:val="20"/>
          <w:szCs w:val="20"/>
        </w:rPr>
      </w:pPr>
      <w:r>
        <w:rPr>
          <w:b/>
          <w:sz w:val="20"/>
          <w:szCs w:val="20"/>
        </w:rPr>
        <w:t xml:space="preserve">Methodology Equation Information </w:t>
      </w:r>
    </w:p>
    <w:p w14:paraId="2CCE73E5" w14:textId="77777777" w:rsidR="000E5CD4" w:rsidRDefault="00000000">
      <w:pPr>
        <w:numPr>
          <w:ilvl w:val="0"/>
          <w:numId w:val="2"/>
        </w:numPr>
        <w:rPr>
          <w:b/>
          <w:color w:val="000000"/>
          <w:sz w:val="20"/>
          <w:szCs w:val="20"/>
        </w:rPr>
      </w:pPr>
      <w:r>
        <w:rPr>
          <w:b/>
          <w:color w:val="000000"/>
          <w:sz w:val="20"/>
          <w:szCs w:val="20"/>
        </w:rPr>
        <w:t>Projects Evaluated</w:t>
      </w:r>
    </w:p>
    <w:p w14:paraId="0740D1AA" w14:textId="77777777" w:rsidR="000E5CD4" w:rsidRDefault="00000000">
      <w:pPr>
        <w:numPr>
          <w:ilvl w:val="0"/>
          <w:numId w:val="2"/>
        </w:numPr>
        <w:rPr>
          <w:b/>
          <w:color w:val="000000"/>
          <w:sz w:val="20"/>
          <w:szCs w:val="20"/>
        </w:rPr>
      </w:pPr>
      <w:r>
        <w:rPr>
          <w:b/>
          <w:color w:val="000000"/>
          <w:sz w:val="20"/>
          <w:szCs w:val="20"/>
        </w:rPr>
        <w:t>Supplemental Monte Carlo Runs </w:t>
      </w:r>
    </w:p>
    <w:p w14:paraId="5CB82672" w14:textId="77777777" w:rsidR="000E5CD4" w:rsidRDefault="00000000">
      <w:pPr>
        <w:numPr>
          <w:ilvl w:val="0"/>
          <w:numId w:val="2"/>
        </w:numPr>
        <w:rPr>
          <w:b/>
          <w:color w:val="000000"/>
          <w:sz w:val="20"/>
          <w:szCs w:val="20"/>
        </w:rPr>
      </w:pPr>
      <w:r>
        <w:rPr>
          <w:b/>
          <w:color w:val="000000"/>
          <w:sz w:val="20"/>
          <w:szCs w:val="20"/>
        </w:rPr>
        <w:t>Location Analysis</w:t>
      </w:r>
    </w:p>
    <w:p w14:paraId="1FA7CC64" w14:textId="77777777" w:rsidR="000E5CD4" w:rsidRDefault="00000000">
      <w:pPr>
        <w:numPr>
          <w:ilvl w:val="0"/>
          <w:numId w:val="2"/>
        </w:numPr>
        <w:rPr>
          <w:b/>
          <w:sz w:val="20"/>
          <w:szCs w:val="20"/>
        </w:rPr>
      </w:pPr>
      <w:r>
        <w:rPr>
          <w:b/>
          <w:sz w:val="20"/>
          <w:szCs w:val="20"/>
        </w:rPr>
        <w:t>Methodology</w:t>
      </w:r>
      <w:r>
        <w:rPr>
          <w:b/>
          <w:color w:val="000000"/>
          <w:sz w:val="20"/>
          <w:szCs w:val="20"/>
        </w:rPr>
        <w:t xml:space="preserve"> Usage Surveys</w:t>
      </w:r>
    </w:p>
    <w:p w14:paraId="0358DE2A" w14:textId="77777777" w:rsidR="000E5CD4" w:rsidRDefault="00000000">
      <w:pPr>
        <w:numPr>
          <w:ilvl w:val="0"/>
          <w:numId w:val="2"/>
        </w:numPr>
        <w:rPr>
          <w:b/>
          <w:color w:val="000000"/>
          <w:sz w:val="20"/>
          <w:szCs w:val="20"/>
        </w:rPr>
      </w:pPr>
      <w:r>
        <w:rPr>
          <w:b/>
          <w:color w:val="000000"/>
          <w:sz w:val="20"/>
          <w:szCs w:val="20"/>
        </w:rPr>
        <w:t>Project Usage Rate Calculations</w:t>
      </w:r>
    </w:p>
    <w:p w14:paraId="034FAFD4" w14:textId="77777777" w:rsidR="000E5CD4" w:rsidRDefault="00000000">
      <w:pPr>
        <w:numPr>
          <w:ilvl w:val="0"/>
          <w:numId w:val="2"/>
        </w:numPr>
        <w:rPr>
          <w:b/>
          <w:sz w:val="20"/>
          <w:szCs w:val="20"/>
        </w:rPr>
      </w:pPr>
      <w:r>
        <w:rPr>
          <w:b/>
          <w:sz w:val="20"/>
          <w:szCs w:val="20"/>
        </w:rPr>
        <w:t>Adoption, Usage, and Stacking Rates</w:t>
      </w:r>
    </w:p>
    <w:p w14:paraId="2318FED5" w14:textId="77777777" w:rsidR="000E5CD4" w:rsidRDefault="00000000">
      <w:pPr>
        <w:numPr>
          <w:ilvl w:val="0"/>
          <w:numId w:val="2"/>
        </w:numPr>
        <w:rPr>
          <w:b/>
          <w:sz w:val="20"/>
          <w:szCs w:val="20"/>
        </w:rPr>
      </w:pPr>
      <w:r>
        <w:rPr>
          <w:b/>
          <w:sz w:val="20"/>
          <w:szCs w:val="20"/>
        </w:rPr>
        <w:t>Adoption Review</w:t>
      </w:r>
    </w:p>
    <w:p w14:paraId="10F4E84F" w14:textId="77777777" w:rsidR="000E5CD4" w:rsidRDefault="00000000">
      <w:pPr>
        <w:numPr>
          <w:ilvl w:val="0"/>
          <w:numId w:val="2"/>
        </w:numPr>
        <w:rPr>
          <w:b/>
          <w:color w:val="000000"/>
          <w:sz w:val="20"/>
          <w:szCs w:val="20"/>
        </w:rPr>
      </w:pPr>
      <w:r>
        <w:rPr>
          <w:b/>
          <w:color w:val="000000"/>
          <w:sz w:val="20"/>
          <w:szCs w:val="20"/>
        </w:rPr>
        <w:t>Additionality Investigation </w:t>
      </w:r>
    </w:p>
    <w:p w14:paraId="1E80C849" w14:textId="77777777" w:rsidR="000E5CD4" w:rsidRDefault="00000000">
      <w:pPr>
        <w:numPr>
          <w:ilvl w:val="0"/>
          <w:numId w:val="2"/>
        </w:numPr>
        <w:rPr>
          <w:b/>
          <w:sz w:val="20"/>
          <w:szCs w:val="20"/>
        </w:rPr>
      </w:pPr>
      <w:r>
        <w:rPr>
          <w:b/>
          <w:sz w:val="20"/>
          <w:szCs w:val="20"/>
        </w:rPr>
        <w:t>Leakage Investigation</w:t>
      </w:r>
    </w:p>
    <w:p w14:paraId="4D906B17" w14:textId="77777777" w:rsidR="000E5CD4" w:rsidRDefault="00000000">
      <w:pPr>
        <w:numPr>
          <w:ilvl w:val="0"/>
          <w:numId w:val="2"/>
        </w:numPr>
        <w:rPr>
          <w:b/>
          <w:sz w:val="20"/>
          <w:szCs w:val="20"/>
        </w:rPr>
      </w:pPr>
      <w:r>
        <w:rPr>
          <w:b/>
          <w:sz w:val="20"/>
          <w:szCs w:val="20"/>
        </w:rPr>
        <w:t xml:space="preserve">Rebound Investigation </w:t>
      </w:r>
    </w:p>
    <w:p w14:paraId="386931A4" w14:textId="77777777" w:rsidR="000E5CD4" w:rsidRDefault="00000000">
      <w:pPr>
        <w:numPr>
          <w:ilvl w:val="0"/>
          <w:numId w:val="2"/>
        </w:numPr>
        <w:rPr>
          <w:b/>
          <w:sz w:val="20"/>
          <w:szCs w:val="20"/>
        </w:rPr>
      </w:pPr>
      <w:r>
        <w:rPr>
          <w:b/>
          <w:sz w:val="20"/>
          <w:szCs w:val="20"/>
        </w:rPr>
        <w:t>Overview of types of monitoring</w:t>
      </w:r>
    </w:p>
    <w:p w14:paraId="36A223B7" w14:textId="77777777" w:rsidR="000E5CD4" w:rsidRDefault="00000000">
      <w:pPr>
        <w:numPr>
          <w:ilvl w:val="0"/>
          <w:numId w:val="2"/>
        </w:numPr>
        <w:rPr>
          <w:b/>
          <w:sz w:val="20"/>
          <w:szCs w:val="20"/>
        </w:rPr>
      </w:pPr>
      <w:r>
        <w:rPr>
          <w:b/>
          <w:sz w:val="20"/>
          <w:szCs w:val="20"/>
        </w:rPr>
        <w:t>Types of Meters/Purchase Data Approaches</w:t>
      </w:r>
    </w:p>
    <w:p w14:paraId="0540F3BC" w14:textId="77777777" w:rsidR="000E5CD4" w:rsidRDefault="000E5CD4">
      <w:pPr>
        <w:rPr>
          <w:b/>
          <w:sz w:val="20"/>
          <w:szCs w:val="20"/>
        </w:rPr>
      </w:pPr>
    </w:p>
    <w:p w14:paraId="27D31504" w14:textId="77777777" w:rsidR="000E5CD4" w:rsidRDefault="00000000">
      <w:pPr>
        <w:rPr>
          <w:b/>
          <w:sz w:val="20"/>
          <w:szCs w:val="20"/>
        </w:rPr>
      </w:pPr>
      <w:r>
        <w:br w:type="page"/>
      </w:r>
    </w:p>
    <w:p w14:paraId="67DA0A40" w14:textId="77777777" w:rsidR="000E5CD4" w:rsidRDefault="000E5CD4">
      <w:pPr>
        <w:rPr>
          <w:b/>
          <w:sz w:val="20"/>
          <w:szCs w:val="20"/>
        </w:rPr>
      </w:pPr>
    </w:p>
    <w:p w14:paraId="32C82440" w14:textId="77777777" w:rsidR="000E5CD4" w:rsidRDefault="000E5CD4">
      <w:pPr>
        <w:rPr>
          <w:rFonts w:ascii="Times New Roman" w:eastAsia="Times New Roman" w:hAnsi="Times New Roman" w:cs="Times New Roman"/>
        </w:rPr>
      </w:pPr>
    </w:p>
    <w:p w14:paraId="43236D69" w14:textId="77777777" w:rsidR="000E5CD4" w:rsidRDefault="00000000">
      <w:pPr>
        <w:pStyle w:val="Heading2"/>
        <w:numPr>
          <w:ilvl w:val="0"/>
          <w:numId w:val="4"/>
        </w:numPr>
      </w:pPr>
      <w:bookmarkStart w:id="0" w:name="_h28fraq91mt" w:colFirst="0" w:colLast="0"/>
      <w:bookmarkEnd w:id="0"/>
      <w:r>
        <w:t xml:space="preserve">Methodology Equation Information </w:t>
      </w:r>
    </w:p>
    <w:p w14:paraId="41293DE5" w14:textId="77777777" w:rsidR="000E5CD4" w:rsidRDefault="000E5CD4">
      <w:pPr>
        <w:pBdr>
          <w:top w:val="nil"/>
          <w:left w:val="nil"/>
          <w:bottom w:val="nil"/>
          <w:right w:val="nil"/>
          <w:between w:val="nil"/>
        </w:pBdr>
        <w:ind w:left="720"/>
        <w:rPr>
          <w:b/>
          <w:sz w:val="20"/>
          <w:szCs w:val="20"/>
        </w:rPr>
      </w:pPr>
    </w:p>
    <w:p w14:paraId="6638517B" w14:textId="77777777" w:rsidR="000E5CD4" w:rsidRDefault="00000000">
      <w:pPr>
        <w:rPr>
          <w:color w:val="44546A"/>
          <w:sz w:val="20"/>
          <w:szCs w:val="20"/>
        </w:rPr>
      </w:pPr>
      <w:r>
        <w:rPr>
          <w:color w:val="44546A"/>
          <w:sz w:val="20"/>
          <w:szCs w:val="20"/>
        </w:rPr>
        <w:t xml:space="preserve">The core emission reduction quantification equations of the five most common and recent cookstove methodology on the voluntary carbon market: </w:t>
      </w:r>
    </w:p>
    <w:p w14:paraId="199ACCFA" w14:textId="77777777" w:rsidR="000E5CD4" w:rsidRDefault="000E5CD4">
      <w:pPr>
        <w:rPr>
          <w:color w:val="44546A"/>
          <w:sz w:val="20"/>
          <w:szCs w:val="20"/>
        </w:rPr>
      </w:pPr>
    </w:p>
    <w:p w14:paraId="62B65EDF" w14:textId="77777777" w:rsidR="000E5CD4" w:rsidRDefault="00000000">
      <w:pPr>
        <w:rPr>
          <w:i/>
          <w:color w:val="44546A"/>
          <w:sz w:val="20"/>
          <w:szCs w:val="20"/>
          <w:u w:val="single"/>
        </w:rPr>
      </w:pPr>
      <w:r>
        <w:rPr>
          <w:i/>
          <w:color w:val="44546A"/>
          <w:sz w:val="20"/>
          <w:szCs w:val="20"/>
          <w:u w:val="single"/>
        </w:rPr>
        <w:t>Gold Standard (GS)’s Technologies and Practices to Displace Decentralized Thermal Energy Consumption (GS TPDDTEC)</w:t>
      </w:r>
    </w:p>
    <w:p w14:paraId="096278DE" w14:textId="77777777" w:rsidR="000E5CD4" w:rsidRDefault="000E5CD4">
      <w:pPr>
        <w:rPr>
          <w:color w:val="44546A"/>
          <w:sz w:val="20"/>
          <w:szCs w:val="20"/>
        </w:rPr>
      </w:pPr>
    </w:p>
    <w:p w14:paraId="21C386AF" w14:textId="77777777" w:rsidR="000E5CD4" w:rsidRDefault="00000000">
      <w:pPr>
        <w:rPr>
          <w:color w:val="44546A"/>
          <w:sz w:val="20"/>
          <w:szCs w:val="20"/>
        </w:rPr>
      </w:pPr>
      <w:r>
        <w:rPr>
          <w:color w:val="44546A"/>
          <w:sz w:val="20"/>
          <w:szCs w:val="20"/>
        </w:rPr>
        <w:t>For each project technology for each year:</w:t>
      </w:r>
    </w:p>
    <w:p w14:paraId="6512BD97" w14:textId="77777777" w:rsidR="000E5CD4" w:rsidRDefault="000E5CD4">
      <w:pPr>
        <w:rPr>
          <w:color w:val="44546A"/>
          <w:sz w:val="20"/>
          <w:szCs w:val="20"/>
        </w:rPr>
      </w:pPr>
    </w:p>
    <w:p w14:paraId="1B0037C7" w14:textId="153B38E5" w:rsidR="000E5CD4" w:rsidRDefault="00000000">
      <w:pPr>
        <w:jc w:val="center"/>
        <w:rPr>
          <w:rFonts w:ascii="Cambria Math" w:eastAsia="Cambria Math" w:hAnsi="Cambria Math" w:cs="Cambria Math"/>
          <w:color w:val="44546A"/>
          <w:sz w:val="20"/>
          <w:szCs w:val="20"/>
        </w:rPr>
      </w:pPr>
      <m:oMathPara>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ER</m:t>
              </m:r>
            </m:e>
            <m:sub>
              <m:r>
                <w:rPr>
                  <w:rFonts w:ascii="Cambria Math" w:eastAsia="Cambria Math" w:hAnsi="Cambria Math" w:cs="Cambria Math"/>
                  <w:color w:val="44546A"/>
                  <w:sz w:val="20"/>
                  <w:szCs w:val="20"/>
                </w:rPr>
                <m:t xml:space="preserve"> </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BE</m:t>
              </m:r>
            </m:e>
            <m:sub>
              <m:r>
                <w:rPr>
                  <w:rFonts w:ascii="Cambria Math" w:eastAsia="Cambria Math" w:hAnsi="Cambria Math" w:cs="Cambria Math"/>
                  <w:color w:val="44546A"/>
                  <w:sz w:val="20"/>
                  <w:szCs w:val="20"/>
                </w:rPr>
                <m:t xml:space="preserve"> </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PE</m:t>
              </m:r>
            </m:e>
            <m:sub>
              <m:r>
                <w:rPr>
                  <w:rFonts w:ascii="Cambria Math" w:eastAsia="Cambria Math" w:hAnsi="Cambria Math" w:cs="Cambria Math"/>
                  <w:color w:val="44546A"/>
                  <w:sz w:val="20"/>
                  <w:szCs w:val="20"/>
                </w:rPr>
                <m:t xml:space="preserve"> </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LE</m:t>
              </m:r>
            </m:e>
            <m:sub>
              <m:r>
                <w:rPr>
                  <w:rFonts w:ascii="Cambria Math" w:eastAsia="Cambria Math" w:hAnsi="Cambria Math" w:cs="Cambria Math"/>
                  <w:color w:val="44546A"/>
                  <w:sz w:val="20"/>
                  <w:szCs w:val="20"/>
                </w:rPr>
                <m:t xml:space="preserve"> </m:t>
              </m:r>
            </m:sub>
          </m:sSub>
        </m:oMath>
      </m:oMathPara>
    </w:p>
    <w:p w14:paraId="726892AC" w14:textId="1BDCDC37" w:rsidR="000E5CD4" w:rsidRDefault="00000000">
      <w:pPr>
        <w:jc w:val="center"/>
        <w:rPr>
          <w:rFonts w:ascii="Cambria Math" w:eastAsia="Cambria Math" w:hAnsi="Cambria Math" w:cs="Cambria Math"/>
          <w:color w:val="44546A"/>
          <w:sz w:val="20"/>
          <w:szCs w:val="20"/>
        </w:rPr>
      </w:pPr>
      <m:oMathPara>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BE</m:t>
              </m:r>
            </m:e>
            <m:sub>
              <m:r>
                <w:rPr>
                  <w:rFonts w:ascii="Cambria Math" w:eastAsia="Cambria Math" w:hAnsi="Cambria Math" w:cs="Cambria Math"/>
                  <w:color w:val="44546A"/>
                  <w:sz w:val="20"/>
                  <w:szCs w:val="20"/>
                </w:rPr>
                <m:t xml:space="preserve"> </m:t>
              </m:r>
            </m:sub>
          </m:sSub>
          <m:r>
            <w:rPr>
              <w:rFonts w:ascii="Cambria Math" w:eastAsia="Cambria Math" w:hAnsi="Cambria Math" w:cs="Cambria Math"/>
              <w:color w:val="44546A"/>
              <w:sz w:val="20"/>
              <w:szCs w:val="20"/>
            </w:rPr>
            <m:t>=</m:t>
          </m:r>
          <m:nary>
            <m:naryPr>
              <m:chr m:val="∑"/>
              <m:ctrlPr>
                <w:rPr>
                  <w:rFonts w:ascii="Cambria Math" w:eastAsia="Cambria Math" w:hAnsi="Cambria Math" w:cs="Cambria Math"/>
                  <w:color w:val="44546A"/>
                  <w:sz w:val="20"/>
                  <w:szCs w:val="20"/>
                </w:rPr>
              </m:ctrlPr>
            </m:naryPr>
            <m:sub>
              <m:r>
                <w:rPr>
                  <w:rFonts w:ascii="Cambria Math" w:eastAsia="Cambria Math" w:hAnsi="Cambria Math" w:cs="Cambria Math"/>
                  <w:color w:val="44546A"/>
                  <w:sz w:val="20"/>
                  <w:szCs w:val="20"/>
                </w:rPr>
                <m:t>b,p</m:t>
              </m:r>
            </m:sub>
            <m:sup>
              <m:r>
                <w:rPr>
                  <w:rFonts w:ascii="Cambria Math" w:eastAsia="Cambria Math" w:hAnsi="Cambria Math" w:cs="Cambria Math"/>
                  <w:color w:val="44546A"/>
                  <w:sz w:val="20"/>
                  <w:szCs w:val="20"/>
                </w:rPr>
                <m:t xml:space="preserve"> </m:t>
              </m:r>
            </m:sup>
            <m:e>
              <m:r>
                <w:rPr>
                  <w:rFonts w:ascii="Cambria Math" w:eastAsia="Cambria Math" w:hAnsi="Cambria Math" w:cs="Cambria Math"/>
                  <w:color w:val="44546A"/>
                  <w:sz w:val="20"/>
                  <w:szCs w:val="20"/>
                </w:rPr>
                <m:t xml:space="preserve"> </m:t>
              </m:r>
            </m:e>
          </m:nary>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(N</m:t>
              </m:r>
            </m:e>
            <m:sub>
              <m:r>
                <w:rPr>
                  <w:rFonts w:ascii="Cambria Math" w:eastAsia="Cambria Math" w:hAnsi="Cambria Math" w:cs="Cambria Math"/>
                  <w:color w:val="44546A"/>
                  <w:sz w:val="20"/>
                  <w:szCs w:val="20"/>
                </w:rPr>
                <m:t xml:space="preserve"> </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U</m:t>
              </m:r>
            </m:e>
            <m:sub>
              <m:r>
                <w:rPr>
                  <w:rFonts w:ascii="Cambria Math" w:eastAsia="Cambria Math" w:hAnsi="Cambria Math" w:cs="Cambria Math"/>
                  <w:color w:val="44546A"/>
                  <w:sz w:val="20"/>
                  <w:szCs w:val="20"/>
                </w:rPr>
                <m:t>p</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f</m:t>
              </m:r>
            </m:e>
            <m:sub>
              <m:r>
                <w:rPr>
                  <w:rFonts w:ascii="Cambria Math" w:eastAsia="Cambria Math" w:hAnsi="Cambria Math" w:cs="Cambria Math"/>
                  <w:color w:val="44546A"/>
                  <w:sz w:val="20"/>
                  <w:szCs w:val="20"/>
                </w:rPr>
                <m:t>NRB,b</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SE</m:t>
              </m:r>
            </m:e>
            <m:sub>
              <m:r>
                <w:rPr>
                  <w:rFonts w:ascii="Cambria Math" w:eastAsia="Cambria Math" w:hAnsi="Cambria Math" w:cs="Cambria Math"/>
                  <w:color w:val="44546A"/>
                  <w:sz w:val="20"/>
                  <w:szCs w:val="20"/>
                </w:rPr>
                <m:t>b,</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CO</m:t>
                  </m:r>
                </m:e>
                <m:sub>
                  <m:r>
                    <w:rPr>
                      <w:rFonts w:ascii="Cambria Math" w:eastAsia="Cambria Math" w:hAnsi="Cambria Math" w:cs="Cambria Math"/>
                      <w:color w:val="44546A"/>
                      <w:sz w:val="20"/>
                      <w:szCs w:val="20"/>
                    </w:rPr>
                    <m:t>2</m:t>
                  </m:r>
                </m:sub>
              </m:sSub>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SE</m:t>
              </m:r>
            </m:e>
            <m:sub>
              <m:r>
                <w:rPr>
                  <w:rFonts w:ascii="Cambria Math" w:eastAsia="Cambria Math" w:hAnsi="Cambria Math" w:cs="Cambria Math"/>
                  <w:color w:val="44546A"/>
                  <w:sz w:val="20"/>
                  <w:szCs w:val="20"/>
                </w:rPr>
                <m:t>b,</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 non-CO</m:t>
                  </m:r>
                </m:e>
                <m:sub>
                  <m:r>
                    <w:rPr>
                      <w:rFonts w:ascii="Cambria Math" w:eastAsia="Cambria Math" w:hAnsi="Cambria Math" w:cs="Cambria Math"/>
                      <w:color w:val="44546A"/>
                      <w:sz w:val="20"/>
                      <w:szCs w:val="20"/>
                    </w:rPr>
                    <m:t>2</m:t>
                  </m:r>
                </m:sub>
              </m:sSub>
            </m:sub>
          </m:sSub>
          <m:r>
            <w:rPr>
              <w:rFonts w:ascii="Cambria Math" w:eastAsia="Cambria Math" w:hAnsi="Cambria Math" w:cs="Cambria Math"/>
              <w:color w:val="44546A"/>
              <w:sz w:val="20"/>
              <w:szCs w:val="20"/>
            </w:rPr>
            <m:t>))</m:t>
          </m:r>
        </m:oMath>
      </m:oMathPara>
    </w:p>
    <w:p w14:paraId="30CFD855" w14:textId="21E549E9" w:rsidR="000E5CD4" w:rsidRDefault="00000000">
      <w:pPr>
        <w:jc w:val="center"/>
        <w:rPr>
          <w:rFonts w:ascii="Cambria Math" w:eastAsia="Cambria Math" w:hAnsi="Cambria Math" w:cs="Cambria Math"/>
          <w:color w:val="44546A"/>
          <w:sz w:val="20"/>
          <w:szCs w:val="20"/>
        </w:rPr>
      </w:pPr>
      <m:oMathPara>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PE</m:t>
              </m:r>
            </m:e>
            <m:sub>
              <m:r>
                <w:rPr>
                  <w:rFonts w:ascii="Cambria Math" w:eastAsia="Cambria Math" w:hAnsi="Cambria Math" w:cs="Cambria Math"/>
                  <w:color w:val="44546A"/>
                  <w:sz w:val="20"/>
                  <w:szCs w:val="20"/>
                </w:rPr>
                <m:t xml:space="preserve"> </m:t>
              </m:r>
            </m:sub>
          </m:sSub>
          <m:r>
            <w:rPr>
              <w:rFonts w:ascii="Cambria Math" w:eastAsia="Cambria Math" w:hAnsi="Cambria Math" w:cs="Cambria Math"/>
              <w:color w:val="44546A"/>
              <w:sz w:val="20"/>
              <w:szCs w:val="20"/>
            </w:rPr>
            <m:t>=</m:t>
          </m:r>
          <m:nary>
            <m:naryPr>
              <m:chr m:val="∑"/>
              <m:ctrlPr>
                <w:rPr>
                  <w:rFonts w:ascii="Cambria Math" w:eastAsia="Cambria Math" w:hAnsi="Cambria Math" w:cs="Cambria Math"/>
                  <w:color w:val="44546A"/>
                  <w:sz w:val="20"/>
                  <w:szCs w:val="20"/>
                </w:rPr>
              </m:ctrlPr>
            </m:naryPr>
            <m:sub>
              <m:r>
                <w:rPr>
                  <w:rFonts w:ascii="Cambria Math" w:eastAsia="Cambria Math" w:hAnsi="Cambria Math" w:cs="Cambria Math"/>
                  <w:color w:val="44546A"/>
                  <w:sz w:val="20"/>
                  <w:szCs w:val="20"/>
                </w:rPr>
                <m:t>b,p</m:t>
              </m:r>
            </m:sub>
            <m:sup>
              <m:r>
                <w:rPr>
                  <w:rFonts w:ascii="Cambria Math" w:eastAsia="Cambria Math" w:hAnsi="Cambria Math" w:cs="Cambria Math"/>
                  <w:color w:val="44546A"/>
                  <w:sz w:val="20"/>
                  <w:szCs w:val="20"/>
                </w:rPr>
                <m:t xml:space="preserve"> </m:t>
              </m:r>
            </m:sup>
            <m:e>
              <m:r>
                <w:rPr>
                  <w:rFonts w:ascii="Cambria Math" w:eastAsia="Cambria Math" w:hAnsi="Cambria Math" w:cs="Cambria Math"/>
                  <w:color w:val="44546A"/>
                  <w:sz w:val="20"/>
                  <w:szCs w:val="20"/>
                </w:rPr>
                <m:t xml:space="preserve"> </m:t>
              </m:r>
            </m:e>
          </m:nary>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(N</m:t>
              </m:r>
            </m:e>
            <m:sub>
              <m:r>
                <w:rPr>
                  <w:rFonts w:ascii="Cambria Math" w:eastAsia="Cambria Math" w:hAnsi="Cambria Math" w:cs="Cambria Math"/>
                  <w:color w:val="44546A"/>
                  <w:sz w:val="20"/>
                  <w:szCs w:val="20"/>
                </w:rPr>
                <m:t xml:space="preserve"> </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U</m:t>
              </m:r>
            </m:e>
            <m:sub>
              <m:r>
                <w:rPr>
                  <w:rFonts w:ascii="Cambria Math" w:eastAsia="Cambria Math" w:hAnsi="Cambria Math" w:cs="Cambria Math"/>
                  <w:color w:val="44546A"/>
                  <w:sz w:val="20"/>
                  <w:szCs w:val="20"/>
                </w:rPr>
                <m:t>p</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f</m:t>
              </m:r>
            </m:e>
            <m:sub>
              <m:r>
                <w:rPr>
                  <w:rFonts w:ascii="Cambria Math" w:eastAsia="Cambria Math" w:hAnsi="Cambria Math" w:cs="Cambria Math"/>
                  <w:color w:val="44546A"/>
                  <w:sz w:val="20"/>
                  <w:szCs w:val="20"/>
                </w:rPr>
                <m:t>NRB,b</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SE</m:t>
              </m:r>
            </m:e>
            <m:sub>
              <m:r>
                <w:rPr>
                  <w:rFonts w:ascii="Cambria Math" w:eastAsia="Cambria Math" w:hAnsi="Cambria Math" w:cs="Cambria Math"/>
                  <w:color w:val="44546A"/>
                  <w:sz w:val="20"/>
                  <w:szCs w:val="20"/>
                </w:rPr>
                <m:t>p,</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CO</m:t>
                  </m:r>
                </m:e>
                <m:sub>
                  <m:r>
                    <w:rPr>
                      <w:rFonts w:ascii="Cambria Math" w:eastAsia="Cambria Math" w:hAnsi="Cambria Math" w:cs="Cambria Math"/>
                      <w:color w:val="44546A"/>
                      <w:sz w:val="20"/>
                      <w:szCs w:val="20"/>
                    </w:rPr>
                    <m:t>2</m:t>
                  </m:r>
                </m:sub>
              </m:sSub>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SE</m:t>
              </m:r>
            </m:e>
            <m:sub>
              <m:r>
                <w:rPr>
                  <w:rFonts w:ascii="Cambria Math" w:eastAsia="Cambria Math" w:hAnsi="Cambria Math" w:cs="Cambria Math"/>
                  <w:color w:val="44546A"/>
                  <w:sz w:val="20"/>
                  <w:szCs w:val="20"/>
                </w:rPr>
                <m:t>p, </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non-CO</m:t>
                  </m:r>
                </m:e>
                <m:sub>
                  <m:r>
                    <w:rPr>
                      <w:rFonts w:ascii="Cambria Math" w:eastAsia="Cambria Math" w:hAnsi="Cambria Math" w:cs="Cambria Math"/>
                      <w:color w:val="44546A"/>
                      <w:sz w:val="20"/>
                      <w:szCs w:val="20"/>
                    </w:rPr>
                    <m:t>2</m:t>
                  </m:r>
                </m:sub>
              </m:sSub>
            </m:sub>
          </m:sSub>
          <m:r>
            <w:rPr>
              <w:rFonts w:ascii="Cambria Math" w:eastAsia="Cambria Math" w:hAnsi="Cambria Math" w:cs="Cambria Math"/>
              <w:color w:val="44546A"/>
              <w:sz w:val="20"/>
              <w:szCs w:val="20"/>
            </w:rPr>
            <m:t>))</m:t>
          </m:r>
        </m:oMath>
      </m:oMathPara>
    </w:p>
    <w:p w14:paraId="30AAF47F" w14:textId="77777777" w:rsidR="000E5CD4" w:rsidRDefault="000E5CD4">
      <w:pPr>
        <w:rPr>
          <w:color w:val="44546A"/>
          <w:sz w:val="20"/>
          <w:szCs w:val="20"/>
        </w:rPr>
      </w:pPr>
    </w:p>
    <w:p w14:paraId="297267C8" w14:textId="77777777" w:rsidR="000E5CD4" w:rsidRDefault="000E5CD4">
      <w:pPr>
        <w:rPr>
          <w:color w:val="44546A"/>
          <w:sz w:val="20"/>
          <w:szCs w:val="20"/>
        </w:rPr>
      </w:pPr>
    </w:p>
    <w:p w14:paraId="25042D9D" w14:textId="77777777" w:rsidR="000E5CD4" w:rsidRDefault="000E5CD4">
      <w:pPr>
        <w:rPr>
          <w:color w:val="44546A"/>
          <w:sz w:val="20"/>
          <w:szCs w:val="20"/>
        </w:rPr>
      </w:pPr>
    </w:p>
    <w:p w14:paraId="2C569E3A" w14:textId="77777777" w:rsidR="000E5CD4" w:rsidRDefault="00000000">
      <w:pPr>
        <w:rPr>
          <w:color w:val="44546A"/>
          <w:sz w:val="20"/>
          <w:szCs w:val="20"/>
        </w:rPr>
      </w:pPr>
      <w:r>
        <w:rPr>
          <w:color w:val="44546A"/>
          <w:sz w:val="20"/>
          <w:szCs w:val="20"/>
        </w:rPr>
        <w:t xml:space="preserve">Where: </w:t>
      </w:r>
    </w:p>
    <w:p w14:paraId="1200E7C5" w14:textId="7B4FF811"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ER</m:t>
            </m:r>
          </m:e>
          <m:sub>
            <m:r>
              <w:rPr>
                <w:rFonts w:ascii="Cambria Math" w:eastAsia="Cambria Math" w:hAnsi="Cambria Math" w:cs="Cambria Math"/>
                <w:color w:val="44546A"/>
                <w:sz w:val="20"/>
                <w:szCs w:val="20"/>
              </w:rPr>
              <m:t xml:space="preserve"> </m:t>
            </m:r>
          </m:sub>
        </m:sSub>
        <m:r>
          <w:rPr>
            <w:rFonts w:ascii="Cambria Math" w:eastAsia="Cambria Math" w:hAnsi="Cambria Math" w:cs="Cambria Math"/>
            <w:color w:val="44546A"/>
            <w:sz w:val="20"/>
            <w:szCs w:val="20"/>
          </w:rPr>
          <m:t>: </m:t>
        </m:r>
      </m:oMath>
      <w:r>
        <w:rPr>
          <w:color w:val="44546A"/>
          <w:sz w:val="20"/>
          <w:szCs w:val="20"/>
        </w:rPr>
        <w:t xml:space="preserve">Emission reductions (tonne of </w:t>
      </w: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CO</m:t>
            </m:r>
          </m:e>
          <m:sub>
            <m:r>
              <w:rPr>
                <w:rFonts w:ascii="Cambria Math" w:eastAsia="Cambria Math" w:hAnsi="Cambria Math" w:cs="Cambria Math"/>
                <w:color w:val="44546A"/>
                <w:sz w:val="20"/>
                <w:szCs w:val="20"/>
              </w:rPr>
              <m:t>2</m:t>
            </m:r>
          </m:sub>
        </m:sSub>
      </m:oMath>
      <w:r>
        <w:rPr>
          <w:rFonts w:ascii="Cambria Math" w:eastAsia="Cambria Math" w:hAnsi="Cambria Math" w:cs="Cambria Math"/>
          <w:color w:val="44546A"/>
          <w:sz w:val="20"/>
          <w:szCs w:val="20"/>
        </w:rPr>
        <w:t>-equivalent)</w:t>
      </w:r>
    </w:p>
    <w:p w14:paraId="47C83C18" w14:textId="45ECAE6B"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BE</m:t>
            </m:r>
          </m:e>
          <m:sub>
            <m:r>
              <w:rPr>
                <w:rFonts w:ascii="Cambria Math" w:eastAsia="Cambria Math" w:hAnsi="Cambria Math" w:cs="Cambria Math"/>
                <w:color w:val="44546A"/>
                <w:sz w:val="20"/>
                <w:szCs w:val="20"/>
              </w:rPr>
              <m:t xml:space="preserve"> </m:t>
            </m:r>
          </m:sub>
        </m:sSub>
      </m:oMath>
      <w:r>
        <w:rPr>
          <w:color w:val="44546A"/>
          <w:sz w:val="20"/>
          <w:szCs w:val="20"/>
        </w:rPr>
        <w:t xml:space="preserve">: Baseline </w:t>
      </w:r>
      <w:r w:rsidR="003C3E9E">
        <w:rPr>
          <w:color w:val="44546A"/>
          <w:sz w:val="20"/>
          <w:szCs w:val="20"/>
        </w:rPr>
        <w:t>emissions (</w:t>
      </w:r>
      <w:r>
        <w:rPr>
          <w:color w:val="44546A"/>
          <w:sz w:val="20"/>
          <w:szCs w:val="20"/>
        </w:rPr>
        <w:t xml:space="preserve">tonne of </w:t>
      </w: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CO</m:t>
            </m:r>
          </m:e>
          <m:sub>
            <m:r>
              <w:rPr>
                <w:rFonts w:ascii="Cambria Math" w:eastAsia="Cambria Math" w:hAnsi="Cambria Math" w:cs="Cambria Math"/>
                <w:color w:val="44546A"/>
                <w:sz w:val="20"/>
                <w:szCs w:val="20"/>
              </w:rPr>
              <m:t>2</m:t>
            </m:r>
          </m:sub>
        </m:sSub>
      </m:oMath>
      <w:r>
        <w:rPr>
          <w:rFonts w:ascii="Cambria Math" w:eastAsia="Cambria Math" w:hAnsi="Cambria Math" w:cs="Cambria Math"/>
          <w:color w:val="44546A"/>
          <w:sz w:val="20"/>
          <w:szCs w:val="20"/>
        </w:rPr>
        <w:t>-equivalent)</w:t>
      </w:r>
    </w:p>
    <w:p w14:paraId="67B64227" w14:textId="23EC1DA8"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PE</m:t>
            </m:r>
          </m:e>
          <m:sub>
            <m:r>
              <w:rPr>
                <w:rFonts w:ascii="Cambria Math" w:eastAsia="Cambria Math" w:hAnsi="Cambria Math" w:cs="Cambria Math"/>
                <w:color w:val="44546A"/>
                <w:sz w:val="20"/>
                <w:szCs w:val="20"/>
              </w:rPr>
              <m:t xml:space="preserve"> </m:t>
            </m:r>
          </m:sub>
        </m:sSub>
        <m:r>
          <w:rPr>
            <w:rFonts w:ascii="Cambria Math" w:eastAsia="Cambria Math" w:hAnsi="Cambria Math" w:cs="Cambria Math"/>
            <w:color w:val="44546A"/>
            <w:sz w:val="20"/>
            <w:szCs w:val="20"/>
          </w:rPr>
          <m:t>:</m:t>
        </m:r>
      </m:oMath>
      <w:r>
        <w:rPr>
          <w:color w:val="44546A"/>
          <w:sz w:val="20"/>
          <w:szCs w:val="20"/>
        </w:rPr>
        <w:t xml:space="preserve"> Project emissions (tonne of </w:t>
      </w: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CO</m:t>
            </m:r>
          </m:e>
          <m:sub>
            <m:r>
              <w:rPr>
                <w:rFonts w:ascii="Cambria Math" w:eastAsia="Cambria Math" w:hAnsi="Cambria Math" w:cs="Cambria Math"/>
                <w:color w:val="44546A"/>
                <w:sz w:val="20"/>
                <w:szCs w:val="20"/>
              </w:rPr>
              <m:t>2</m:t>
            </m:r>
          </m:sub>
        </m:sSub>
      </m:oMath>
      <w:r>
        <w:rPr>
          <w:rFonts w:ascii="Cambria Math" w:eastAsia="Cambria Math" w:hAnsi="Cambria Math" w:cs="Cambria Math"/>
          <w:color w:val="44546A"/>
          <w:sz w:val="20"/>
          <w:szCs w:val="20"/>
        </w:rPr>
        <w:t>-equivalent)</w:t>
      </w:r>
    </w:p>
    <w:p w14:paraId="5614BF6A" w14:textId="343A8741"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LE</m:t>
            </m:r>
          </m:e>
          <m:sub>
            <m:r>
              <w:rPr>
                <w:rFonts w:ascii="Cambria Math" w:eastAsia="Cambria Math" w:hAnsi="Cambria Math" w:cs="Cambria Math"/>
                <w:color w:val="44546A"/>
                <w:sz w:val="20"/>
                <w:szCs w:val="20"/>
              </w:rPr>
              <m:t xml:space="preserve"> </m:t>
            </m:r>
          </m:sub>
        </m:sSub>
        <m:r>
          <w:rPr>
            <w:rFonts w:ascii="Cambria Math" w:eastAsia="Cambria Math" w:hAnsi="Cambria Math" w:cs="Cambria Math"/>
            <w:color w:val="44546A"/>
            <w:sz w:val="20"/>
            <w:szCs w:val="20"/>
          </w:rPr>
          <m:t>: </m:t>
        </m:r>
      </m:oMath>
      <w:r>
        <w:rPr>
          <w:color w:val="44546A"/>
          <w:sz w:val="20"/>
          <w:szCs w:val="20"/>
        </w:rPr>
        <w:t xml:space="preserve">Leakage emissions from the project scenario* </w:t>
      </w:r>
    </w:p>
    <w:p w14:paraId="750018E6" w14:textId="44639E8E"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N</m:t>
            </m:r>
          </m:e>
          <m:sub>
            <m:r>
              <w:rPr>
                <w:rFonts w:ascii="Cambria Math" w:eastAsia="Cambria Math" w:hAnsi="Cambria Math" w:cs="Cambria Math"/>
                <w:color w:val="44546A"/>
                <w:sz w:val="20"/>
                <w:szCs w:val="20"/>
              </w:rPr>
              <m:t xml:space="preserve"> </m:t>
            </m:r>
          </m:sub>
        </m:sSub>
      </m:oMath>
      <w:r>
        <w:rPr>
          <w:color w:val="44546A"/>
          <w:sz w:val="20"/>
          <w:szCs w:val="20"/>
        </w:rPr>
        <w:t xml:space="preserve">: Number of project technology-days </w:t>
      </w:r>
    </w:p>
    <w:p w14:paraId="1FC83621" w14:textId="77777777"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U</m:t>
            </m:r>
          </m:e>
          <m:sub>
            <m:r>
              <w:rPr>
                <w:rFonts w:ascii="Cambria Math" w:eastAsia="Cambria Math" w:hAnsi="Cambria Math" w:cs="Cambria Math"/>
                <w:color w:val="44546A"/>
                <w:sz w:val="20"/>
                <w:szCs w:val="20"/>
              </w:rPr>
              <m:t>p</m:t>
            </m:r>
          </m:sub>
        </m:sSub>
      </m:oMath>
      <w:r>
        <w:rPr>
          <w:color w:val="44546A"/>
          <w:sz w:val="20"/>
          <w:szCs w:val="20"/>
        </w:rPr>
        <w:t>: Usage rate for technologies in the project scenario (%)</w:t>
      </w:r>
    </w:p>
    <w:p w14:paraId="5ED14C27" w14:textId="7177815F"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SE</m:t>
            </m:r>
          </m:e>
          <m:sub>
            <m:r>
              <w:rPr>
                <w:rFonts w:ascii="Cambria Math" w:eastAsia="Cambria Math" w:hAnsi="Cambria Math" w:cs="Cambria Math"/>
                <w:color w:val="44546A"/>
                <w:sz w:val="20"/>
                <w:szCs w:val="20"/>
              </w:rPr>
              <m:t>b </m:t>
            </m:r>
            <m:d>
              <m:dPr>
                <m:ctrlPr>
                  <w:rPr>
                    <w:rFonts w:ascii="Cambria Math" w:eastAsia="Cambria Math" w:hAnsi="Cambria Math" w:cs="Cambria Math"/>
                    <w:color w:val="44546A"/>
                    <w:sz w:val="20"/>
                    <w:szCs w:val="20"/>
                  </w:rPr>
                </m:ctrlPr>
              </m:dPr>
              <m:e>
                <m:r>
                  <w:rPr>
                    <w:rFonts w:ascii="Cambria Math" w:eastAsia="Cambria Math" w:hAnsi="Cambria Math" w:cs="Cambria Math"/>
                    <w:color w:val="44546A"/>
                    <w:sz w:val="20"/>
                    <w:szCs w:val="20"/>
                  </w:rPr>
                  <m:t>or p</m:t>
                </m:r>
              </m:e>
            </m:d>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CO</m:t>
                </m:r>
              </m:e>
              <m:sub>
                <m:r>
                  <w:rPr>
                    <w:rFonts w:ascii="Cambria Math" w:eastAsia="Cambria Math" w:hAnsi="Cambria Math" w:cs="Cambria Math"/>
                    <w:color w:val="44546A"/>
                    <w:sz w:val="20"/>
                    <w:szCs w:val="20"/>
                  </w:rPr>
                  <m:t>2</m:t>
                </m:r>
              </m:sub>
            </m:sSub>
          </m:sub>
        </m:sSub>
        <m:r>
          <w:rPr>
            <w:rFonts w:ascii="Cambria Math" w:eastAsia="Cambria Math" w:hAnsi="Cambria Math" w:cs="Cambria Math"/>
            <w:color w:val="44546A"/>
            <w:sz w:val="20"/>
            <w:szCs w:val="20"/>
          </w:rPr>
          <m:t>: </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CO</m:t>
            </m:r>
          </m:e>
          <m:sub>
            <m:r>
              <w:rPr>
                <w:rFonts w:ascii="Cambria Math" w:eastAsia="Cambria Math" w:hAnsi="Cambria Math" w:cs="Cambria Math"/>
                <w:color w:val="44546A"/>
                <w:sz w:val="20"/>
                <w:szCs w:val="20"/>
              </w:rPr>
              <m:t>2</m:t>
            </m:r>
          </m:sub>
        </m:sSub>
      </m:oMath>
      <w:r>
        <w:rPr>
          <w:color w:val="44546A"/>
          <w:sz w:val="20"/>
          <w:szCs w:val="20"/>
        </w:rPr>
        <w:t xml:space="preserve">emissions for the baseline or project </w:t>
      </w:r>
      <w:r w:rsidR="003C3E9E">
        <w:rPr>
          <w:color w:val="44546A"/>
          <w:sz w:val="20"/>
          <w:szCs w:val="20"/>
        </w:rPr>
        <w:t xml:space="preserve">technology (tonnes </w:t>
      </w:r>
      <w:r>
        <w:rPr>
          <w:color w:val="44546A"/>
          <w:sz w:val="20"/>
          <w:szCs w:val="20"/>
        </w:rPr>
        <w:t xml:space="preserve">of </w:t>
      </w: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CO</m:t>
            </m:r>
          </m:e>
          <m:sub>
            <m:r>
              <w:rPr>
                <w:rFonts w:ascii="Cambria Math" w:eastAsia="Cambria Math" w:hAnsi="Cambria Math" w:cs="Cambria Math"/>
                <w:color w:val="44546A"/>
                <w:sz w:val="20"/>
                <w:szCs w:val="20"/>
              </w:rPr>
              <m:t>2</m:t>
            </m:r>
          </m:sub>
        </m:sSub>
      </m:oMath>
      <w:r>
        <w:rPr>
          <w:color w:val="44546A"/>
          <w:sz w:val="20"/>
          <w:szCs w:val="20"/>
        </w:rPr>
        <w:t xml:space="preserve"> per stove-day) </w:t>
      </w:r>
    </w:p>
    <w:p w14:paraId="1E636EE7" w14:textId="0A6BC841"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SE</m:t>
            </m:r>
          </m:e>
          <m:sub>
            <m:r>
              <w:rPr>
                <w:rFonts w:ascii="Cambria Math" w:eastAsia="Cambria Math" w:hAnsi="Cambria Math" w:cs="Cambria Math"/>
                <w:color w:val="44546A"/>
                <w:sz w:val="20"/>
                <w:szCs w:val="20"/>
              </w:rPr>
              <m:t>b </m:t>
            </m:r>
            <m:d>
              <m:dPr>
                <m:ctrlPr>
                  <w:rPr>
                    <w:rFonts w:ascii="Cambria Math" w:eastAsia="Cambria Math" w:hAnsi="Cambria Math" w:cs="Cambria Math"/>
                    <w:color w:val="44546A"/>
                    <w:sz w:val="20"/>
                    <w:szCs w:val="20"/>
                  </w:rPr>
                </m:ctrlPr>
              </m:dPr>
              <m:e>
                <m:r>
                  <w:rPr>
                    <w:rFonts w:ascii="Cambria Math" w:eastAsia="Cambria Math" w:hAnsi="Cambria Math" w:cs="Cambria Math"/>
                    <w:color w:val="44546A"/>
                    <w:sz w:val="20"/>
                    <w:szCs w:val="20"/>
                  </w:rPr>
                  <m:t>or p</m:t>
                </m:r>
              </m:e>
            </m:d>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 non-CO</m:t>
                </m:r>
              </m:e>
              <m:sub>
                <m:r>
                  <w:rPr>
                    <w:rFonts w:ascii="Cambria Math" w:eastAsia="Cambria Math" w:hAnsi="Cambria Math" w:cs="Cambria Math"/>
                    <w:color w:val="44546A"/>
                    <w:sz w:val="20"/>
                    <w:szCs w:val="20"/>
                  </w:rPr>
                  <m:t>2</m:t>
                </m:r>
              </m:sub>
            </m:sSub>
          </m:sub>
        </m:sSub>
        <m:r>
          <w:rPr>
            <w:rFonts w:ascii="Cambria Math" w:eastAsia="Cambria Math" w:hAnsi="Cambria Math" w:cs="Cambria Math"/>
            <w:color w:val="44546A"/>
            <w:sz w:val="20"/>
            <w:szCs w:val="20"/>
          </w:rPr>
          <m:t>: </m:t>
        </m:r>
      </m:oMath>
      <w:r>
        <w:rPr>
          <w:color w:val="44546A"/>
          <w:sz w:val="20"/>
          <w:szCs w:val="20"/>
        </w:rPr>
        <w:t xml:space="preserve"> </w:t>
      </w: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non-CO</m:t>
            </m:r>
          </m:e>
          <m:sub>
            <m:r>
              <w:rPr>
                <w:rFonts w:ascii="Cambria Math" w:eastAsia="Cambria Math" w:hAnsi="Cambria Math" w:cs="Cambria Math"/>
                <w:color w:val="44546A"/>
                <w:sz w:val="20"/>
                <w:szCs w:val="20"/>
              </w:rPr>
              <m:t>2</m:t>
            </m:r>
          </m:sub>
        </m:sSub>
      </m:oMath>
      <w:r>
        <w:rPr>
          <w:color w:val="44546A"/>
          <w:sz w:val="20"/>
          <w:szCs w:val="20"/>
        </w:rPr>
        <w:t>emissions for the baseline or project technology (</w:t>
      </w:r>
      <w:r w:rsidR="003C3E9E">
        <w:rPr>
          <w:color w:val="44546A"/>
          <w:sz w:val="20"/>
          <w:szCs w:val="20"/>
        </w:rPr>
        <w:t xml:space="preserve">tonnes </w:t>
      </w:r>
      <w:r>
        <w:rPr>
          <w:color w:val="44546A"/>
          <w:sz w:val="20"/>
          <w:szCs w:val="20"/>
        </w:rPr>
        <w:t xml:space="preserve">of </w:t>
      </w: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CO</m:t>
            </m:r>
          </m:e>
          <m:sub>
            <m:r>
              <w:rPr>
                <w:rFonts w:ascii="Cambria Math" w:eastAsia="Cambria Math" w:hAnsi="Cambria Math" w:cs="Cambria Math"/>
                <w:color w:val="44546A"/>
                <w:sz w:val="20"/>
                <w:szCs w:val="20"/>
              </w:rPr>
              <m:t>2</m:t>
            </m:r>
          </m:sub>
        </m:sSub>
        <m:r>
          <w:rPr>
            <w:rFonts w:ascii="Cambria Math" w:eastAsia="Cambria Math" w:hAnsi="Cambria Math" w:cs="Cambria Math"/>
            <w:color w:val="44546A"/>
            <w:sz w:val="20"/>
            <w:szCs w:val="20"/>
          </w:rPr>
          <m:t xml:space="preserve">-equivalent </m:t>
        </m:r>
      </m:oMath>
      <w:r>
        <w:rPr>
          <w:color w:val="44546A"/>
          <w:sz w:val="20"/>
          <w:szCs w:val="20"/>
        </w:rPr>
        <w:t>per stove-day)</w:t>
      </w:r>
    </w:p>
    <w:p w14:paraId="67A25B9F" w14:textId="324A9FB1"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f</m:t>
            </m:r>
          </m:e>
          <m:sub>
            <m:r>
              <w:rPr>
                <w:rFonts w:ascii="Cambria Math" w:eastAsia="Cambria Math" w:hAnsi="Cambria Math" w:cs="Cambria Math"/>
                <w:color w:val="44546A"/>
                <w:sz w:val="20"/>
                <w:szCs w:val="20"/>
              </w:rPr>
              <m:t>NRB,b</m:t>
            </m:r>
          </m:sub>
        </m:sSub>
      </m:oMath>
      <w:r>
        <w:rPr>
          <w:color w:val="44546A"/>
          <w:sz w:val="20"/>
          <w:szCs w:val="20"/>
        </w:rPr>
        <w:t>: Fraction of biomass that is is from non-renewable sources in the baseline (</w:t>
      </w:r>
      <w:r w:rsidR="003C3E9E">
        <w:rPr>
          <w:color w:val="44546A"/>
          <w:sz w:val="20"/>
          <w:szCs w:val="20"/>
        </w:rPr>
        <w:t>%) (</w:t>
      </w:r>
      <w:r>
        <w:rPr>
          <w:color w:val="44546A"/>
          <w:sz w:val="20"/>
          <w:szCs w:val="20"/>
        </w:rPr>
        <w:t xml:space="preserve">excluded if project technology is not biomass) (%) </w:t>
      </w:r>
    </w:p>
    <w:p w14:paraId="5AA1DC72" w14:textId="77777777" w:rsidR="000E5CD4" w:rsidRDefault="000E5CD4">
      <w:pPr>
        <w:rPr>
          <w:color w:val="44546A"/>
          <w:sz w:val="20"/>
          <w:szCs w:val="20"/>
        </w:rPr>
      </w:pPr>
    </w:p>
    <w:p w14:paraId="0E92DAA8" w14:textId="77777777" w:rsidR="000E5CD4" w:rsidRDefault="00000000">
      <w:pPr>
        <w:rPr>
          <w:color w:val="44546A"/>
          <w:sz w:val="20"/>
          <w:szCs w:val="20"/>
        </w:rPr>
      </w:pPr>
      <w:r>
        <w:rPr>
          <w:color w:val="44546A"/>
          <w:sz w:val="20"/>
          <w:szCs w:val="20"/>
        </w:rPr>
        <w:t xml:space="preserve">*GS TPDDTEC allows projects to either monitor their own leakage, ignore if determined to be very low, or apply CDM’s default adjust value of 5% of emission reductions </w:t>
      </w:r>
    </w:p>
    <w:p w14:paraId="32DB1F52" w14:textId="77777777" w:rsidR="000E5CD4" w:rsidRDefault="000E5CD4">
      <w:pPr>
        <w:rPr>
          <w:color w:val="44546A"/>
          <w:sz w:val="20"/>
          <w:szCs w:val="20"/>
        </w:rPr>
      </w:pPr>
    </w:p>
    <w:p w14:paraId="1B4D60C9" w14:textId="77777777" w:rsidR="000E5CD4" w:rsidRDefault="00000000">
      <w:pPr>
        <w:rPr>
          <w:color w:val="44546A"/>
          <w:sz w:val="20"/>
          <w:szCs w:val="20"/>
        </w:rPr>
      </w:pPr>
      <w:r>
        <w:rPr>
          <w:color w:val="44546A"/>
          <w:sz w:val="20"/>
          <w:szCs w:val="20"/>
        </w:rPr>
        <w:t>​​</w:t>
      </w:r>
    </w:p>
    <w:p w14:paraId="0286CA40" w14:textId="77777777" w:rsidR="000E5CD4" w:rsidRDefault="000E5CD4">
      <w:pPr>
        <w:rPr>
          <w:color w:val="44546A"/>
          <w:sz w:val="20"/>
          <w:szCs w:val="20"/>
        </w:rPr>
      </w:pPr>
    </w:p>
    <w:p w14:paraId="0809BAD1" w14:textId="77777777" w:rsidR="000E5CD4" w:rsidRDefault="00000000">
      <w:pPr>
        <w:rPr>
          <w:i/>
          <w:color w:val="44546A"/>
          <w:sz w:val="20"/>
          <w:szCs w:val="20"/>
          <w:u w:val="single"/>
        </w:rPr>
      </w:pPr>
      <w:r>
        <w:rPr>
          <w:i/>
          <w:color w:val="44546A"/>
          <w:sz w:val="20"/>
          <w:szCs w:val="20"/>
          <w:u w:val="single"/>
        </w:rPr>
        <w:t>GS’s Simplified Methodology for clean and efficient cookstoves</w:t>
      </w:r>
    </w:p>
    <w:p w14:paraId="785094EE" w14:textId="77777777" w:rsidR="000E5CD4" w:rsidRDefault="000E5CD4">
      <w:pPr>
        <w:rPr>
          <w:color w:val="44546A"/>
          <w:sz w:val="20"/>
          <w:szCs w:val="20"/>
        </w:rPr>
      </w:pPr>
    </w:p>
    <w:p w14:paraId="466E575A" w14:textId="6D7C52CA" w:rsidR="000E5CD4" w:rsidRDefault="00000000">
      <w:pPr>
        <w:jc w:val="center"/>
        <w:rPr>
          <w:rFonts w:ascii="Cambria Math" w:eastAsia="Cambria Math" w:hAnsi="Cambria Math" w:cs="Cambria Math"/>
          <w:color w:val="44546A"/>
          <w:sz w:val="20"/>
          <w:szCs w:val="20"/>
        </w:rPr>
      </w:pPr>
      <m:oMathPara>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ER</m:t>
              </m:r>
            </m:e>
            <m:sub>
              <m:r>
                <w:rPr>
                  <w:rFonts w:ascii="Cambria Math" w:eastAsia="Cambria Math" w:hAnsi="Cambria Math" w:cs="Cambria Math"/>
                  <w:color w:val="44546A"/>
                  <w:sz w:val="20"/>
                  <w:szCs w:val="20"/>
                </w:rPr>
                <m:t xml:space="preserve"> </m:t>
              </m:r>
            </m:sub>
          </m:sSub>
          <m:r>
            <w:rPr>
              <w:rFonts w:ascii="Cambria Math" w:eastAsia="Cambria Math" w:hAnsi="Cambria Math" w:cs="Cambria Math"/>
              <w:color w:val="44546A"/>
              <w:sz w:val="20"/>
              <w:szCs w:val="20"/>
            </w:rPr>
            <m:t>=</m:t>
          </m:r>
          <m:nary>
            <m:naryPr>
              <m:chr m:val="∑"/>
              <m:ctrlPr>
                <w:rPr>
                  <w:rFonts w:ascii="Cambria Math" w:eastAsia="Cambria Math" w:hAnsi="Cambria Math" w:cs="Cambria Math"/>
                  <w:color w:val="44546A"/>
                  <w:sz w:val="20"/>
                  <w:szCs w:val="20"/>
                </w:rPr>
              </m:ctrlPr>
            </m:naryPr>
            <m:sub>
              <m:r>
                <w:rPr>
                  <w:rFonts w:ascii="Cambria Math" w:eastAsia="Cambria Math" w:hAnsi="Cambria Math" w:cs="Cambria Math"/>
                  <w:color w:val="44546A"/>
                  <w:sz w:val="20"/>
                  <w:szCs w:val="20"/>
                </w:rPr>
                <m:t>0 to 1</m:t>
              </m:r>
            </m:sub>
            <m:sup>
              <m:r>
                <w:rPr>
                  <w:rFonts w:ascii="Cambria Math" w:eastAsia="Cambria Math" w:hAnsi="Cambria Math" w:cs="Cambria Math"/>
                  <w:color w:val="44546A"/>
                  <w:sz w:val="20"/>
                  <w:szCs w:val="20"/>
                </w:rPr>
                <m:t>x to y</m:t>
              </m:r>
            </m:sup>
            <m:e>
              <m:r>
                <w:rPr>
                  <w:rFonts w:ascii="Cambria Math" w:eastAsia="Cambria Math" w:hAnsi="Cambria Math" w:cs="Cambria Math"/>
                  <w:color w:val="44546A"/>
                  <w:sz w:val="20"/>
                  <w:szCs w:val="20"/>
                </w:rPr>
                <m:t xml:space="preserve"> </m:t>
              </m:r>
            </m:e>
          </m:nary>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N</m:t>
              </m:r>
            </m:e>
            <m:sub>
              <m:r>
                <w:rPr>
                  <w:rFonts w:ascii="Cambria Math" w:eastAsia="Cambria Math" w:hAnsi="Cambria Math" w:cs="Cambria Math"/>
                  <w:color w:val="44546A"/>
                  <w:sz w:val="20"/>
                  <w:szCs w:val="20"/>
                </w:rPr>
                <m:t>P</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P</m:t>
              </m:r>
            </m:e>
            <m:sub>
              <m:r>
                <w:rPr>
                  <w:rFonts w:ascii="Cambria Math" w:eastAsia="Cambria Math" w:hAnsi="Cambria Math" w:cs="Cambria Math"/>
                  <w:color w:val="44546A"/>
                  <w:sz w:val="20"/>
                  <w:szCs w:val="20"/>
                </w:rPr>
                <m:t xml:space="preserve"> </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U</m:t>
              </m:r>
            </m:e>
            <m:sub>
              <m:r>
                <w:rPr>
                  <w:rFonts w:ascii="Cambria Math" w:eastAsia="Cambria Math" w:hAnsi="Cambria Math" w:cs="Cambria Math"/>
                  <w:color w:val="44546A"/>
                  <w:sz w:val="20"/>
                  <w:szCs w:val="20"/>
                </w:rPr>
                <m:t>P</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f</m:t>
              </m:r>
            </m:e>
            <m:sub>
              <m:r>
                <w:rPr>
                  <w:rFonts w:ascii="Cambria Math" w:eastAsia="Cambria Math" w:hAnsi="Cambria Math" w:cs="Cambria Math"/>
                  <w:color w:val="44546A"/>
                  <w:sz w:val="20"/>
                  <w:szCs w:val="20"/>
                </w:rPr>
                <m:t>NRB</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EF</m:t>
              </m:r>
            </m:e>
            <m:sub>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b, fuel, CO</m:t>
                  </m:r>
                </m:e>
                <m:sub>
                  <m:r>
                    <w:rPr>
                      <w:rFonts w:ascii="Cambria Math" w:eastAsia="Cambria Math" w:hAnsi="Cambria Math" w:cs="Cambria Math"/>
                      <w:color w:val="44546A"/>
                      <w:sz w:val="20"/>
                      <w:szCs w:val="20"/>
                    </w:rPr>
                    <m:t>2</m:t>
                  </m:r>
                </m:sub>
              </m:sSub>
            </m:sub>
          </m:sSub>
          <m:r>
            <w:rPr>
              <w:rFonts w:ascii="Cambria Math" w:hAnsi="Cambria Math"/>
              <w:color w:val="44546A"/>
              <w:sz w:val="20"/>
              <w:szCs w:val="20"/>
            </w:rPr>
            <m:t>+ </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EF</m:t>
              </m:r>
            </m:e>
            <m:sub>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b, fuel,  non-CO</m:t>
                  </m:r>
                </m:e>
                <m:sub>
                  <m:r>
                    <w:rPr>
                      <w:rFonts w:ascii="Cambria Math" w:eastAsia="Cambria Math" w:hAnsi="Cambria Math" w:cs="Cambria Math"/>
                      <w:color w:val="44546A"/>
                      <w:sz w:val="20"/>
                      <w:szCs w:val="20"/>
                    </w:rPr>
                    <m:t>2</m:t>
                  </m:r>
                </m:sub>
              </m:sSub>
            </m:sub>
          </m:sSub>
          <m:r>
            <w:rPr>
              <w:rFonts w:ascii="Cambria Math" w:hAnsi="Cambria Math"/>
              <w:color w:val="44546A"/>
              <w:sz w:val="20"/>
              <w:szCs w:val="20"/>
            </w:rPr>
            <m:t>)</m:t>
          </m:r>
          <m:r>
            <w:rPr>
              <w:rFonts w:ascii="Cambria Math" w:eastAsia="Cambria Math" w:hAnsi="Cambria Math" w:cs="Cambria Math"/>
              <w:color w:val="44546A"/>
              <w:sz w:val="20"/>
              <w:szCs w:val="20"/>
            </w:rPr>
            <m:t>*</m:t>
          </m:r>
          <m:r>
            <w:rPr>
              <w:rFonts w:ascii="Cambria Math" w:hAnsi="Cambria Math"/>
              <w:color w:val="44546A"/>
              <w:sz w:val="20"/>
              <w:szCs w:val="20"/>
            </w:rPr>
            <m:t>(1- </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DF</m:t>
              </m:r>
            </m:e>
            <m:sub>
              <m:r>
                <w:rPr>
                  <w:rFonts w:ascii="Cambria Math" w:eastAsia="Cambria Math" w:hAnsi="Cambria Math" w:cs="Cambria Math"/>
                  <w:color w:val="44546A"/>
                  <w:sz w:val="20"/>
                  <w:szCs w:val="20"/>
                </w:rPr>
                <m:t>b, stove</m:t>
              </m:r>
            </m:sub>
          </m:sSub>
          <m:r>
            <w:rPr>
              <w:rFonts w:ascii="Cambria Math" w:eastAsia="Cambria Math" w:hAnsi="Cambria Math" w:cs="Cambria Math"/>
              <w:color w:val="44546A"/>
              <w:sz w:val="20"/>
              <w:szCs w:val="20"/>
            </w:rPr>
            <m:t>)- </m:t>
          </m:r>
          <m:sSub>
            <m:sSubPr>
              <m:ctrlPr>
                <w:rPr>
                  <w:rFonts w:ascii="Cambria Math" w:eastAsia="Cambria Math" w:hAnsi="Cambria Math" w:cs="Cambria Math"/>
                  <w:color w:val="44546A"/>
                  <w:sz w:val="20"/>
                  <w:szCs w:val="20"/>
                </w:rPr>
              </m:ctrlPr>
            </m:sSubPr>
            <m:e>
              <m:nary>
                <m:naryPr>
                  <m:chr m:val="∑"/>
                  <m:ctrlPr>
                    <w:rPr>
                      <w:rFonts w:ascii="Cambria Math" w:eastAsia="Cambria Math" w:hAnsi="Cambria Math" w:cs="Cambria Math"/>
                      <w:color w:val="44546A"/>
                      <w:sz w:val="20"/>
                      <w:szCs w:val="20"/>
                    </w:rPr>
                  </m:ctrlPr>
                </m:naryPr>
                <m:sub>
                  <m:r>
                    <w:rPr>
                      <w:rFonts w:ascii="Cambria Math" w:eastAsia="Cambria Math" w:hAnsi="Cambria Math" w:cs="Cambria Math"/>
                      <w:color w:val="44546A"/>
                      <w:sz w:val="20"/>
                      <w:szCs w:val="20"/>
                    </w:rPr>
                    <m:t xml:space="preserve"> </m:t>
                  </m:r>
                </m:sub>
                <m:sup>
                  <m:r>
                    <w:rPr>
                      <w:rFonts w:ascii="Cambria Math" w:eastAsia="Cambria Math" w:hAnsi="Cambria Math" w:cs="Cambria Math"/>
                      <w:color w:val="44546A"/>
                      <w:sz w:val="20"/>
                      <w:szCs w:val="20"/>
                    </w:rPr>
                    <m:t xml:space="preserve"> </m:t>
                  </m:r>
                </m:sup>
                <m:e>
                  <m:r>
                    <w:rPr>
                      <w:rFonts w:ascii="Cambria Math" w:eastAsia="Cambria Math" w:hAnsi="Cambria Math" w:cs="Cambria Math"/>
                      <w:color w:val="44546A"/>
                      <w:sz w:val="20"/>
                      <w:szCs w:val="20"/>
                    </w:rPr>
                    <m:t xml:space="preserve"> </m:t>
                  </m:r>
                </m:e>
              </m:nary>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LE</m:t>
                  </m:r>
                </m:e>
                <m:sub>
                  <m:r>
                    <w:rPr>
                      <w:rFonts w:ascii="Cambria Math" w:eastAsia="Cambria Math" w:hAnsi="Cambria Math" w:cs="Cambria Math"/>
                      <w:color w:val="44546A"/>
                      <w:sz w:val="20"/>
                      <w:szCs w:val="20"/>
                    </w:rPr>
                    <m:t xml:space="preserve"> </m:t>
                  </m:r>
                </m:sub>
              </m:sSub>
            </m:e>
            <m:sub>
              <m:r>
                <w:rPr>
                  <w:rFonts w:ascii="Cambria Math" w:eastAsia="Cambria Math" w:hAnsi="Cambria Math" w:cs="Cambria Math"/>
                  <w:color w:val="44546A"/>
                  <w:sz w:val="20"/>
                  <w:szCs w:val="20"/>
                </w:rPr>
                <m:t> </m:t>
              </m:r>
            </m:sub>
          </m:sSub>
        </m:oMath>
      </m:oMathPara>
    </w:p>
    <w:p w14:paraId="1219EDCB" w14:textId="77777777" w:rsidR="000E5CD4" w:rsidRDefault="00000000">
      <w:pPr>
        <w:rPr>
          <w:color w:val="44546A"/>
          <w:sz w:val="20"/>
          <w:szCs w:val="20"/>
        </w:rPr>
      </w:pPr>
      <w:r>
        <w:rPr>
          <w:color w:val="44546A"/>
          <w:sz w:val="20"/>
          <w:szCs w:val="20"/>
        </w:rPr>
        <w:t xml:space="preserve">Where: </w:t>
      </w:r>
    </w:p>
    <w:p w14:paraId="07C42CE9" w14:textId="5580FC8D"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ER</m:t>
            </m:r>
          </m:e>
          <m:sub>
            <m:r>
              <w:rPr>
                <w:rFonts w:ascii="Cambria Math" w:eastAsia="Cambria Math" w:hAnsi="Cambria Math" w:cs="Cambria Math"/>
                <w:color w:val="44546A"/>
                <w:sz w:val="20"/>
                <w:szCs w:val="20"/>
              </w:rPr>
              <m:t xml:space="preserve"> </m:t>
            </m:r>
          </m:sub>
        </m:sSub>
        <m:r>
          <w:rPr>
            <w:rFonts w:ascii="Cambria Math" w:eastAsia="Cambria Math" w:hAnsi="Cambria Math" w:cs="Cambria Math"/>
            <w:color w:val="44546A"/>
            <w:sz w:val="20"/>
            <w:szCs w:val="20"/>
          </w:rPr>
          <m:t>: </m:t>
        </m:r>
      </m:oMath>
      <w:r>
        <w:rPr>
          <w:color w:val="44546A"/>
          <w:sz w:val="20"/>
          <w:szCs w:val="20"/>
        </w:rPr>
        <w:t xml:space="preserve">Emission reductions (tonnes of </w:t>
      </w: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CO</m:t>
            </m:r>
          </m:e>
          <m:sub>
            <m:r>
              <w:rPr>
                <w:rFonts w:ascii="Cambria Math" w:eastAsia="Cambria Math" w:hAnsi="Cambria Math" w:cs="Cambria Math"/>
                <w:color w:val="44546A"/>
                <w:sz w:val="20"/>
                <w:szCs w:val="20"/>
              </w:rPr>
              <m:t>2</m:t>
            </m:r>
          </m:sub>
        </m:sSub>
        <m:r>
          <w:rPr>
            <w:rFonts w:ascii="Cambria Math" w:eastAsia="Cambria Math" w:hAnsi="Cambria Math" w:cs="Cambria Math"/>
            <w:color w:val="44546A"/>
            <w:sz w:val="20"/>
            <w:szCs w:val="20"/>
          </w:rPr>
          <m:t xml:space="preserve">-equivalent </m:t>
        </m:r>
      </m:oMath>
      <w:r>
        <w:rPr>
          <w:rFonts w:ascii="Cambria Math" w:eastAsia="Cambria Math" w:hAnsi="Cambria Math" w:cs="Cambria Math"/>
          <w:color w:val="44546A"/>
          <w:sz w:val="20"/>
          <w:szCs w:val="20"/>
        </w:rPr>
        <w:t>per year)</w:t>
      </w:r>
    </w:p>
    <w:p w14:paraId="0BFBA7E9" w14:textId="5065A016"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LE</m:t>
            </m:r>
          </m:e>
          <m:sub>
            <m:r>
              <w:rPr>
                <w:rFonts w:ascii="Cambria Math" w:eastAsia="Cambria Math" w:hAnsi="Cambria Math" w:cs="Cambria Math"/>
                <w:color w:val="44546A"/>
                <w:sz w:val="20"/>
                <w:szCs w:val="20"/>
              </w:rPr>
              <m:t xml:space="preserve"> </m:t>
            </m:r>
          </m:sub>
        </m:sSub>
        <m:r>
          <w:rPr>
            <w:rFonts w:ascii="Cambria Math" w:eastAsia="Cambria Math" w:hAnsi="Cambria Math" w:cs="Cambria Math"/>
            <w:color w:val="44546A"/>
            <w:sz w:val="20"/>
            <w:szCs w:val="20"/>
          </w:rPr>
          <m:t>: </m:t>
        </m:r>
      </m:oMath>
      <w:r>
        <w:rPr>
          <w:color w:val="44546A"/>
          <w:sz w:val="20"/>
          <w:szCs w:val="20"/>
        </w:rPr>
        <w:t xml:space="preserve">Leakage emissions (tonnes of </w:t>
      </w: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CO</m:t>
            </m:r>
          </m:e>
          <m:sub>
            <m:r>
              <w:rPr>
                <w:rFonts w:ascii="Cambria Math" w:eastAsia="Cambria Math" w:hAnsi="Cambria Math" w:cs="Cambria Math"/>
                <w:color w:val="44546A"/>
                <w:sz w:val="20"/>
                <w:szCs w:val="20"/>
              </w:rPr>
              <m:t>2</m:t>
            </m:r>
          </m:sub>
        </m:sSub>
        <m:r>
          <w:rPr>
            <w:rFonts w:ascii="Cambria Math" w:eastAsia="Cambria Math" w:hAnsi="Cambria Math" w:cs="Cambria Math"/>
            <w:color w:val="44546A"/>
            <w:sz w:val="20"/>
            <w:szCs w:val="20"/>
          </w:rPr>
          <m:t xml:space="preserve">-equivalent </m:t>
        </m:r>
      </m:oMath>
      <w:r>
        <w:rPr>
          <w:rFonts w:ascii="Cambria Math" w:eastAsia="Cambria Math" w:hAnsi="Cambria Math" w:cs="Cambria Math"/>
          <w:color w:val="44546A"/>
          <w:sz w:val="20"/>
          <w:szCs w:val="20"/>
        </w:rPr>
        <w:t>per year)</w:t>
      </w:r>
    </w:p>
    <w:p w14:paraId="50655123" w14:textId="77777777"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N</m:t>
            </m:r>
          </m:e>
          <m:sub>
            <m:r>
              <w:rPr>
                <w:rFonts w:ascii="Cambria Math" w:eastAsia="Cambria Math" w:hAnsi="Cambria Math" w:cs="Cambria Math"/>
                <w:color w:val="44546A"/>
                <w:sz w:val="20"/>
                <w:szCs w:val="20"/>
              </w:rPr>
              <m:t>p</m:t>
            </m:r>
          </m:sub>
        </m:sSub>
      </m:oMath>
      <w:r>
        <w:rPr>
          <w:color w:val="44546A"/>
          <w:sz w:val="20"/>
          <w:szCs w:val="20"/>
        </w:rPr>
        <w:t>: Number of project stoves (# of stoves)</w:t>
      </w:r>
    </w:p>
    <w:p w14:paraId="59E68E18" w14:textId="417EAAEE"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P</m:t>
            </m:r>
          </m:e>
          <m:sub>
            <m:r>
              <w:rPr>
                <w:rFonts w:ascii="Cambria Math" w:eastAsia="Cambria Math" w:hAnsi="Cambria Math" w:cs="Cambria Math"/>
                <w:color w:val="44546A"/>
                <w:sz w:val="20"/>
                <w:szCs w:val="20"/>
              </w:rPr>
              <m:t>,</m:t>
            </m:r>
          </m:sub>
        </m:sSub>
      </m:oMath>
      <w:r>
        <w:rPr>
          <w:color w:val="44546A"/>
          <w:sz w:val="20"/>
          <w:szCs w:val="20"/>
        </w:rPr>
        <w:t xml:space="preserve">: Quantity of baseline fuel that is </w:t>
      </w:r>
      <w:r w:rsidR="003C3E9E">
        <w:rPr>
          <w:color w:val="44546A"/>
          <w:sz w:val="20"/>
          <w:szCs w:val="20"/>
        </w:rPr>
        <w:t>saved (tonnes</w:t>
      </w:r>
      <w:r>
        <w:rPr>
          <w:color w:val="44546A"/>
          <w:sz w:val="20"/>
          <w:szCs w:val="20"/>
        </w:rPr>
        <w:t xml:space="preserve"> per household per year)</w:t>
      </w:r>
    </w:p>
    <w:p w14:paraId="7CE61B83" w14:textId="77777777"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U</m:t>
            </m:r>
          </m:e>
          <m:sub>
            <m:r>
              <w:rPr>
                <w:rFonts w:ascii="Cambria Math" w:eastAsia="Cambria Math" w:hAnsi="Cambria Math" w:cs="Cambria Math"/>
                <w:color w:val="44546A"/>
                <w:sz w:val="20"/>
                <w:szCs w:val="20"/>
              </w:rPr>
              <m:t>,</m:t>
            </m:r>
          </m:sub>
        </m:sSub>
        <m:r>
          <w:rPr>
            <w:rFonts w:ascii="Cambria Math" w:eastAsia="Cambria Math" w:hAnsi="Cambria Math" w:cs="Cambria Math"/>
            <w:color w:val="44546A"/>
            <w:sz w:val="20"/>
            <w:szCs w:val="20"/>
          </w:rPr>
          <m:t> </m:t>
        </m:r>
      </m:oMath>
      <w:r>
        <w:rPr>
          <w:color w:val="44546A"/>
          <w:sz w:val="20"/>
          <w:szCs w:val="20"/>
        </w:rPr>
        <w:t>: Usage rate for project stoves, based on the adoption and drop-off rate revealed by usage surveys (%)</w:t>
      </w:r>
    </w:p>
    <w:p w14:paraId="22BA66E7" w14:textId="77777777"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f</m:t>
            </m:r>
          </m:e>
          <m:sub>
            <m:r>
              <w:rPr>
                <w:rFonts w:ascii="Cambria Math" w:eastAsia="Cambria Math" w:hAnsi="Cambria Math" w:cs="Cambria Math"/>
                <w:color w:val="44546A"/>
                <w:sz w:val="20"/>
                <w:szCs w:val="20"/>
              </w:rPr>
              <m:t>NRB,b</m:t>
            </m:r>
          </m:sub>
        </m:sSub>
      </m:oMath>
      <w:r>
        <w:rPr>
          <w:color w:val="44546A"/>
          <w:sz w:val="20"/>
          <w:szCs w:val="20"/>
        </w:rPr>
        <w:t>: Fraction of non-renewable biomass used in year y (%)</w:t>
      </w:r>
    </w:p>
    <w:p w14:paraId="640A7E90" w14:textId="77777777"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EF</m:t>
            </m:r>
          </m:e>
          <m:sub>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b, fuel, CO</m:t>
                </m:r>
              </m:e>
              <m:sub>
                <m:r>
                  <w:rPr>
                    <w:rFonts w:ascii="Cambria Math" w:eastAsia="Cambria Math" w:hAnsi="Cambria Math" w:cs="Cambria Math"/>
                    <w:color w:val="44546A"/>
                    <w:sz w:val="20"/>
                    <w:szCs w:val="20"/>
                  </w:rPr>
                  <m:t>2</m:t>
                </m:r>
              </m:sub>
            </m:sSub>
          </m:sub>
        </m:sSub>
      </m:oMath>
      <w:r>
        <w:rPr>
          <w:color w:val="44546A"/>
          <w:sz w:val="20"/>
          <w:szCs w:val="20"/>
        </w:rPr>
        <w:t xml:space="preserve">: carbon dioxide emission factor of baseline fuel that is substituted or reduced (tonnes of </w:t>
      </w: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CO</m:t>
            </m:r>
          </m:e>
          <m:sub>
            <m:r>
              <w:rPr>
                <w:rFonts w:ascii="Cambria Math" w:eastAsia="Cambria Math" w:hAnsi="Cambria Math" w:cs="Cambria Math"/>
                <w:color w:val="44546A"/>
                <w:sz w:val="20"/>
                <w:szCs w:val="20"/>
              </w:rPr>
              <m:t>2</m:t>
            </m:r>
          </m:sub>
        </m:sSub>
      </m:oMath>
      <w:r>
        <w:rPr>
          <w:rFonts w:ascii="Cambria Math" w:eastAsia="Cambria Math" w:hAnsi="Cambria Math" w:cs="Cambria Math"/>
          <w:color w:val="44546A"/>
          <w:sz w:val="20"/>
          <w:szCs w:val="20"/>
        </w:rPr>
        <w:t>per ton of fuel)</w:t>
      </w:r>
    </w:p>
    <w:p w14:paraId="01A64191" w14:textId="77777777"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EF</m:t>
            </m:r>
          </m:e>
          <m:sub>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b, fuel,  non-CO</m:t>
                </m:r>
              </m:e>
              <m:sub>
                <m:r>
                  <w:rPr>
                    <w:rFonts w:ascii="Cambria Math" w:eastAsia="Cambria Math" w:hAnsi="Cambria Math" w:cs="Cambria Math"/>
                    <w:color w:val="44546A"/>
                    <w:sz w:val="20"/>
                    <w:szCs w:val="20"/>
                  </w:rPr>
                  <m:t>2</m:t>
                </m:r>
              </m:sub>
            </m:sSub>
          </m:sub>
        </m:sSub>
      </m:oMath>
      <w:r>
        <w:rPr>
          <w:i/>
          <w:color w:val="44546A"/>
          <w:sz w:val="20"/>
          <w:szCs w:val="20"/>
        </w:rPr>
        <w:t xml:space="preserve">:  </w:t>
      </w:r>
      <w:r>
        <w:rPr>
          <w:color w:val="44546A"/>
          <w:sz w:val="20"/>
          <w:szCs w:val="20"/>
        </w:rPr>
        <w:t xml:space="preserve">non-carbon dioxide emission factor of baseline fuel that is substituted or reduced (tonnes of </w:t>
      </w: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CO</m:t>
            </m:r>
          </m:e>
          <m:sub>
            <m:r>
              <w:rPr>
                <w:rFonts w:ascii="Cambria Math" w:eastAsia="Cambria Math" w:hAnsi="Cambria Math" w:cs="Cambria Math"/>
                <w:color w:val="44546A"/>
                <w:sz w:val="20"/>
                <w:szCs w:val="20"/>
              </w:rPr>
              <m:t>2</m:t>
            </m:r>
          </m:sub>
        </m:sSub>
        <m:r>
          <w:rPr>
            <w:rFonts w:ascii="Cambria Math" w:eastAsia="Cambria Math" w:hAnsi="Cambria Math" w:cs="Cambria Math"/>
            <w:color w:val="44546A"/>
            <w:sz w:val="20"/>
            <w:szCs w:val="20"/>
          </w:rPr>
          <m:t xml:space="preserve">-equivalent </m:t>
        </m:r>
      </m:oMath>
      <w:r>
        <w:rPr>
          <w:rFonts w:ascii="Cambria Math" w:eastAsia="Cambria Math" w:hAnsi="Cambria Math" w:cs="Cambria Math"/>
          <w:color w:val="44546A"/>
          <w:sz w:val="20"/>
          <w:szCs w:val="20"/>
        </w:rPr>
        <w:t>per ton of fuel)</w:t>
      </w:r>
    </w:p>
    <w:p w14:paraId="622E16B0" w14:textId="77777777"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DF</m:t>
            </m:r>
          </m:e>
          <m:sub>
            <m:r>
              <w:rPr>
                <w:rFonts w:ascii="Cambria Math" w:eastAsia="Cambria Math" w:hAnsi="Cambria Math" w:cs="Cambria Math"/>
                <w:color w:val="44546A"/>
                <w:sz w:val="20"/>
                <w:szCs w:val="20"/>
              </w:rPr>
              <m:t>b, stove</m:t>
            </m:r>
          </m:sub>
        </m:sSub>
      </m:oMath>
      <w:r>
        <w:rPr>
          <w:color w:val="44546A"/>
          <w:sz w:val="20"/>
          <w:szCs w:val="20"/>
        </w:rPr>
        <w:t>: usage of baseline stove in the project scenario (%)</w:t>
      </w:r>
    </w:p>
    <w:p w14:paraId="1D2954ED" w14:textId="77777777" w:rsidR="000E5CD4" w:rsidRDefault="00000000">
      <w:pPr>
        <w:rPr>
          <w:color w:val="44546A"/>
          <w:sz w:val="20"/>
          <w:szCs w:val="20"/>
        </w:rPr>
      </w:pPr>
      <w:r>
        <w:rPr>
          <w:color w:val="44546A"/>
          <w:sz w:val="20"/>
          <w:szCs w:val="20"/>
        </w:rPr>
        <w:t xml:space="preserve">X: age group, from 0 to y -1 </w:t>
      </w:r>
    </w:p>
    <w:p w14:paraId="55ABD81F" w14:textId="77777777" w:rsidR="000E5CD4" w:rsidRDefault="00000000">
      <w:pPr>
        <w:rPr>
          <w:color w:val="44546A"/>
          <w:sz w:val="20"/>
          <w:szCs w:val="20"/>
        </w:rPr>
      </w:pPr>
      <w:r>
        <w:rPr>
          <w:color w:val="44546A"/>
          <w:sz w:val="20"/>
          <w:szCs w:val="20"/>
        </w:rPr>
        <w:t>Y: year of crediting period</w:t>
      </w:r>
    </w:p>
    <w:p w14:paraId="3C8EF6CD" w14:textId="77777777" w:rsidR="000E5CD4" w:rsidRDefault="000E5CD4">
      <w:pPr>
        <w:rPr>
          <w:color w:val="44546A"/>
          <w:sz w:val="20"/>
          <w:szCs w:val="20"/>
        </w:rPr>
      </w:pPr>
    </w:p>
    <w:p w14:paraId="539EF2A2" w14:textId="77777777" w:rsidR="000E5CD4" w:rsidRDefault="000E5CD4">
      <w:pPr>
        <w:rPr>
          <w:color w:val="44546A"/>
          <w:sz w:val="20"/>
          <w:szCs w:val="20"/>
        </w:rPr>
      </w:pPr>
    </w:p>
    <w:p w14:paraId="13CF1ABA" w14:textId="77777777" w:rsidR="000E5CD4" w:rsidRDefault="00000000">
      <w:pPr>
        <w:rPr>
          <w:i/>
          <w:color w:val="44546A"/>
          <w:sz w:val="20"/>
          <w:szCs w:val="20"/>
          <w:u w:val="single"/>
        </w:rPr>
      </w:pPr>
      <w:r>
        <w:rPr>
          <w:i/>
          <w:color w:val="44546A"/>
          <w:sz w:val="20"/>
          <w:szCs w:val="20"/>
          <w:u w:val="single"/>
        </w:rPr>
        <w:t>CDM’s Energy efficiency measures in thermal applications of non-renewable biomass (AMS II G)</w:t>
      </w:r>
    </w:p>
    <w:p w14:paraId="0B411E4D" w14:textId="77777777" w:rsidR="000E5CD4" w:rsidRDefault="000E5CD4">
      <w:pPr>
        <w:rPr>
          <w:color w:val="44546A"/>
          <w:sz w:val="20"/>
          <w:szCs w:val="20"/>
        </w:rPr>
      </w:pPr>
    </w:p>
    <w:p w14:paraId="5C342372" w14:textId="0E5887A4" w:rsidR="000E5CD4" w:rsidRDefault="00000000">
      <w:pPr>
        <w:jc w:val="center"/>
        <w:rPr>
          <w:rFonts w:ascii="Cambria Math" w:eastAsia="Cambria Math" w:hAnsi="Cambria Math" w:cs="Cambria Math"/>
          <w:color w:val="44546A"/>
          <w:sz w:val="20"/>
          <w:szCs w:val="20"/>
        </w:rPr>
      </w:pPr>
      <m:oMathPara>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ER</m:t>
              </m:r>
            </m:e>
            <m:sub>
              <m:r>
                <w:rPr>
                  <w:rFonts w:ascii="Cambria Math" w:eastAsia="Cambria Math" w:hAnsi="Cambria Math" w:cs="Cambria Math"/>
                  <w:color w:val="44546A"/>
                  <w:sz w:val="20"/>
                  <w:szCs w:val="20"/>
                </w:rPr>
                <m:t xml:space="preserve"> </m:t>
              </m:r>
            </m:sub>
          </m:sSub>
          <m:r>
            <w:rPr>
              <w:rFonts w:ascii="Cambria Math" w:eastAsia="Cambria Math" w:hAnsi="Cambria Math" w:cs="Cambria Math"/>
              <w:color w:val="44546A"/>
              <w:sz w:val="20"/>
              <w:szCs w:val="20"/>
            </w:rPr>
            <m:t>=</m:t>
          </m:r>
          <m:nary>
            <m:naryPr>
              <m:chr m:val="∑"/>
              <m:ctrlPr>
                <w:rPr>
                  <w:rFonts w:ascii="Cambria Math" w:eastAsia="Cambria Math" w:hAnsi="Cambria Math" w:cs="Cambria Math"/>
                  <w:color w:val="44546A"/>
                  <w:sz w:val="20"/>
                  <w:szCs w:val="20"/>
                </w:rPr>
              </m:ctrlPr>
            </m:naryPr>
            <m:sub>
              <m:r>
                <w:rPr>
                  <w:rFonts w:ascii="Cambria Math" w:eastAsia="Cambria Math" w:hAnsi="Cambria Math" w:cs="Cambria Math"/>
                  <w:color w:val="44546A"/>
                  <w:sz w:val="20"/>
                  <w:szCs w:val="20"/>
                </w:rPr>
                <m:t>i</m:t>
              </m:r>
            </m:sub>
            <m:sup>
              <m:r>
                <w:rPr>
                  <w:rFonts w:ascii="Cambria Math" w:eastAsia="Cambria Math" w:hAnsi="Cambria Math" w:cs="Cambria Math"/>
                  <w:color w:val="44546A"/>
                  <w:sz w:val="20"/>
                  <w:szCs w:val="20"/>
                </w:rPr>
                <m:t xml:space="preserve"> </m:t>
              </m:r>
            </m:sup>
            <m:e>
              <m:r>
                <w:rPr>
                  <w:rFonts w:ascii="Cambria Math" w:eastAsia="Cambria Math" w:hAnsi="Cambria Math" w:cs="Cambria Math"/>
                  <w:color w:val="44546A"/>
                  <w:sz w:val="20"/>
                  <w:szCs w:val="20"/>
                </w:rPr>
                <m:t xml:space="preserve"> </m:t>
              </m:r>
            </m:e>
          </m:nary>
          <m:nary>
            <m:naryPr>
              <m:chr m:val="∑"/>
              <m:ctrlPr>
                <w:rPr>
                  <w:rFonts w:ascii="Cambria Math" w:eastAsia="Cambria Math" w:hAnsi="Cambria Math" w:cs="Cambria Math"/>
                  <w:color w:val="44546A"/>
                  <w:sz w:val="20"/>
                  <w:szCs w:val="20"/>
                </w:rPr>
              </m:ctrlPr>
            </m:naryPr>
            <m:sub>
              <m:r>
                <w:rPr>
                  <w:rFonts w:ascii="Cambria Math" w:eastAsia="Cambria Math" w:hAnsi="Cambria Math" w:cs="Cambria Math"/>
                  <w:color w:val="44546A"/>
                  <w:sz w:val="20"/>
                  <w:szCs w:val="20"/>
                </w:rPr>
                <m:t>j</m:t>
              </m:r>
            </m:sub>
            <m:sup>
              <m:r>
                <w:rPr>
                  <w:rFonts w:ascii="Cambria Math" w:eastAsia="Cambria Math" w:hAnsi="Cambria Math" w:cs="Cambria Math"/>
                  <w:color w:val="44546A"/>
                  <w:sz w:val="20"/>
                  <w:szCs w:val="20"/>
                </w:rPr>
                <m:t xml:space="preserve"> </m:t>
              </m:r>
            </m:sup>
            <m:e>
              <m:r>
                <w:rPr>
                  <w:rFonts w:ascii="Cambria Math" w:eastAsia="Cambria Math" w:hAnsi="Cambria Math" w:cs="Cambria Math"/>
                  <w:color w:val="44546A"/>
                  <w:sz w:val="20"/>
                  <w:szCs w:val="20"/>
                </w:rPr>
                <m:t xml:space="preserve"> </m:t>
              </m:r>
            </m:e>
          </m:nary>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ER</m:t>
              </m:r>
            </m:e>
            <m:sub>
              <m:r>
                <w:rPr>
                  <w:rFonts w:ascii="Cambria Math" w:eastAsia="Cambria Math" w:hAnsi="Cambria Math" w:cs="Cambria Math"/>
                  <w:color w:val="44546A"/>
                  <w:sz w:val="20"/>
                  <w:szCs w:val="20"/>
                </w:rPr>
                <m:t> i,j</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LE</m:t>
              </m:r>
            </m:e>
            <m:sub>
              <m:r>
                <w:rPr>
                  <w:rFonts w:ascii="Cambria Math" w:eastAsia="Cambria Math" w:hAnsi="Cambria Math" w:cs="Cambria Math"/>
                  <w:color w:val="44546A"/>
                  <w:sz w:val="20"/>
                  <w:szCs w:val="20"/>
                </w:rPr>
                <m:t xml:space="preserve"> </m:t>
              </m:r>
            </m:sub>
          </m:sSub>
        </m:oMath>
      </m:oMathPara>
    </w:p>
    <w:p w14:paraId="5740C473" w14:textId="77777777" w:rsidR="000E5CD4" w:rsidRDefault="00000000">
      <w:pPr>
        <w:jc w:val="center"/>
        <w:rPr>
          <w:rFonts w:ascii="Cambria Math" w:eastAsia="Cambria Math" w:hAnsi="Cambria Math" w:cs="Cambria Math"/>
          <w:color w:val="44546A"/>
          <w:sz w:val="20"/>
          <w:szCs w:val="20"/>
        </w:rPr>
      </w:pPr>
      <m:oMathPara>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ER</m:t>
              </m:r>
            </m:e>
            <m:sub>
              <m:r>
                <w:rPr>
                  <w:rFonts w:ascii="Cambria Math" w:eastAsia="Cambria Math" w:hAnsi="Cambria Math" w:cs="Cambria Math"/>
                  <w:color w:val="44546A"/>
                  <w:sz w:val="20"/>
                  <w:szCs w:val="20"/>
                </w:rPr>
                <m:t>i,j</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B</m:t>
              </m:r>
            </m:e>
            <m:sub>
              <m:r>
                <w:rPr>
                  <w:rFonts w:ascii="Cambria Math" w:eastAsia="Cambria Math" w:hAnsi="Cambria Math" w:cs="Cambria Math"/>
                  <w:color w:val="44546A"/>
                  <w:sz w:val="20"/>
                  <w:szCs w:val="20"/>
                </w:rPr>
                <m:t> savings, i,j</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N</m:t>
              </m:r>
            </m:e>
            <m:sub>
              <m:r>
                <w:rPr>
                  <w:rFonts w:ascii="Cambria Math" w:eastAsia="Cambria Math" w:hAnsi="Cambria Math" w:cs="Cambria Math"/>
                  <w:color w:val="44546A"/>
                  <w:sz w:val="20"/>
                  <w:szCs w:val="20"/>
                </w:rPr>
                <m:t>o,i,j</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n</m:t>
              </m:r>
            </m:e>
            <m:sub>
              <m:r>
                <w:rPr>
                  <w:rFonts w:ascii="Cambria Math" w:eastAsia="Cambria Math" w:hAnsi="Cambria Math" w:cs="Cambria Math"/>
                  <w:color w:val="44546A"/>
                  <w:sz w:val="20"/>
                  <w:szCs w:val="20"/>
                </w:rPr>
                <m:t>i,j</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μ</m:t>
              </m:r>
            </m:e>
            <m:sub>
              <m:r>
                <w:rPr>
                  <w:rFonts w:ascii="Cambria Math" w:eastAsia="Cambria Math" w:hAnsi="Cambria Math" w:cs="Cambria Math"/>
                  <w:color w:val="44546A"/>
                  <w:sz w:val="20"/>
                  <w:szCs w:val="20"/>
                </w:rPr>
                <m:t>,</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f</m:t>
              </m:r>
            </m:e>
            <m:sub>
              <m:r>
                <w:rPr>
                  <w:rFonts w:ascii="Cambria Math" w:eastAsia="Cambria Math" w:hAnsi="Cambria Math" w:cs="Cambria Math"/>
                  <w:color w:val="44546A"/>
                  <w:sz w:val="20"/>
                  <w:szCs w:val="20"/>
                </w:rPr>
                <m:t>NRB</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NCV</m:t>
              </m:r>
            </m:e>
            <m:sub>
              <m:r>
                <w:rPr>
                  <w:rFonts w:ascii="Cambria Math" w:eastAsia="Cambria Math" w:hAnsi="Cambria Math" w:cs="Cambria Math"/>
                  <w:color w:val="44546A"/>
                  <w:sz w:val="20"/>
                  <w:szCs w:val="20"/>
                </w:rPr>
                <m:t>biomass </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EF</m:t>
              </m:r>
            </m:e>
            <m:sub>
              <m:r>
                <w:rPr>
                  <w:rFonts w:ascii="Cambria Math" w:eastAsia="Cambria Math" w:hAnsi="Cambria Math" w:cs="Cambria Math"/>
                  <w:color w:val="44546A"/>
                  <w:sz w:val="20"/>
                  <w:szCs w:val="20"/>
                </w:rPr>
                <m:t>projected fossil fuel </m:t>
              </m:r>
            </m:sub>
          </m:sSub>
        </m:oMath>
      </m:oMathPara>
    </w:p>
    <w:p w14:paraId="6ABD492A" w14:textId="77777777" w:rsidR="000E5CD4" w:rsidRDefault="00000000">
      <w:pPr>
        <w:rPr>
          <w:color w:val="44546A"/>
          <w:sz w:val="20"/>
          <w:szCs w:val="20"/>
        </w:rPr>
      </w:pPr>
      <w:r>
        <w:rPr>
          <w:color w:val="44546A"/>
          <w:sz w:val="20"/>
          <w:szCs w:val="20"/>
        </w:rPr>
        <w:t xml:space="preserve">Where: </w:t>
      </w:r>
    </w:p>
    <w:p w14:paraId="7AACC4D8" w14:textId="75585A98"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ER</m:t>
            </m:r>
          </m:e>
          <m:sub>
            <m:r>
              <w:rPr>
                <w:rFonts w:ascii="Cambria Math" w:eastAsia="Cambria Math" w:hAnsi="Cambria Math" w:cs="Cambria Math"/>
                <w:color w:val="44546A"/>
                <w:sz w:val="20"/>
                <w:szCs w:val="20"/>
              </w:rPr>
              <m:t xml:space="preserve"> </m:t>
            </m:r>
          </m:sub>
        </m:sSub>
        <m:r>
          <w:rPr>
            <w:rFonts w:ascii="Cambria Math" w:eastAsia="Cambria Math" w:hAnsi="Cambria Math" w:cs="Cambria Math"/>
            <w:color w:val="44546A"/>
            <w:sz w:val="20"/>
            <w:szCs w:val="20"/>
          </w:rPr>
          <m:t>: </m:t>
        </m:r>
      </m:oMath>
      <w:r>
        <w:rPr>
          <w:color w:val="44546A"/>
          <w:sz w:val="20"/>
          <w:szCs w:val="20"/>
        </w:rPr>
        <w:t xml:space="preserve">Emission reductions (tonnes of </w:t>
      </w: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CO</m:t>
            </m:r>
          </m:e>
          <m:sub>
            <m:r>
              <w:rPr>
                <w:rFonts w:ascii="Cambria Math" w:eastAsia="Cambria Math" w:hAnsi="Cambria Math" w:cs="Cambria Math"/>
                <w:color w:val="44546A"/>
                <w:sz w:val="20"/>
                <w:szCs w:val="20"/>
              </w:rPr>
              <m:t>2</m:t>
            </m:r>
          </m:sub>
        </m:sSub>
        <m:r>
          <w:rPr>
            <w:rFonts w:ascii="Cambria Math" w:eastAsia="Cambria Math" w:hAnsi="Cambria Math" w:cs="Cambria Math"/>
            <w:color w:val="44546A"/>
            <w:sz w:val="20"/>
            <w:szCs w:val="20"/>
          </w:rPr>
          <m:t xml:space="preserve">-equivalent </m:t>
        </m:r>
      </m:oMath>
      <w:r>
        <w:rPr>
          <w:rFonts w:ascii="Cambria Math" w:eastAsia="Cambria Math" w:hAnsi="Cambria Math" w:cs="Cambria Math"/>
          <w:color w:val="44546A"/>
          <w:sz w:val="20"/>
          <w:szCs w:val="20"/>
        </w:rPr>
        <w:t>per year)</w:t>
      </w:r>
    </w:p>
    <w:p w14:paraId="51088495" w14:textId="59986603"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LE</m:t>
            </m:r>
          </m:e>
          <m:sub>
            <m:r>
              <w:rPr>
                <w:rFonts w:ascii="Cambria Math" w:eastAsia="Cambria Math" w:hAnsi="Cambria Math" w:cs="Cambria Math"/>
                <w:color w:val="44546A"/>
                <w:sz w:val="20"/>
                <w:szCs w:val="20"/>
              </w:rPr>
              <m:t xml:space="preserve"> </m:t>
            </m:r>
          </m:sub>
        </m:sSub>
        <m:r>
          <w:rPr>
            <w:rFonts w:ascii="Cambria Math" w:eastAsia="Cambria Math" w:hAnsi="Cambria Math" w:cs="Cambria Math"/>
            <w:color w:val="44546A"/>
            <w:sz w:val="20"/>
            <w:szCs w:val="20"/>
          </w:rPr>
          <m:t>: </m:t>
        </m:r>
      </m:oMath>
      <w:r>
        <w:rPr>
          <w:color w:val="44546A"/>
          <w:sz w:val="20"/>
          <w:szCs w:val="20"/>
        </w:rPr>
        <w:t xml:space="preserve">Leakage emissions (tonnes of </w:t>
      </w: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CO</m:t>
            </m:r>
          </m:e>
          <m:sub>
            <m:r>
              <w:rPr>
                <w:rFonts w:ascii="Cambria Math" w:eastAsia="Cambria Math" w:hAnsi="Cambria Math" w:cs="Cambria Math"/>
                <w:color w:val="44546A"/>
                <w:sz w:val="20"/>
                <w:szCs w:val="20"/>
              </w:rPr>
              <m:t>2</m:t>
            </m:r>
          </m:sub>
        </m:sSub>
        <m:r>
          <w:rPr>
            <w:rFonts w:ascii="Cambria Math" w:eastAsia="Cambria Math" w:hAnsi="Cambria Math" w:cs="Cambria Math"/>
            <w:color w:val="44546A"/>
            <w:sz w:val="20"/>
            <w:szCs w:val="20"/>
          </w:rPr>
          <m:t xml:space="preserve">-equivalent </m:t>
        </m:r>
      </m:oMath>
      <w:r>
        <w:rPr>
          <w:rFonts w:ascii="Cambria Math" w:eastAsia="Cambria Math" w:hAnsi="Cambria Math" w:cs="Cambria Math"/>
          <w:color w:val="44546A"/>
          <w:sz w:val="20"/>
          <w:szCs w:val="20"/>
        </w:rPr>
        <w:t>per year)</w:t>
      </w:r>
    </w:p>
    <w:p w14:paraId="4ED33A8B" w14:textId="76E0D726"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B</m:t>
            </m:r>
          </m:e>
          <m:sub>
            <m:r>
              <w:rPr>
                <w:rFonts w:ascii="Cambria Math" w:eastAsia="Cambria Math" w:hAnsi="Cambria Math" w:cs="Cambria Math"/>
                <w:color w:val="44546A"/>
                <w:sz w:val="20"/>
                <w:szCs w:val="20"/>
              </w:rPr>
              <m:t>savings,i,j</m:t>
            </m:r>
          </m:sub>
        </m:sSub>
      </m:oMath>
      <w:r>
        <w:rPr>
          <w:color w:val="44546A"/>
          <w:sz w:val="20"/>
          <w:szCs w:val="20"/>
        </w:rPr>
        <w:t>: Quantity of woody biomass that is saved per cookstove device (</w:t>
      </w:r>
      <w:r w:rsidR="003C3E9E">
        <w:rPr>
          <w:color w:val="44546A"/>
          <w:sz w:val="20"/>
          <w:szCs w:val="20"/>
        </w:rPr>
        <w:t>tonnes</w:t>
      </w:r>
      <w:r>
        <w:rPr>
          <w:color w:val="44546A"/>
          <w:sz w:val="20"/>
          <w:szCs w:val="20"/>
        </w:rPr>
        <w:t xml:space="preserve"> per household per </w:t>
      </w:r>
      <w:r w:rsidR="003C3E9E">
        <w:rPr>
          <w:color w:val="44546A"/>
          <w:sz w:val="20"/>
          <w:szCs w:val="20"/>
        </w:rPr>
        <w:t>year) *</w:t>
      </w:r>
      <w:r>
        <w:rPr>
          <w:color w:val="44546A"/>
          <w:sz w:val="20"/>
          <w:szCs w:val="20"/>
        </w:rPr>
        <w:t xml:space="preserve"> </w:t>
      </w:r>
    </w:p>
    <w:p w14:paraId="1879CE59" w14:textId="77777777"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N</m:t>
            </m:r>
          </m:e>
          <m:sub>
            <m:r>
              <w:rPr>
                <w:rFonts w:ascii="Cambria Math" w:eastAsia="Cambria Math" w:hAnsi="Cambria Math" w:cs="Cambria Math"/>
                <w:color w:val="44546A"/>
                <w:sz w:val="20"/>
                <w:szCs w:val="20"/>
              </w:rPr>
              <m:t>o,i,i</m:t>
            </m:r>
          </m:sub>
        </m:sSub>
      </m:oMath>
      <w:r>
        <w:rPr>
          <w:color w:val="44546A"/>
          <w:sz w:val="20"/>
          <w:szCs w:val="20"/>
        </w:rPr>
        <w:t>: Number of project devices (# of stoves)</w:t>
      </w:r>
    </w:p>
    <w:p w14:paraId="13EDFCBC" w14:textId="77777777"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n</m:t>
            </m:r>
          </m:e>
          <m:sub>
            <m:r>
              <w:rPr>
                <w:rFonts w:ascii="Cambria Math" w:eastAsia="Cambria Math" w:hAnsi="Cambria Math" w:cs="Cambria Math"/>
                <w:color w:val="44546A"/>
                <w:sz w:val="20"/>
                <w:szCs w:val="20"/>
              </w:rPr>
              <m:t>i,j</m:t>
            </m:r>
          </m:sub>
        </m:sSub>
      </m:oMath>
      <w:r>
        <w:rPr>
          <w:color w:val="44546A"/>
          <w:sz w:val="20"/>
          <w:szCs w:val="20"/>
        </w:rPr>
        <w:t>: proportion of commissioned project devices (%)</w:t>
      </w:r>
    </w:p>
    <w:p w14:paraId="2C0567F4" w14:textId="77777777"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hAnsi="Cambria Math"/>
              </w:rPr>
              <m:t>μ</m:t>
            </m:r>
          </m:e>
          <m:sub>
            <m:r>
              <w:rPr>
                <w:rFonts w:ascii="Cambria Math" w:eastAsia="Cambria Math" w:hAnsi="Cambria Math" w:cs="Cambria Math"/>
                <w:color w:val="44546A"/>
                <w:sz w:val="20"/>
                <w:szCs w:val="20"/>
              </w:rPr>
              <m:t>,</m:t>
            </m:r>
          </m:sub>
        </m:sSub>
        <m:r>
          <w:rPr>
            <w:rFonts w:ascii="Cambria Math" w:eastAsia="Cambria Math" w:hAnsi="Cambria Math" w:cs="Cambria Math"/>
            <w:color w:val="44546A"/>
            <w:sz w:val="20"/>
            <w:szCs w:val="20"/>
          </w:rPr>
          <m:t> </m:t>
        </m:r>
      </m:oMath>
      <w:r>
        <w:rPr>
          <w:color w:val="44546A"/>
          <w:sz w:val="20"/>
          <w:szCs w:val="20"/>
        </w:rPr>
        <w:t>: adjustment to account for any continued use of pre-project devices (%)</w:t>
      </w:r>
    </w:p>
    <w:p w14:paraId="6671C332" w14:textId="77777777"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f</m:t>
            </m:r>
          </m:e>
          <m:sub>
            <m:r>
              <w:rPr>
                <w:rFonts w:ascii="Cambria Math" w:eastAsia="Cambria Math" w:hAnsi="Cambria Math" w:cs="Cambria Math"/>
                <w:color w:val="44546A"/>
                <w:sz w:val="20"/>
                <w:szCs w:val="20"/>
              </w:rPr>
              <m:t>NRB,b,y</m:t>
            </m:r>
          </m:sub>
        </m:sSub>
      </m:oMath>
      <w:r>
        <w:rPr>
          <w:color w:val="44546A"/>
          <w:sz w:val="20"/>
          <w:szCs w:val="20"/>
        </w:rPr>
        <w:t>: Fraction of non-renewable biomass used in year y (%)</w:t>
      </w:r>
    </w:p>
    <w:p w14:paraId="355A40E9" w14:textId="77777777"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NCV</m:t>
            </m:r>
          </m:e>
          <m:sub>
            <m:r>
              <w:rPr>
                <w:rFonts w:ascii="Cambria Math" w:eastAsia="Cambria Math" w:hAnsi="Cambria Math" w:cs="Cambria Math"/>
                <w:color w:val="44546A"/>
                <w:sz w:val="20"/>
                <w:szCs w:val="20"/>
              </w:rPr>
              <m:t>biomass </m:t>
            </m:r>
          </m:sub>
        </m:sSub>
      </m:oMath>
      <w:r>
        <w:rPr>
          <w:color w:val="44546A"/>
          <w:sz w:val="20"/>
          <w:szCs w:val="20"/>
        </w:rPr>
        <w:t>: Net calorific value of the non-renewable woody biomass (TJ/tonne of fuel)</w:t>
      </w:r>
    </w:p>
    <w:p w14:paraId="62790C20" w14:textId="73629019"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EF</m:t>
            </m:r>
          </m:e>
          <m:sub>
            <m:r>
              <w:rPr>
                <w:rFonts w:ascii="Cambria Math" w:eastAsia="Cambria Math" w:hAnsi="Cambria Math" w:cs="Cambria Math"/>
                <w:color w:val="44546A"/>
                <w:sz w:val="20"/>
                <w:szCs w:val="20"/>
              </w:rPr>
              <m:t>projected fossil fuel</m:t>
            </m:r>
          </m:sub>
        </m:sSub>
        <m:r>
          <w:rPr>
            <w:rFonts w:ascii="Cambria Math" w:eastAsia="Cambria Math" w:hAnsi="Cambria Math" w:cs="Cambria Math"/>
            <w:color w:val="44546A"/>
            <w:sz w:val="20"/>
            <w:szCs w:val="20"/>
          </w:rPr>
          <m:t>:E</m:t>
        </m:r>
      </m:oMath>
      <w:r>
        <w:rPr>
          <w:color w:val="44546A"/>
          <w:sz w:val="20"/>
          <w:szCs w:val="20"/>
        </w:rPr>
        <w:t>mission factor of fossil fuels projected to be used to substitute non-renewable woody biomass by similar consumers (</w:t>
      </w:r>
      <w:r w:rsidR="003C3E9E">
        <w:rPr>
          <w:color w:val="44546A"/>
          <w:sz w:val="20"/>
          <w:szCs w:val="20"/>
        </w:rPr>
        <w:t>tonnes</w:t>
      </w:r>
      <w:r>
        <w:rPr>
          <w:color w:val="44546A"/>
          <w:sz w:val="20"/>
          <w:szCs w:val="20"/>
        </w:rPr>
        <w:t xml:space="preserve"> of </w:t>
      </w: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CO</m:t>
            </m:r>
          </m:e>
          <m:sub>
            <m:r>
              <w:rPr>
                <w:rFonts w:ascii="Cambria Math" w:eastAsia="Cambria Math" w:hAnsi="Cambria Math" w:cs="Cambria Math"/>
                <w:color w:val="44546A"/>
                <w:sz w:val="20"/>
                <w:szCs w:val="20"/>
              </w:rPr>
              <m:t>2</m:t>
            </m:r>
          </m:sub>
        </m:sSub>
        <m:r>
          <w:rPr>
            <w:rFonts w:ascii="Cambria Math" w:eastAsia="Cambria Math" w:hAnsi="Cambria Math" w:cs="Cambria Math"/>
            <w:color w:val="44546A"/>
            <w:sz w:val="20"/>
            <w:szCs w:val="20"/>
          </w:rPr>
          <m:t xml:space="preserve">-equivalent </m:t>
        </m:r>
      </m:oMath>
      <w:r>
        <w:rPr>
          <w:rFonts w:ascii="Cambria Math" w:eastAsia="Cambria Math" w:hAnsi="Cambria Math" w:cs="Cambria Math"/>
          <w:color w:val="44546A"/>
          <w:sz w:val="20"/>
          <w:szCs w:val="20"/>
        </w:rPr>
        <w:t>per ton of fuel)</w:t>
      </w:r>
    </w:p>
    <w:p w14:paraId="58D30D87" w14:textId="77777777" w:rsidR="000E5CD4" w:rsidRDefault="000E5CD4">
      <w:pPr>
        <w:rPr>
          <w:color w:val="44546A"/>
          <w:sz w:val="20"/>
          <w:szCs w:val="20"/>
        </w:rPr>
      </w:pPr>
    </w:p>
    <w:p w14:paraId="33BACF15" w14:textId="77777777" w:rsidR="000E5CD4" w:rsidRDefault="00000000">
      <w:pPr>
        <w:rPr>
          <w:color w:val="44546A"/>
          <w:sz w:val="20"/>
          <w:szCs w:val="20"/>
        </w:rPr>
      </w:pPr>
      <w:r>
        <w:rPr>
          <w:color w:val="44546A"/>
          <w:sz w:val="20"/>
          <w:szCs w:val="20"/>
        </w:rPr>
        <w:t xml:space="preserve">*The projects are allowed to determine this through a thermal energy output equation, kitchen performance test, water boil test, or controlled cooking test. </w:t>
      </w:r>
    </w:p>
    <w:p w14:paraId="20A726B5" w14:textId="77777777" w:rsidR="000E5CD4" w:rsidRDefault="000E5CD4">
      <w:pPr>
        <w:rPr>
          <w:color w:val="44546A"/>
          <w:sz w:val="20"/>
          <w:szCs w:val="20"/>
        </w:rPr>
      </w:pPr>
    </w:p>
    <w:p w14:paraId="4784AB92" w14:textId="77777777" w:rsidR="000E5CD4" w:rsidRDefault="00000000">
      <w:pPr>
        <w:rPr>
          <w:i/>
          <w:color w:val="44546A"/>
          <w:sz w:val="20"/>
          <w:szCs w:val="20"/>
          <w:u w:val="single"/>
        </w:rPr>
      </w:pPr>
      <w:r>
        <w:rPr>
          <w:i/>
          <w:color w:val="44546A"/>
          <w:sz w:val="20"/>
          <w:szCs w:val="20"/>
          <w:u w:val="single"/>
        </w:rPr>
        <w:t>CDM’s Switch from non-renewable biomass for thermal applications by the user (AMS I E)</w:t>
      </w:r>
    </w:p>
    <w:p w14:paraId="47B6D442" w14:textId="77777777" w:rsidR="000E5CD4" w:rsidRDefault="000E5CD4">
      <w:pPr>
        <w:rPr>
          <w:color w:val="44546A"/>
          <w:sz w:val="20"/>
          <w:szCs w:val="20"/>
        </w:rPr>
      </w:pPr>
    </w:p>
    <w:p w14:paraId="4BF9C81C" w14:textId="270248A8" w:rsidR="000E5CD4" w:rsidRDefault="00000000">
      <w:pPr>
        <w:jc w:val="center"/>
        <w:rPr>
          <w:rFonts w:ascii="Cambria Math" w:eastAsia="Cambria Math" w:hAnsi="Cambria Math" w:cs="Cambria Math"/>
          <w:color w:val="44546A"/>
          <w:sz w:val="20"/>
          <w:szCs w:val="20"/>
        </w:rPr>
      </w:pPr>
      <m:oMathPara>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ER</m:t>
              </m:r>
            </m:e>
            <m:sub>
              <m:r>
                <w:rPr>
                  <w:rFonts w:ascii="Cambria Math" w:eastAsia="Cambria Math" w:hAnsi="Cambria Math" w:cs="Cambria Math"/>
                  <w:color w:val="44546A"/>
                  <w:sz w:val="20"/>
                  <w:szCs w:val="20"/>
                </w:rPr>
                <m:t xml:space="preserve"> </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BE</m:t>
              </m:r>
            </m:e>
            <m:sub>
              <m:r>
                <w:rPr>
                  <w:rFonts w:ascii="Cambria Math" w:eastAsia="Cambria Math" w:hAnsi="Cambria Math" w:cs="Cambria Math"/>
                  <w:color w:val="44546A"/>
                  <w:sz w:val="20"/>
                  <w:szCs w:val="20"/>
                </w:rPr>
                <m:t xml:space="preserve"> </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PE</m:t>
              </m:r>
            </m:e>
            <m:sub>
              <m:r>
                <w:rPr>
                  <w:rFonts w:ascii="Cambria Math" w:eastAsia="Cambria Math" w:hAnsi="Cambria Math" w:cs="Cambria Math"/>
                  <w:color w:val="44546A"/>
                  <w:sz w:val="20"/>
                  <w:szCs w:val="20"/>
                </w:rPr>
                <m:t xml:space="preserve"> </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LE</m:t>
              </m:r>
            </m:e>
            <m:sub>
              <m:r>
                <w:rPr>
                  <w:rFonts w:ascii="Cambria Math" w:eastAsia="Cambria Math" w:hAnsi="Cambria Math" w:cs="Cambria Math"/>
                  <w:color w:val="44546A"/>
                  <w:sz w:val="20"/>
                  <w:szCs w:val="20"/>
                </w:rPr>
                <m:t xml:space="preserve"> </m:t>
              </m:r>
            </m:sub>
          </m:sSub>
        </m:oMath>
      </m:oMathPara>
    </w:p>
    <w:p w14:paraId="487EB5BC" w14:textId="2006AA0A" w:rsidR="000E5CD4" w:rsidRDefault="00000000">
      <w:pPr>
        <w:rPr>
          <w:rFonts w:ascii="Cambria Math" w:eastAsia="Cambria Math" w:hAnsi="Cambria Math" w:cs="Cambria Math"/>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BE</m:t>
            </m:r>
          </m:e>
          <m:sub>
            <m:r>
              <w:rPr>
                <w:rFonts w:ascii="Cambria Math" w:eastAsia="Cambria Math" w:hAnsi="Cambria Math" w:cs="Cambria Math"/>
                <w:color w:val="44546A"/>
                <w:sz w:val="20"/>
                <w:szCs w:val="20"/>
              </w:rPr>
              <m:t xml:space="preserve"> </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B</m:t>
            </m:r>
          </m:e>
          <m:sub>
            <m:r>
              <w:rPr>
                <w:rFonts w:ascii="Cambria Math" w:eastAsia="Cambria Math" w:hAnsi="Cambria Math" w:cs="Cambria Math"/>
                <w:color w:val="44546A"/>
                <w:sz w:val="20"/>
                <w:szCs w:val="20"/>
              </w:rPr>
              <m:t xml:space="preserve"> </m:t>
            </m:r>
          </m:sub>
        </m:sSub>
      </m:oMath>
      <w:r>
        <w:rPr>
          <w:color w:val="44546A"/>
          <w:sz w:val="20"/>
          <w:szCs w:val="20"/>
        </w:rPr>
        <w:t xml:space="preserve">* </w:t>
      </w: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f</m:t>
            </m:r>
          </m:e>
          <m:sub>
            <m:r>
              <w:rPr>
                <w:rFonts w:ascii="Cambria Math" w:eastAsia="Cambria Math" w:hAnsi="Cambria Math" w:cs="Cambria Math"/>
                <w:color w:val="44546A"/>
                <w:sz w:val="20"/>
                <w:szCs w:val="20"/>
              </w:rPr>
              <m:t>NRB,b</m:t>
            </m:r>
          </m:sub>
        </m:sSub>
      </m:oMath>
      <w:r>
        <w:rPr>
          <w:color w:val="44546A"/>
          <w:sz w:val="20"/>
          <w:szCs w:val="20"/>
        </w:rPr>
        <w:t xml:space="preserve">* </w:t>
      </w: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NCV</m:t>
            </m:r>
          </m:e>
          <m:sub>
            <m:r>
              <w:rPr>
                <w:rFonts w:ascii="Cambria Math" w:eastAsia="Cambria Math" w:hAnsi="Cambria Math" w:cs="Cambria Math"/>
                <w:color w:val="44546A"/>
                <w:sz w:val="20"/>
                <w:szCs w:val="20"/>
              </w:rPr>
              <m:t>biomass </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EF</m:t>
            </m:r>
          </m:e>
          <m:sub>
            <m:r>
              <w:rPr>
                <w:rFonts w:ascii="Cambria Math" w:eastAsia="Cambria Math" w:hAnsi="Cambria Math" w:cs="Cambria Math"/>
                <w:color w:val="44546A"/>
                <w:sz w:val="20"/>
                <w:szCs w:val="20"/>
              </w:rPr>
              <m:t>projected fossil fuel </m:t>
            </m:r>
          </m:sub>
        </m:sSub>
      </m:oMath>
    </w:p>
    <w:p w14:paraId="400EC5CA" w14:textId="77777777" w:rsidR="000E5CD4" w:rsidRDefault="000E5CD4">
      <w:pPr>
        <w:rPr>
          <w:rFonts w:ascii="Cambria Math" w:eastAsia="Cambria Math" w:hAnsi="Cambria Math" w:cs="Cambria Math"/>
          <w:color w:val="44546A"/>
          <w:sz w:val="20"/>
          <w:szCs w:val="20"/>
        </w:rPr>
      </w:pPr>
    </w:p>
    <w:p w14:paraId="11C69DB8" w14:textId="3AB5F3C3" w:rsidR="000E5CD4" w:rsidRDefault="00000000">
      <w:pPr>
        <w:rPr>
          <w:rFonts w:ascii="Cambria Math" w:eastAsia="Cambria Math" w:hAnsi="Cambria Math" w:cs="Cambria Math"/>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PE</m:t>
            </m:r>
          </m:e>
          <m:sub>
            <m:r>
              <w:rPr>
                <w:rFonts w:ascii="Cambria Math" w:eastAsia="Cambria Math" w:hAnsi="Cambria Math" w:cs="Cambria Math"/>
                <w:color w:val="44546A"/>
                <w:sz w:val="20"/>
                <w:szCs w:val="20"/>
              </w:rPr>
              <m:t xml:space="preserve"> </m:t>
            </m:r>
          </m:sub>
        </m:sSub>
      </m:oMath>
      <w:r>
        <w:rPr>
          <w:rFonts w:ascii="Cambria Math" w:eastAsia="Cambria Math" w:hAnsi="Cambria Math" w:cs="Cambria Math"/>
          <w:color w:val="44546A"/>
          <w:sz w:val="20"/>
          <w:szCs w:val="20"/>
        </w:rPr>
        <w:t xml:space="preserve">= differs by fuel type, but may include emissions from the cultivation of the project’s feedstock, project consumption of fossil fuels or electricity, transportation of the project fuel, methane emissions from fuel production or processing, etc. </w:t>
      </w:r>
    </w:p>
    <w:p w14:paraId="0B9D4C53" w14:textId="77777777" w:rsidR="000E5CD4" w:rsidRDefault="000E5CD4">
      <w:pPr>
        <w:rPr>
          <w:rFonts w:ascii="Cambria Math" w:eastAsia="Cambria Math" w:hAnsi="Cambria Math" w:cs="Cambria Math"/>
          <w:color w:val="44546A"/>
          <w:sz w:val="20"/>
          <w:szCs w:val="20"/>
        </w:rPr>
      </w:pPr>
    </w:p>
    <w:p w14:paraId="2C85D3A3" w14:textId="77777777" w:rsidR="000E5CD4" w:rsidRDefault="00000000">
      <w:pPr>
        <w:rPr>
          <w:color w:val="44546A"/>
          <w:sz w:val="20"/>
          <w:szCs w:val="20"/>
        </w:rPr>
      </w:pPr>
      <w:r>
        <w:rPr>
          <w:color w:val="44546A"/>
          <w:sz w:val="20"/>
          <w:szCs w:val="20"/>
        </w:rPr>
        <w:t xml:space="preserve">Where: </w:t>
      </w:r>
    </w:p>
    <w:p w14:paraId="2514D2A2" w14:textId="3662F610"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ER</m:t>
            </m:r>
          </m:e>
          <m:sub>
            <m:r>
              <w:rPr>
                <w:rFonts w:ascii="Cambria Math" w:eastAsia="Cambria Math" w:hAnsi="Cambria Math" w:cs="Cambria Math"/>
                <w:color w:val="44546A"/>
                <w:sz w:val="20"/>
                <w:szCs w:val="20"/>
              </w:rPr>
              <m:t xml:space="preserve"> </m:t>
            </m:r>
          </m:sub>
        </m:sSub>
        <m:r>
          <w:rPr>
            <w:rFonts w:ascii="Cambria Math" w:eastAsia="Cambria Math" w:hAnsi="Cambria Math" w:cs="Cambria Math"/>
            <w:color w:val="44546A"/>
            <w:sz w:val="20"/>
            <w:szCs w:val="20"/>
          </w:rPr>
          <m:t>: </m:t>
        </m:r>
      </m:oMath>
      <w:r>
        <w:rPr>
          <w:color w:val="44546A"/>
          <w:sz w:val="20"/>
          <w:szCs w:val="20"/>
        </w:rPr>
        <w:t xml:space="preserve">Emission </w:t>
      </w:r>
      <w:r w:rsidR="003C3E9E">
        <w:rPr>
          <w:color w:val="44546A"/>
          <w:sz w:val="20"/>
          <w:szCs w:val="20"/>
        </w:rPr>
        <w:t>reductions (tonnes</w:t>
      </w:r>
      <w:r>
        <w:rPr>
          <w:color w:val="44546A"/>
          <w:sz w:val="20"/>
          <w:szCs w:val="20"/>
        </w:rPr>
        <w:t xml:space="preserve"> of </w:t>
      </w: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CO</m:t>
            </m:r>
          </m:e>
          <m:sub>
            <m:r>
              <w:rPr>
                <w:rFonts w:ascii="Cambria Math" w:eastAsia="Cambria Math" w:hAnsi="Cambria Math" w:cs="Cambria Math"/>
                <w:color w:val="44546A"/>
                <w:sz w:val="20"/>
                <w:szCs w:val="20"/>
              </w:rPr>
              <m:t>2</m:t>
            </m:r>
          </m:sub>
        </m:sSub>
        <m:r>
          <w:rPr>
            <w:rFonts w:ascii="Cambria Math" w:eastAsia="Cambria Math" w:hAnsi="Cambria Math" w:cs="Cambria Math"/>
            <w:color w:val="44546A"/>
            <w:sz w:val="20"/>
            <w:szCs w:val="20"/>
          </w:rPr>
          <m:t xml:space="preserve">-equivalent </m:t>
        </m:r>
      </m:oMath>
      <w:r>
        <w:rPr>
          <w:rFonts w:ascii="Cambria Math" w:eastAsia="Cambria Math" w:hAnsi="Cambria Math" w:cs="Cambria Math"/>
          <w:color w:val="44546A"/>
          <w:sz w:val="20"/>
          <w:szCs w:val="20"/>
        </w:rPr>
        <w:t>per year)</w:t>
      </w:r>
    </w:p>
    <w:p w14:paraId="2AE15018" w14:textId="7DA62081"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BE</m:t>
            </m:r>
          </m:e>
          <m:sub>
            <m:r>
              <w:rPr>
                <w:rFonts w:ascii="Cambria Math" w:eastAsia="Cambria Math" w:hAnsi="Cambria Math" w:cs="Cambria Math"/>
                <w:color w:val="44546A"/>
                <w:sz w:val="20"/>
                <w:szCs w:val="20"/>
              </w:rPr>
              <m:t xml:space="preserve"> </m:t>
            </m:r>
          </m:sub>
        </m:sSub>
      </m:oMath>
      <w:r>
        <w:rPr>
          <w:color w:val="44546A"/>
          <w:sz w:val="20"/>
          <w:szCs w:val="20"/>
        </w:rPr>
        <w:t xml:space="preserve">: Baseline </w:t>
      </w:r>
      <w:r w:rsidR="003C3E9E">
        <w:rPr>
          <w:color w:val="44546A"/>
          <w:sz w:val="20"/>
          <w:szCs w:val="20"/>
        </w:rPr>
        <w:t>reductions (tonnes</w:t>
      </w:r>
      <w:r>
        <w:rPr>
          <w:color w:val="44546A"/>
          <w:sz w:val="20"/>
          <w:szCs w:val="20"/>
        </w:rPr>
        <w:t xml:space="preserve"> of </w:t>
      </w: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CO</m:t>
            </m:r>
          </m:e>
          <m:sub>
            <m:r>
              <w:rPr>
                <w:rFonts w:ascii="Cambria Math" w:eastAsia="Cambria Math" w:hAnsi="Cambria Math" w:cs="Cambria Math"/>
                <w:color w:val="44546A"/>
                <w:sz w:val="20"/>
                <w:szCs w:val="20"/>
              </w:rPr>
              <m:t>2</m:t>
            </m:r>
          </m:sub>
        </m:sSub>
        <m:r>
          <w:rPr>
            <w:rFonts w:ascii="Cambria Math" w:eastAsia="Cambria Math" w:hAnsi="Cambria Math" w:cs="Cambria Math"/>
            <w:color w:val="44546A"/>
            <w:sz w:val="20"/>
            <w:szCs w:val="20"/>
          </w:rPr>
          <m:t xml:space="preserve">-equivalent </m:t>
        </m:r>
      </m:oMath>
      <w:r>
        <w:rPr>
          <w:rFonts w:ascii="Cambria Math" w:eastAsia="Cambria Math" w:hAnsi="Cambria Math" w:cs="Cambria Math"/>
          <w:color w:val="44546A"/>
          <w:sz w:val="20"/>
          <w:szCs w:val="20"/>
        </w:rPr>
        <w:t>per year)</w:t>
      </w:r>
    </w:p>
    <w:p w14:paraId="20CA67E3" w14:textId="6EC646FE"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PE</m:t>
            </m:r>
          </m:e>
          <m:sub>
            <m:r>
              <w:rPr>
                <w:rFonts w:ascii="Cambria Math" w:eastAsia="Cambria Math" w:hAnsi="Cambria Math" w:cs="Cambria Math"/>
                <w:color w:val="44546A"/>
                <w:sz w:val="20"/>
                <w:szCs w:val="20"/>
              </w:rPr>
              <m:t xml:space="preserve"> </m:t>
            </m:r>
          </m:sub>
        </m:sSub>
        <m:r>
          <w:rPr>
            <w:rFonts w:ascii="Cambria Math" w:eastAsia="Cambria Math" w:hAnsi="Cambria Math" w:cs="Cambria Math"/>
            <w:color w:val="44546A"/>
            <w:sz w:val="20"/>
            <w:szCs w:val="20"/>
          </w:rPr>
          <m:t xml:space="preserve"> :</m:t>
        </m:r>
      </m:oMath>
      <w:r>
        <w:rPr>
          <w:color w:val="44546A"/>
          <w:sz w:val="20"/>
          <w:szCs w:val="20"/>
        </w:rPr>
        <w:t xml:space="preserve"> Project </w:t>
      </w:r>
      <w:r w:rsidR="003C3E9E">
        <w:rPr>
          <w:color w:val="44546A"/>
          <w:sz w:val="20"/>
          <w:szCs w:val="20"/>
        </w:rPr>
        <w:t>emissions (tonnes</w:t>
      </w:r>
      <w:r>
        <w:rPr>
          <w:color w:val="44546A"/>
          <w:sz w:val="20"/>
          <w:szCs w:val="20"/>
        </w:rPr>
        <w:t xml:space="preserve"> of </w:t>
      </w: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CO</m:t>
            </m:r>
          </m:e>
          <m:sub>
            <m:r>
              <w:rPr>
                <w:rFonts w:ascii="Cambria Math" w:eastAsia="Cambria Math" w:hAnsi="Cambria Math" w:cs="Cambria Math"/>
                <w:color w:val="44546A"/>
                <w:sz w:val="20"/>
                <w:szCs w:val="20"/>
              </w:rPr>
              <m:t>2</m:t>
            </m:r>
          </m:sub>
        </m:sSub>
        <m:r>
          <w:rPr>
            <w:rFonts w:ascii="Cambria Math" w:eastAsia="Cambria Math" w:hAnsi="Cambria Math" w:cs="Cambria Math"/>
            <w:color w:val="44546A"/>
            <w:sz w:val="20"/>
            <w:szCs w:val="20"/>
          </w:rPr>
          <m:t xml:space="preserve">-equivalent </m:t>
        </m:r>
      </m:oMath>
      <w:r>
        <w:rPr>
          <w:rFonts w:ascii="Cambria Math" w:eastAsia="Cambria Math" w:hAnsi="Cambria Math" w:cs="Cambria Math"/>
          <w:color w:val="44546A"/>
          <w:sz w:val="20"/>
          <w:szCs w:val="20"/>
        </w:rPr>
        <w:t>per year)</w:t>
      </w:r>
    </w:p>
    <w:p w14:paraId="100027AA" w14:textId="3067EF4B"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LE</m:t>
            </m:r>
          </m:e>
          <m:sub>
            <m:r>
              <w:rPr>
                <w:rFonts w:ascii="Cambria Math" w:eastAsia="Cambria Math" w:hAnsi="Cambria Math" w:cs="Cambria Math"/>
                <w:color w:val="44546A"/>
                <w:sz w:val="20"/>
                <w:szCs w:val="20"/>
              </w:rPr>
              <m:t xml:space="preserve"> </m:t>
            </m:r>
          </m:sub>
        </m:sSub>
        <m:r>
          <w:rPr>
            <w:rFonts w:ascii="Cambria Math" w:eastAsia="Cambria Math" w:hAnsi="Cambria Math" w:cs="Cambria Math"/>
            <w:color w:val="44546A"/>
            <w:sz w:val="20"/>
            <w:szCs w:val="20"/>
          </w:rPr>
          <m:t>: </m:t>
        </m:r>
      </m:oMath>
      <w:r>
        <w:rPr>
          <w:color w:val="44546A"/>
          <w:sz w:val="20"/>
          <w:szCs w:val="20"/>
        </w:rPr>
        <w:t xml:space="preserve">Leakage emissions (tonnes of </w:t>
      </w: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CO</m:t>
            </m:r>
          </m:e>
          <m:sub>
            <m:r>
              <w:rPr>
                <w:rFonts w:ascii="Cambria Math" w:eastAsia="Cambria Math" w:hAnsi="Cambria Math" w:cs="Cambria Math"/>
                <w:color w:val="44546A"/>
                <w:sz w:val="20"/>
                <w:szCs w:val="20"/>
              </w:rPr>
              <m:t>2</m:t>
            </m:r>
          </m:sub>
        </m:sSub>
        <m:r>
          <w:rPr>
            <w:rFonts w:ascii="Cambria Math" w:eastAsia="Cambria Math" w:hAnsi="Cambria Math" w:cs="Cambria Math"/>
            <w:color w:val="44546A"/>
            <w:sz w:val="20"/>
            <w:szCs w:val="20"/>
          </w:rPr>
          <m:t xml:space="preserve">-equivalent </m:t>
        </m:r>
      </m:oMath>
      <w:r>
        <w:rPr>
          <w:rFonts w:ascii="Cambria Math" w:eastAsia="Cambria Math" w:hAnsi="Cambria Math" w:cs="Cambria Math"/>
          <w:color w:val="44546A"/>
          <w:sz w:val="20"/>
          <w:szCs w:val="20"/>
        </w:rPr>
        <w:t>per year)</w:t>
      </w:r>
    </w:p>
    <w:p w14:paraId="70FE6113" w14:textId="073D7918"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B</m:t>
            </m:r>
          </m:e>
          <m:sub>
            <m:r>
              <w:rPr>
                <w:rFonts w:ascii="Cambria Math" w:eastAsia="Cambria Math" w:hAnsi="Cambria Math" w:cs="Cambria Math"/>
                <w:color w:val="44546A"/>
                <w:sz w:val="20"/>
                <w:szCs w:val="20"/>
              </w:rPr>
              <m:t>,</m:t>
            </m:r>
          </m:sub>
        </m:sSub>
      </m:oMath>
      <w:r>
        <w:rPr>
          <w:color w:val="44546A"/>
          <w:sz w:val="20"/>
          <w:szCs w:val="20"/>
        </w:rPr>
        <w:t xml:space="preserve">: Quantity of woody biomass that is substituted or displaced (tonnes per household per </w:t>
      </w:r>
      <w:r w:rsidR="003C3E9E">
        <w:rPr>
          <w:color w:val="44546A"/>
          <w:sz w:val="20"/>
          <w:szCs w:val="20"/>
        </w:rPr>
        <w:t>year) *</w:t>
      </w:r>
    </w:p>
    <w:p w14:paraId="69DEF835" w14:textId="77777777"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f</m:t>
            </m:r>
          </m:e>
          <m:sub>
            <m:r>
              <w:rPr>
                <w:rFonts w:ascii="Cambria Math" w:eastAsia="Cambria Math" w:hAnsi="Cambria Math" w:cs="Cambria Math"/>
                <w:color w:val="44546A"/>
                <w:sz w:val="20"/>
                <w:szCs w:val="20"/>
              </w:rPr>
              <m:t>NRB,b</m:t>
            </m:r>
          </m:sub>
        </m:sSub>
      </m:oMath>
      <w:r>
        <w:rPr>
          <w:color w:val="44546A"/>
          <w:sz w:val="20"/>
          <w:szCs w:val="20"/>
        </w:rPr>
        <w:t>: Fraction of biomass used (%)</w:t>
      </w:r>
    </w:p>
    <w:p w14:paraId="29E4EF15" w14:textId="4EE352A8"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NCV</m:t>
            </m:r>
          </m:e>
          <m:sub>
            <m:r>
              <w:rPr>
                <w:rFonts w:ascii="Cambria Math" w:eastAsia="Cambria Math" w:hAnsi="Cambria Math" w:cs="Cambria Math"/>
                <w:color w:val="44546A"/>
                <w:sz w:val="20"/>
                <w:szCs w:val="20"/>
              </w:rPr>
              <m:t>biomass </m:t>
            </m:r>
          </m:sub>
        </m:sSub>
      </m:oMath>
      <w:r>
        <w:rPr>
          <w:color w:val="44546A"/>
          <w:sz w:val="20"/>
          <w:szCs w:val="20"/>
        </w:rPr>
        <w:t xml:space="preserve">: Net calorific value of the non-renewable woody </w:t>
      </w:r>
      <w:r w:rsidR="003C3E9E">
        <w:rPr>
          <w:color w:val="44546A"/>
          <w:sz w:val="20"/>
          <w:szCs w:val="20"/>
        </w:rPr>
        <w:t>biomass (</w:t>
      </w:r>
      <w:r>
        <w:rPr>
          <w:color w:val="44546A"/>
          <w:sz w:val="20"/>
          <w:szCs w:val="20"/>
        </w:rPr>
        <w:t>TJ/</w:t>
      </w:r>
      <w:r w:rsidR="003C3E9E">
        <w:rPr>
          <w:color w:val="44546A"/>
          <w:sz w:val="20"/>
          <w:szCs w:val="20"/>
        </w:rPr>
        <w:t>tone</w:t>
      </w:r>
      <w:r>
        <w:rPr>
          <w:color w:val="44546A"/>
          <w:sz w:val="20"/>
          <w:szCs w:val="20"/>
        </w:rPr>
        <w:t xml:space="preserve"> of fuel)</w:t>
      </w:r>
    </w:p>
    <w:p w14:paraId="4EB4CCB3" w14:textId="77777777"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EF</m:t>
            </m:r>
          </m:e>
          <m:sub>
            <m:r>
              <w:rPr>
                <w:rFonts w:ascii="Cambria Math" w:eastAsia="Cambria Math" w:hAnsi="Cambria Math" w:cs="Cambria Math"/>
                <w:color w:val="44546A"/>
                <w:sz w:val="20"/>
                <w:szCs w:val="20"/>
              </w:rPr>
              <m:t>projected fossil fuel</m:t>
            </m:r>
          </m:sub>
        </m:sSub>
        <m:r>
          <w:rPr>
            <w:rFonts w:ascii="Cambria Math" w:eastAsia="Cambria Math" w:hAnsi="Cambria Math" w:cs="Cambria Math"/>
            <w:color w:val="44546A"/>
            <w:sz w:val="20"/>
            <w:szCs w:val="20"/>
          </w:rPr>
          <m:t>:E</m:t>
        </m:r>
      </m:oMath>
      <w:r>
        <w:rPr>
          <w:color w:val="44546A"/>
          <w:sz w:val="20"/>
          <w:szCs w:val="20"/>
        </w:rPr>
        <w:t xml:space="preserve">mission factor of fossil fuels projected to be used to substitute non-renewable woody biomass by similar consumers (tonnes of </w:t>
      </w: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CO</m:t>
            </m:r>
          </m:e>
          <m:sub>
            <m:r>
              <w:rPr>
                <w:rFonts w:ascii="Cambria Math" w:eastAsia="Cambria Math" w:hAnsi="Cambria Math" w:cs="Cambria Math"/>
                <w:color w:val="44546A"/>
                <w:sz w:val="20"/>
                <w:szCs w:val="20"/>
              </w:rPr>
              <m:t>2</m:t>
            </m:r>
          </m:sub>
        </m:sSub>
        <m:r>
          <w:rPr>
            <w:rFonts w:ascii="Cambria Math" w:eastAsia="Cambria Math" w:hAnsi="Cambria Math" w:cs="Cambria Math"/>
            <w:color w:val="44546A"/>
            <w:sz w:val="20"/>
            <w:szCs w:val="20"/>
          </w:rPr>
          <m:t xml:space="preserve">-equivalent </m:t>
        </m:r>
      </m:oMath>
      <w:r>
        <w:rPr>
          <w:rFonts w:ascii="Cambria Math" w:eastAsia="Cambria Math" w:hAnsi="Cambria Math" w:cs="Cambria Math"/>
          <w:color w:val="44546A"/>
          <w:sz w:val="20"/>
          <w:szCs w:val="20"/>
        </w:rPr>
        <w:t>per ton of fuel)</w:t>
      </w:r>
    </w:p>
    <w:p w14:paraId="091DC13A" w14:textId="77777777" w:rsidR="000E5CD4" w:rsidRDefault="00000000">
      <w:pPr>
        <w:rPr>
          <w:color w:val="44546A"/>
          <w:sz w:val="20"/>
          <w:szCs w:val="20"/>
        </w:rPr>
      </w:pPr>
      <w:r>
        <w:rPr>
          <w:color w:val="44546A"/>
          <w:sz w:val="20"/>
          <w:szCs w:val="20"/>
        </w:rPr>
        <w:t>*The projects are allowed to determine this through a thermal energy output equation, kitchen performance test, water boil test, or controlled cooking test.</w:t>
      </w:r>
    </w:p>
    <w:p w14:paraId="558A8B83" w14:textId="77777777" w:rsidR="000E5CD4" w:rsidRDefault="000E5CD4">
      <w:pPr>
        <w:rPr>
          <w:color w:val="44546A"/>
          <w:sz w:val="20"/>
          <w:szCs w:val="20"/>
        </w:rPr>
      </w:pPr>
    </w:p>
    <w:p w14:paraId="3F16F855" w14:textId="77777777" w:rsidR="000E5CD4" w:rsidRDefault="00000000">
      <w:pPr>
        <w:rPr>
          <w:i/>
          <w:color w:val="44546A"/>
          <w:sz w:val="20"/>
          <w:szCs w:val="20"/>
          <w:u w:val="single"/>
        </w:rPr>
      </w:pPr>
      <w:r>
        <w:rPr>
          <w:i/>
          <w:color w:val="44546A"/>
          <w:sz w:val="20"/>
          <w:szCs w:val="20"/>
          <w:u w:val="single"/>
        </w:rPr>
        <w:lastRenderedPageBreak/>
        <w:t>GS’s Methodology for Metered &amp; Measured Energy Cooking Devices (GS Metered)</w:t>
      </w:r>
    </w:p>
    <w:p w14:paraId="6F41A340" w14:textId="77777777" w:rsidR="000E5CD4" w:rsidRDefault="000E5CD4">
      <w:pPr>
        <w:rPr>
          <w:color w:val="44546A"/>
          <w:sz w:val="20"/>
          <w:szCs w:val="20"/>
        </w:rPr>
      </w:pPr>
    </w:p>
    <w:p w14:paraId="4420CE4D" w14:textId="77777777" w:rsidR="000E5CD4" w:rsidRDefault="000E5CD4">
      <w:pPr>
        <w:rPr>
          <w:color w:val="44546A"/>
          <w:sz w:val="20"/>
          <w:szCs w:val="20"/>
        </w:rPr>
      </w:pPr>
    </w:p>
    <w:p w14:paraId="39974A26" w14:textId="77777777" w:rsidR="000E5CD4" w:rsidRDefault="000E5CD4">
      <w:pPr>
        <w:rPr>
          <w:color w:val="44546A"/>
          <w:sz w:val="20"/>
          <w:szCs w:val="20"/>
        </w:rPr>
      </w:pPr>
    </w:p>
    <w:p w14:paraId="7C04560A" w14:textId="518F6C23" w:rsidR="000E5CD4" w:rsidRDefault="00000000">
      <w:pPr>
        <w:jc w:val="center"/>
        <w:rPr>
          <w:rFonts w:ascii="Cambria Math" w:eastAsia="Cambria Math" w:hAnsi="Cambria Math" w:cs="Cambria Math"/>
          <w:color w:val="44546A"/>
          <w:sz w:val="20"/>
          <w:szCs w:val="20"/>
        </w:rPr>
      </w:pPr>
      <m:oMathPara>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ER</m:t>
              </m:r>
            </m:e>
            <m:sub>
              <m:r>
                <w:rPr>
                  <w:rFonts w:ascii="Cambria Math" w:eastAsia="Cambria Math" w:hAnsi="Cambria Math" w:cs="Cambria Math"/>
                  <w:color w:val="44546A"/>
                  <w:sz w:val="20"/>
                  <w:szCs w:val="20"/>
                </w:rPr>
                <m:t xml:space="preserve"> </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BE</m:t>
              </m:r>
            </m:e>
            <m:sub>
              <m:r>
                <w:rPr>
                  <w:rFonts w:ascii="Cambria Math" w:eastAsia="Cambria Math" w:hAnsi="Cambria Math" w:cs="Cambria Math"/>
                  <w:color w:val="44546A"/>
                  <w:sz w:val="20"/>
                  <w:szCs w:val="20"/>
                </w:rPr>
                <m:t xml:space="preserve"> </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PE</m:t>
              </m:r>
            </m:e>
            <m:sub>
              <m:r>
                <w:rPr>
                  <w:rFonts w:ascii="Cambria Math" w:eastAsia="Cambria Math" w:hAnsi="Cambria Math" w:cs="Cambria Math"/>
                  <w:color w:val="44546A"/>
                  <w:sz w:val="20"/>
                  <w:szCs w:val="20"/>
                </w:rPr>
                <m:t xml:space="preserve"> </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LE</m:t>
              </m:r>
            </m:e>
            <m:sub>
              <m:r>
                <w:rPr>
                  <w:rFonts w:ascii="Cambria Math" w:eastAsia="Cambria Math" w:hAnsi="Cambria Math" w:cs="Cambria Math"/>
                  <w:color w:val="44546A"/>
                  <w:sz w:val="20"/>
                  <w:szCs w:val="20"/>
                </w:rPr>
                <m:t xml:space="preserve"> </m:t>
              </m:r>
            </m:sub>
          </m:sSub>
        </m:oMath>
      </m:oMathPara>
    </w:p>
    <w:p w14:paraId="4D65AD5A" w14:textId="77777777"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BE</m:t>
            </m:r>
          </m:e>
          <m:sub/>
        </m:sSub>
        <m:r>
          <w:rPr>
            <w:rFonts w:ascii="Cambria Math" w:eastAsia="Cambria Math" w:hAnsi="Cambria Math" w:cs="Cambria Math"/>
            <w:color w:val="44546A"/>
            <w:sz w:val="20"/>
            <w:szCs w:val="20"/>
          </w:rPr>
          <m:t>=</m:t>
        </m:r>
      </m:oMath>
      <w:r>
        <w:rPr>
          <w:color w:val="44546A"/>
          <w:sz w:val="20"/>
          <w:szCs w:val="20"/>
        </w:rPr>
        <w:t xml:space="preserve"> </w:t>
      </w: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EG</m:t>
            </m:r>
          </m:e>
          <m:sub>
            <m:r>
              <w:rPr>
                <w:rFonts w:ascii="Cambria Math" w:eastAsia="Cambria Math" w:hAnsi="Cambria Math" w:cs="Cambria Math"/>
                <w:color w:val="44546A"/>
                <w:sz w:val="20"/>
                <w:szCs w:val="20"/>
              </w:rPr>
              <m:t>p,useful</m:t>
            </m:r>
          </m:sub>
        </m:sSub>
      </m:oMath>
      <w:r>
        <w:rPr>
          <w:color w:val="44546A"/>
          <w:sz w:val="20"/>
          <w:szCs w:val="20"/>
        </w:rPr>
        <w:t xml:space="preserve">* </w:t>
      </w: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EF</m:t>
            </m:r>
          </m:e>
          <m:sub>
            <m:r>
              <w:rPr>
                <w:rFonts w:ascii="Cambria Math" w:eastAsia="Cambria Math" w:hAnsi="Cambria Math" w:cs="Cambria Math"/>
                <w:color w:val="44546A"/>
                <w:sz w:val="20"/>
                <w:szCs w:val="20"/>
              </w:rPr>
              <m:t>b</m:t>
            </m:r>
          </m:sub>
        </m:sSub>
      </m:oMath>
    </w:p>
    <w:p w14:paraId="50B828F1" w14:textId="384749DC"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EF</m:t>
            </m:r>
          </m:e>
          <m:sub>
            <m:r>
              <w:rPr>
                <w:rFonts w:ascii="Cambria Math" w:eastAsia="Cambria Math" w:hAnsi="Cambria Math" w:cs="Cambria Math"/>
                <w:color w:val="44546A"/>
                <w:sz w:val="20"/>
                <w:szCs w:val="20"/>
              </w:rPr>
              <m:t>b</m:t>
            </m:r>
          </m:sub>
        </m:sSub>
      </m:oMath>
      <w:r>
        <w:rPr>
          <w:color w:val="44546A"/>
          <w:sz w:val="20"/>
          <w:szCs w:val="20"/>
        </w:rPr>
        <w:t xml:space="preserve">= </w:t>
      </w:r>
      <m:oMath>
        <m:nary>
          <m:naryPr>
            <m:chr m:val="∑"/>
            <m:ctrlPr>
              <w:rPr>
                <w:rFonts w:ascii="Cambria Math" w:eastAsia="Cambria Math" w:hAnsi="Cambria Math" w:cs="Cambria Math"/>
                <w:color w:val="44546A"/>
                <w:sz w:val="20"/>
                <w:szCs w:val="20"/>
              </w:rPr>
            </m:ctrlPr>
          </m:naryPr>
          <m:sub>
            <m:r>
              <w:rPr>
                <w:rFonts w:ascii="Cambria Math" w:eastAsia="Cambria Math" w:hAnsi="Cambria Math" w:cs="Cambria Math"/>
                <w:color w:val="44546A"/>
                <w:sz w:val="20"/>
                <w:szCs w:val="20"/>
              </w:rPr>
              <m:t>k</m:t>
            </m:r>
          </m:sub>
          <m:sup>
            <m:r>
              <w:rPr>
                <w:rFonts w:ascii="Cambria Math" w:eastAsia="Cambria Math" w:hAnsi="Cambria Math" w:cs="Cambria Math"/>
                <w:color w:val="44546A"/>
                <w:sz w:val="20"/>
                <w:szCs w:val="20"/>
              </w:rPr>
              <m:t xml:space="preserve"> </m:t>
            </m:r>
          </m:sup>
          <m:e>
            <m:r>
              <w:rPr>
                <w:rFonts w:ascii="Cambria Math" w:eastAsia="Cambria Math" w:hAnsi="Cambria Math" w:cs="Cambria Math"/>
                <w:color w:val="44546A"/>
                <w:sz w:val="20"/>
                <w:szCs w:val="20"/>
              </w:rPr>
              <m:t xml:space="preserve"> </m:t>
            </m:r>
          </m:e>
        </m:nary>
        <m:sSub>
          <m:sSubPr>
            <m:ctrlPr>
              <w:rPr>
                <w:rFonts w:ascii="Cambria Math" w:eastAsia="Cambria Math" w:hAnsi="Cambria Math" w:cs="Cambria Math"/>
                <w:color w:val="44546A"/>
                <w:sz w:val="20"/>
                <w:szCs w:val="20"/>
              </w:rPr>
            </m:ctrlPr>
          </m:sSubPr>
          <m:e>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m:t>
                </m:r>
                <m:nary>
                  <m:naryPr>
                    <m:chr m:val="∑"/>
                    <m:ctrlPr>
                      <w:rPr>
                        <w:rFonts w:ascii="Cambria Math" w:eastAsia="Cambria Math" w:hAnsi="Cambria Math" w:cs="Cambria Math"/>
                        <w:color w:val="44546A"/>
                        <w:sz w:val="20"/>
                        <w:szCs w:val="20"/>
                      </w:rPr>
                    </m:ctrlPr>
                  </m:naryPr>
                  <m:sub>
                    <m:r>
                      <w:rPr>
                        <w:rFonts w:ascii="Cambria Math" w:eastAsia="Cambria Math" w:hAnsi="Cambria Math" w:cs="Cambria Math"/>
                        <w:color w:val="44546A"/>
                        <w:sz w:val="20"/>
                        <w:szCs w:val="20"/>
                      </w:rPr>
                      <m:t>i,j</m:t>
                    </m:r>
                  </m:sub>
                  <m:sup>
                    <m:r>
                      <w:rPr>
                        <w:rFonts w:ascii="Cambria Math" w:eastAsia="Cambria Math" w:hAnsi="Cambria Math" w:cs="Cambria Math"/>
                        <w:color w:val="44546A"/>
                        <w:sz w:val="20"/>
                        <w:szCs w:val="20"/>
                      </w:rPr>
                      <m:t xml:space="preserve"> </m:t>
                    </m:r>
                  </m:sup>
                  <m:e>
                    <m:r>
                      <w:rPr>
                        <w:rFonts w:ascii="Cambria Math" w:eastAsia="Cambria Math" w:hAnsi="Cambria Math" w:cs="Cambria Math"/>
                        <w:color w:val="44546A"/>
                        <w:sz w:val="20"/>
                        <w:szCs w:val="20"/>
                      </w:rPr>
                      <m:t xml:space="preserve"> </m:t>
                    </m:r>
                  </m:e>
                </m:nary>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P</m:t>
                    </m:r>
                  </m:e>
                  <m:sub>
                    <m:r>
                      <w:rPr>
                        <w:rFonts w:ascii="Cambria Math" w:eastAsia="Cambria Math" w:hAnsi="Cambria Math" w:cs="Cambria Math"/>
                        <w:color w:val="44546A"/>
                        <w:sz w:val="20"/>
                        <w:szCs w:val="20"/>
                      </w:rPr>
                      <m:t>b,i,j</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EF</m:t>
                    </m:r>
                  </m:e>
                  <m:sub>
                    <m:r>
                      <w:rPr>
                        <w:rFonts w:ascii="Cambria Math" w:eastAsia="Cambria Math" w:hAnsi="Cambria Math" w:cs="Cambria Math"/>
                        <w:color w:val="44546A"/>
                        <w:sz w:val="20"/>
                        <w:szCs w:val="20"/>
                      </w:rPr>
                      <m:t>b,i</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f</m:t>
                    </m:r>
                  </m:e>
                  <m:sub>
                    <m:r>
                      <w:rPr>
                        <w:rFonts w:ascii="Cambria Math" w:eastAsia="Cambria Math" w:hAnsi="Cambria Math" w:cs="Cambria Math"/>
                        <w:color w:val="44546A"/>
                        <w:sz w:val="20"/>
                        <w:szCs w:val="20"/>
                      </w:rPr>
                      <m:t>NRB, i</m:t>
                    </m:r>
                  </m:sub>
                </m:sSub>
                <m:r>
                  <w:rPr>
                    <w:rFonts w:ascii="Cambria Math" w:eastAsia="Cambria Math" w:hAnsi="Cambria Math" w:cs="Cambria Math"/>
                    <w:color w:val="44546A"/>
                    <w:sz w:val="20"/>
                    <w:szCs w:val="20"/>
                  </w:rPr>
                  <m:t>)</m:t>
                </m:r>
              </m:e>
              <m:sub>
                <m:r>
                  <w:rPr>
                    <w:rFonts w:ascii="Cambria Math" w:eastAsia="Cambria Math" w:hAnsi="Cambria Math" w:cs="Cambria Math"/>
                    <w:color w:val="44546A"/>
                    <w:sz w:val="20"/>
                    <w:szCs w:val="20"/>
                  </w:rPr>
                  <m:t>k</m:t>
                </m:r>
              </m:sub>
            </m:sSub>
          </m:e>
          <m:sub>
            <m:r>
              <w:rPr>
                <w:rFonts w:ascii="Cambria Math" w:eastAsia="Cambria Math" w:hAnsi="Cambria Math" w:cs="Cambria Math"/>
                <w:color w:val="44546A"/>
                <w:sz w:val="20"/>
                <w:szCs w:val="20"/>
              </w:rPr>
              <m:t> </m:t>
            </m:r>
          </m:sub>
        </m:sSub>
      </m:oMath>
      <w:r>
        <w:rPr>
          <w:color w:val="44546A"/>
          <w:sz w:val="20"/>
          <w:szCs w:val="20"/>
        </w:rPr>
        <w:t xml:space="preserve">/ </w:t>
      </w:r>
      <m:oMath>
        <m:nary>
          <m:naryPr>
            <m:chr m:val="∑"/>
            <m:ctrlPr>
              <w:rPr>
                <w:rFonts w:ascii="Cambria Math" w:eastAsia="Cambria Math" w:hAnsi="Cambria Math" w:cs="Cambria Math"/>
                <w:color w:val="44546A"/>
                <w:sz w:val="20"/>
                <w:szCs w:val="20"/>
              </w:rPr>
            </m:ctrlPr>
          </m:naryPr>
          <m:sub>
            <m:r>
              <w:rPr>
                <w:rFonts w:ascii="Cambria Math" w:eastAsia="Cambria Math" w:hAnsi="Cambria Math" w:cs="Cambria Math"/>
                <w:color w:val="44546A"/>
                <w:sz w:val="20"/>
                <w:szCs w:val="20"/>
              </w:rPr>
              <m:t>k</m:t>
            </m:r>
          </m:sub>
          <m:sup>
            <m:r>
              <w:rPr>
                <w:rFonts w:ascii="Cambria Math" w:eastAsia="Cambria Math" w:hAnsi="Cambria Math" w:cs="Cambria Math"/>
                <w:color w:val="44546A"/>
                <w:sz w:val="20"/>
                <w:szCs w:val="20"/>
              </w:rPr>
              <m:t xml:space="preserve"> </m:t>
            </m:r>
          </m:sup>
          <m:e>
            <m:r>
              <w:rPr>
                <w:rFonts w:ascii="Cambria Math" w:eastAsia="Cambria Math" w:hAnsi="Cambria Math" w:cs="Cambria Math"/>
                <w:color w:val="44546A"/>
                <w:sz w:val="20"/>
                <w:szCs w:val="20"/>
              </w:rPr>
              <m:t xml:space="preserve"> </m:t>
            </m:r>
          </m:e>
        </m:nary>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sSub>
              <m:sSubPr>
                <m:ctrlPr>
                  <w:rPr>
                    <w:rFonts w:ascii="Cambria Math" w:eastAsia="Cambria Math" w:hAnsi="Cambria Math" w:cs="Cambria Math"/>
                    <w:color w:val="44546A"/>
                    <w:sz w:val="20"/>
                    <w:szCs w:val="20"/>
                  </w:rPr>
                </m:ctrlPr>
              </m:sSubPr>
              <m:e>
                <m:nary>
                  <m:naryPr>
                    <m:chr m:val="∑"/>
                    <m:ctrlPr>
                      <w:rPr>
                        <w:rFonts w:ascii="Cambria Math" w:eastAsia="Cambria Math" w:hAnsi="Cambria Math" w:cs="Cambria Math"/>
                        <w:color w:val="44546A"/>
                        <w:sz w:val="20"/>
                        <w:szCs w:val="20"/>
                      </w:rPr>
                    </m:ctrlPr>
                  </m:naryPr>
                  <m:sub>
                    <m:r>
                      <w:rPr>
                        <w:rFonts w:ascii="Cambria Math" w:eastAsia="Cambria Math" w:hAnsi="Cambria Math" w:cs="Cambria Math"/>
                        <w:color w:val="44546A"/>
                        <w:sz w:val="20"/>
                        <w:szCs w:val="20"/>
                      </w:rPr>
                      <m:t>i,j</m:t>
                    </m:r>
                  </m:sub>
                  <m:sup>
                    <m:r>
                      <w:rPr>
                        <w:rFonts w:ascii="Cambria Math" w:eastAsia="Cambria Math" w:hAnsi="Cambria Math" w:cs="Cambria Math"/>
                        <w:color w:val="44546A"/>
                        <w:sz w:val="20"/>
                        <w:szCs w:val="20"/>
                      </w:rPr>
                      <m:t xml:space="preserve"> </m:t>
                    </m:r>
                  </m:sup>
                  <m:e>
                    <m:r>
                      <w:rPr>
                        <w:rFonts w:ascii="Cambria Math" w:eastAsia="Cambria Math" w:hAnsi="Cambria Math" w:cs="Cambria Math"/>
                        <w:color w:val="44546A"/>
                        <w:sz w:val="20"/>
                        <w:szCs w:val="20"/>
                      </w:rPr>
                      <m:t xml:space="preserve"> </m:t>
                    </m:r>
                  </m:e>
                </m:nary>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P</m:t>
                    </m:r>
                  </m:e>
                  <m:sub>
                    <m:r>
                      <w:rPr>
                        <w:rFonts w:ascii="Cambria Math" w:eastAsia="Cambria Math" w:hAnsi="Cambria Math" w:cs="Cambria Math"/>
                        <w:color w:val="44546A"/>
                        <w:sz w:val="20"/>
                        <w:szCs w:val="20"/>
                      </w:rPr>
                      <m:t>b,i,j</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NCV</m:t>
                    </m:r>
                  </m:e>
                  <m:sub>
                    <m:r>
                      <w:rPr>
                        <w:rFonts w:ascii="Cambria Math" w:eastAsia="Cambria Math" w:hAnsi="Cambria Math" w:cs="Cambria Math"/>
                        <w:color w:val="44546A"/>
                        <w:sz w:val="20"/>
                        <w:szCs w:val="20"/>
                      </w:rPr>
                      <m:t>b,i</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η</m:t>
                    </m:r>
                  </m:e>
                  <m:sub>
                    <m:r>
                      <w:rPr>
                        <w:rFonts w:ascii="Cambria Math" w:eastAsia="Cambria Math" w:hAnsi="Cambria Math" w:cs="Cambria Math"/>
                        <w:color w:val="44546A"/>
                        <w:sz w:val="20"/>
                        <w:szCs w:val="20"/>
                      </w:rPr>
                      <m:t>b,i,j</m:t>
                    </m:r>
                  </m:sub>
                </m:sSub>
                <m:r>
                  <w:rPr>
                    <w:rFonts w:ascii="Cambria Math" w:eastAsia="Cambria Math" w:hAnsi="Cambria Math" w:cs="Cambria Math"/>
                    <w:color w:val="44546A"/>
                    <w:sz w:val="20"/>
                    <w:szCs w:val="20"/>
                  </w:rPr>
                  <m:t>)</m:t>
                </m:r>
              </m:e>
              <m:sub>
                <m:r>
                  <w:rPr>
                    <w:rFonts w:ascii="Cambria Math" w:eastAsia="Cambria Math" w:hAnsi="Cambria Math" w:cs="Cambria Math"/>
                    <w:color w:val="44546A"/>
                    <w:sz w:val="20"/>
                    <w:szCs w:val="20"/>
                  </w:rPr>
                  <m:t>k</m:t>
                </m:r>
              </m:sub>
            </m:sSub>
          </m:e>
          <m:sub>
            <m:r>
              <w:rPr>
                <w:rFonts w:ascii="Cambria Math" w:eastAsia="Cambria Math" w:hAnsi="Cambria Math" w:cs="Cambria Math"/>
                <w:color w:val="44546A"/>
                <w:sz w:val="20"/>
                <w:szCs w:val="20"/>
              </w:rPr>
              <m:t> </m:t>
            </m:r>
          </m:sub>
        </m:sSub>
      </m:oMath>
    </w:p>
    <w:p w14:paraId="440777D2" w14:textId="2F7CEC33" w:rsidR="000E5CD4" w:rsidRDefault="00000000">
      <w:pPr>
        <w:rPr>
          <w:color w:val="44546A"/>
          <w:sz w:val="20"/>
          <w:szCs w:val="20"/>
        </w:rPr>
      </w:pPr>
      <w:r>
        <w:rPr>
          <w:color w:val="44546A"/>
          <w:sz w:val="20"/>
          <w:szCs w:val="20"/>
        </w:rPr>
        <w:t xml:space="preserve">If electric: </w:t>
      </w:r>
      <m:oMath>
        <m:sSub>
          <m:sSubPr>
            <m:ctrlPr>
              <w:rPr>
                <w:rFonts w:ascii="Cambria Math" w:eastAsia="Cambria Math" w:hAnsi="Cambria Math" w:cs="Cambria Math"/>
                <w:color w:val="44546A"/>
                <w:sz w:val="20"/>
                <w:szCs w:val="20"/>
              </w:rPr>
            </m:ctrlPr>
          </m:sSubPr>
          <m:e>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EG</m:t>
                </m:r>
              </m:e>
              <m:sub>
                <m:r>
                  <w:rPr>
                    <w:rFonts w:ascii="Cambria Math" w:eastAsia="Cambria Math" w:hAnsi="Cambria Math" w:cs="Cambria Math"/>
                    <w:color w:val="44546A"/>
                    <w:sz w:val="20"/>
                    <w:szCs w:val="20"/>
                  </w:rPr>
                  <m:t>p,useful</m:t>
                </m:r>
              </m:sub>
            </m:sSub>
            <m:r>
              <w:rPr>
                <w:rFonts w:ascii="Cambria Math" w:hAnsi="Cambria Math"/>
                <w:color w:val="44546A"/>
                <w:sz w:val="20"/>
                <w:szCs w:val="20"/>
              </w:rPr>
              <m:t>= </m:t>
            </m:r>
            <m:nary>
              <m:naryPr>
                <m:chr m:val="∑"/>
                <m:ctrlPr>
                  <w:rPr>
                    <w:rFonts w:ascii="Cambria Math" w:eastAsia="Cambria Math" w:hAnsi="Cambria Math" w:cs="Cambria Math"/>
                    <w:color w:val="44546A"/>
                    <w:sz w:val="20"/>
                    <w:szCs w:val="20"/>
                  </w:rPr>
                </m:ctrlPr>
              </m:naryPr>
              <m:sub>
                <m:r>
                  <w:rPr>
                    <w:rFonts w:ascii="Cambria Math" w:eastAsia="Cambria Math" w:hAnsi="Cambria Math" w:cs="Cambria Math"/>
                    <w:color w:val="44546A"/>
                    <w:sz w:val="20"/>
                    <w:szCs w:val="20"/>
                  </w:rPr>
                  <m:t>d</m:t>
                </m:r>
              </m:sub>
              <m:sup>
                <m:r>
                  <w:rPr>
                    <w:rFonts w:ascii="Cambria Math" w:eastAsia="Cambria Math" w:hAnsi="Cambria Math" w:cs="Cambria Math"/>
                    <w:color w:val="44546A"/>
                    <w:sz w:val="20"/>
                    <w:szCs w:val="20"/>
                  </w:rPr>
                  <m:t xml:space="preserve"> </m:t>
                </m:r>
              </m:sup>
              <m:e>
                <m:r>
                  <w:rPr>
                    <w:rFonts w:ascii="Cambria Math" w:eastAsia="Cambria Math" w:hAnsi="Cambria Math" w:cs="Cambria Math"/>
                    <w:color w:val="44546A"/>
                    <w:sz w:val="20"/>
                    <w:szCs w:val="20"/>
                  </w:rPr>
                  <m:t xml:space="preserve"> </m:t>
                </m:r>
              </m:e>
            </m:nary>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(EG</m:t>
                </m:r>
              </m:e>
              <m:sub>
                <m:r>
                  <w:rPr>
                    <w:rFonts w:ascii="Cambria Math" w:eastAsia="Cambria Math" w:hAnsi="Cambria Math" w:cs="Cambria Math"/>
                    <w:color w:val="44546A"/>
                    <w:sz w:val="20"/>
                    <w:szCs w:val="20"/>
                  </w:rPr>
                  <m:t>p,d</m:t>
                </m:r>
              </m:sub>
            </m:sSub>
            <m:r>
              <w:rPr>
                <w:rFonts w:ascii="Cambria Math" w:eastAsia="Cambria Math" w:hAnsi="Cambria Math" w:cs="Cambria Math"/>
                <w:color w:val="44546A"/>
                <w:sz w:val="20"/>
                <w:szCs w:val="20"/>
              </w:rPr>
              <m:t>*0.0036*</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η</m:t>
                </m:r>
              </m:e>
              <m:sub>
                <m:r>
                  <w:rPr>
                    <w:rFonts w:ascii="Cambria Math" w:eastAsia="Cambria Math" w:hAnsi="Cambria Math" w:cs="Cambria Math"/>
                    <w:color w:val="44546A"/>
                    <w:sz w:val="20"/>
                    <w:szCs w:val="20"/>
                  </w:rPr>
                  <m:t>p,d</m:t>
                </m:r>
              </m:sub>
            </m:sSub>
            <m:r>
              <w:rPr>
                <w:rFonts w:ascii="Cambria Math" w:eastAsia="Cambria Math" w:hAnsi="Cambria Math" w:cs="Cambria Math"/>
                <w:color w:val="44546A"/>
                <w:sz w:val="20"/>
                <w:szCs w:val="20"/>
              </w:rPr>
              <m:t>) or  if other: EG</m:t>
            </m:r>
          </m:e>
          <m:sub>
            <m:r>
              <w:rPr>
                <w:rFonts w:ascii="Cambria Math" w:eastAsia="Cambria Math" w:hAnsi="Cambria Math" w:cs="Cambria Math"/>
                <w:color w:val="44546A"/>
                <w:sz w:val="20"/>
                <w:szCs w:val="20"/>
              </w:rPr>
              <m:t>p,useful</m:t>
            </m:r>
          </m:sub>
        </m:sSub>
      </m:oMath>
      <w:r>
        <w:rPr>
          <w:color w:val="44546A"/>
          <w:sz w:val="20"/>
          <w:szCs w:val="20"/>
        </w:rPr>
        <w:t xml:space="preserve">= </w:t>
      </w:r>
      <m:oMath>
        <m:nary>
          <m:naryPr>
            <m:chr m:val="∑"/>
            <m:ctrlPr>
              <w:rPr>
                <w:rFonts w:ascii="Cambria Math" w:eastAsia="Cambria Math" w:hAnsi="Cambria Math" w:cs="Cambria Math"/>
                <w:color w:val="44546A"/>
                <w:sz w:val="20"/>
                <w:szCs w:val="20"/>
              </w:rPr>
            </m:ctrlPr>
          </m:naryPr>
          <m:sub>
            <m:r>
              <w:rPr>
                <w:rFonts w:ascii="Cambria Math" w:eastAsia="Cambria Math" w:hAnsi="Cambria Math" w:cs="Cambria Math"/>
                <w:color w:val="44546A"/>
                <w:sz w:val="20"/>
                <w:szCs w:val="20"/>
              </w:rPr>
              <m:t>d</m:t>
            </m:r>
          </m:sub>
          <m:sup>
            <m:r>
              <w:rPr>
                <w:rFonts w:ascii="Cambria Math" w:eastAsia="Cambria Math" w:hAnsi="Cambria Math" w:cs="Cambria Math"/>
                <w:color w:val="44546A"/>
                <w:sz w:val="20"/>
                <w:szCs w:val="20"/>
              </w:rPr>
              <m:t xml:space="preserve"> </m:t>
            </m:r>
          </m:sup>
          <m:e>
            <m:r>
              <w:rPr>
                <w:rFonts w:ascii="Cambria Math" w:eastAsia="Cambria Math" w:hAnsi="Cambria Math" w:cs="Cambria Math"/>
                <w:color w:val="44546A"/>
                <w:sz w:val="20"/>
                <w:szCs w:val="20"/>
              </w:rPr>
              <m:t xml:space="preserve"> </m:t>
            </m:r>
          </m:e>
        </m:nary>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(P</m:t>
            </m:r>
          </m:e>
          <m:sub>
            <m:r>
              <w:rPr>
                <w:rFonts w:ascii="Cambria Math" w:eastAsia="Cambria Math" w:hAnsi="Cambria Math" w:cs="Cambria Math"/>
                <w:color w:val="44546A"/>
                <w:sz w:val="20"/>
                <w:szCs w:val="20"/>
              </w:rPr>
              <m:t>p,d</m:t>
            </m:r>
          </m:sub>
        </m:sSub>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 NCV</m:t>
            </m:r>
          </m:e>
          <m:sub>
            <m:r>
              <w:rPr>
                <w:rFonts w:ascii="Cambria Math" w:eastAsia="Cambria Math" w:hAnsi="Cambria Math" w:cs="Cambria Math"/>
                <w:color w:val="44546A"/>
                <w:sz w:val="20"/>
                <w:szCs w:val="20"/>
              </w:rPr>
              <m:t>p,,i</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η</m:t>
            </m:r>
          </m:e>
          <m:sub>
            <m:r>
              <w:rPr>
                <w:rFonts w:ascii="Cambria Math" w:eastAsia="Cambria Math" w:hAnsi="Cambria Math" w:cs="Cambria Math"/>
                <w:color w:val="44546A"/>
                <w:sz w:val="20"/>
                <w:szCs w:val="20"/>
              </w:rPr>
              <m:t>p,d</m:t>
            </m:r>
          </m:sub>
        </m:sSub>
        <m:r>
          <w:rPr>
            <w:rFonts w:ascii="Cambria Math" w:eastAsia="Cambria Math" w:hAnsi="Cambria Math" w:cs="Cambria Math"/>
            <w:color w:val="44546A"/>
            <w:sz w:val="20"/>
            <w:szCs w:val="20"/>
          </w:rPr>
          <m:t>)</m:t>
        </m:r>
      </m:oMath>
      <w:r>
        <w:rPr>
          <w:color w:val="44546A"/>
          <w:sz w:val="20"/>
          <w:szCs w:val="20"/>
        </w:rPr>
        <w:t xml:space="preserve"> </w:t>
      </w:r>
    </w:p>
    <w:p w14:paraId="6D8C9E0F" w14:textId="15CCFC44" w:rsidR="000E5CD4" w:rsidRDefault="00000000">
      <w:pPr>
        <w:rPr>
          <w:color w:val="44546A"/>
          <w:sz w:val="20"/>
          <w:szCs w:val="20"/>
        </w:rPr>
      </w:pPr>
      <w:r>
        <w:rPr>
          <w:color w:val="44546A"/>
          <w:sz w:val="20"/>
          <w:szCs w:val="20"/>
        </w:rPr>
        <w:t xml:space="preserve">If electric: </w:t>
      </w: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PE</m:t>
            </m:r>
          </m:e>
          <m:sub>
            <m:r>
              <w:rPr>
                <w:rFonts w:ascii="Cambria Math" w:eastAsia="Cambria Math" w:hAnsi="Cambria Math" w:cs="Cambria Math"/>
                <w:color w:val="44546A"/>
                <w:sz w:val="20"/>
                <w:szCs w:val="20"/>
              </w:rPr>
              <m:t xml:space="preserve"> </m:t>
            </m:r>
          </m:sub>
        </m:sSub>
        <m:r>
          <w:rPr>
            <w:rFonts w:ascii="Cambria Math" w:eastAsia="Cambria Math" w:hAnsi="Cambria Math" w:cs="Cambria Math"/>
            <w:color w:val="44546A"/>
            <w:sz w:val="20"/>
            <w:szCs w:val="20"/>
          </w:rPr>
          <m:t>=</m:t>
        </m:r>
        <m:nary>
          <m:naryPr>
            <m:chr m:val="∑"/>
            <m:ctrlPr>
              <w:rPr>
                <w:rFonts w:ascii="Cambria Math" w:eastAsia="Cambria Math" w:hAnsi="Cambria Math" w:cs="Cambria Math"/>
                <w:color w:val="44546A"/>
                <w:sz w:val="20"/>
                <w:szCs w:val="20"/>
              </w:rPr>
            </m:ctrlPr>
          </m:naryPr>
          <m:sub>
            <m:r>
              <w:rPr>
                <w:rFonts w:ascii="Cambria Math" w:eastAsia="Cambria Math" w:hAnsi="Cambria Math" w:cs="Cambria Math"/>
                <w:color w:val="44546A"/>
                <w:sz w:val="20"/>
                <w:szCs w:val="20"/>
              </w:rPr>
              <m:t>d</m:t>
            </m:r>
          </m:sub>
          <m:sup>
            <m:r>
              <w:rPr>
                <w:rFonts w:ascii="Cambria Math" w:eastAsia="Cambria Math" w:hAnsi="Cambria Math" w:cs="Cambria Math"/>
                <w:color w:val="44546A"/>
                <w:sz w:val="20"/>
                <w:szCs w:val="20"/>
              </w:rPr>
              <m:t xml:space="preserve"> </m:t>
            </m:r>
          </m:sup>
          <m:e>
            <m:r>
              <w:rPr>
                <w:rFonts w:ascii="Cambria Math" w:eastAsia="Cambria Math" w:hAnsi="Cambria Math" w:cs="Cambria Math"/>
                <w:color w:val="44546A"/>
                <w:sz w:val="20"/>
                <w:szCs w:val="20"/>
              </w:rPr>
              <m:t xml:space="preserve"> </m:t>
            </m:r>
          </m:e>
        </m:nary>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(EG</m:t>
            </m:r>
          </m:e>
          <m:sub>
            <m:r>
              <w:rPr>
                <w:rFonts w:ascii="Cambria Math" w:eastAsia="Cambria Math" w:hAnsi="Cambria Math" w:cs="Cambria Math"/>
                <w:color w:val="44546A"/>
                <w:sz w:val="20"/>
                <w:szCs w:val="20"/>
              </w:rPr>
              <m:t>p,d</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EF</m:t>
            </m:r>
          </m:e>
          <m:sub>
            <m:r>
              <w:rPr>
                <w:rFonts w:ascii="Cambria Math" w:eastAsia="Cambria Math" w:hAnsi="Cambria Math" w:cs="Cambria Math"/>
                <w:color w:val="44546A"/>
                <w:sz w:val="20"/>
                <w:szCs w:val="20"/>
              </w:rPr>
              <m:t>el</m:t>
            </m:r>
          </m:sub>
        </m:sSub>
        <m:r>
          <w:rPr>
            <w:rFonts w:ascii="Cambria Math" w:eastAsia="Cambria Math" w:hAnsi="Cambria Math" w:cs="Cambria Math"/>
            <w:color w:val="44546A"/>
            <w:sz w:val="20"/>
            <w:szCs w:val="20"/>
          </w:rPr>
          <m:t>*(1+</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TDL</m:t>
            </m:r>
          </m:e>
          <m:sub>
            <m:r>
              <w:rPr>
                <w:rFonts w:ascii="Cambria Math" w:eastAsia="Cambria Math" w:hAnsi="Cambria Math" w:cs="Cambria Math"/>
                <w:color w:val="44546A"/>
                <w:sz w:val="20"/>
                <w:szCs w:val="20"/>
              </w:rPr>
              <m:t>j</m:t>
            </m:r>
          </m:sub>
        </m:sSub>
        <m:r>
          <w:rPr>
            <w:rFonts w:ascii="Cambria Math" w:eastAsia="Cambria Math" w:hAnsi="Cambria Math" w:cs="Cambria Math"/>
            <w:color w:val="44546A"/>
            <w:sz w:val="20"/>
            <w:szCs w:val="20"/>
          </w:rPr>
          <m:t>)) or if other:  </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PE</m:t>
            </m:r>
          </m:e>
          <m:sub>
            <m:r>
              <w:rPr>
                <w:rFonts w:ascii="Cambria Math" w:eastAsia="Cambria Math" w:hAnsi="Cambria Math" w:cs="Cambria Math"/>
                <w:color w:val="44546A"/>
                <w:sz w:val="20"/>
                <w:szCs w:val="20"/>
              </w:rPr>
              <m:t>y</m:t>
            </m:r>
          </m:sub>
        </m:sSub>
        <m:r>
          <w:rPr>
            <w:rFonts w:ascii="Cambria Math" w:eastAsia="Cambria Math" w:hAnsi="Cambria Math" w:cs="Cambria Math"/>
            <w:color w:val="44546A"/>
            <w:sz w:val="20"/>
            <w:szCs w:val="20"/>
          </w:rPr>
          <m:t>=</m:t>
        </m:r>
        <m:nary>
          <m:naryPr>
            <m:chr m:val="∑"/>
            <m:ctrlPr>
              <w:rPr>
                <w:rFonts w:ascii="Cambria Math" w:eastAsia="Cambria Math" w:hAnsi="Cambria Math" w:cs="Cambria Math"/>
                <w:color w:val="44546A"/>
                <w:sz w:val="20"/>
                <w:szCs w:val="20"/>
              </w:rPr>
            </m:ctrlPr>
          </m:naryPr>
          <m:sub>
            <m:r>
              <w:rPr>
                <w:rFonts w:ascii="Cambria Math" w:eastAsia="Cambria Math" w:hAnsi="Cambria Math" w:cs="Cambria Math"/>
                <w:color w:val="44546A"/>
                <w:sz w:val="20"/>
                <w:szCs w:val="20"/>
              </w:rPr>
              <m:t>d</m:t>
            </m:r>
          </m:sub>
          <m:sup>
            <m:r>
              <w:rPr>
                <w:rFonts w:ascii="Cambria Math" w:eastAsia="Cambria Math" w:hAnsi="Cambria Math" w:cs="Cambria Math"/>
                <w:color w:val="44546A"/>
                <w:sz w:val="20"/>
                <w:szCs w:val="20"/>
              </w:rPr>
              <m:t xml:space="preserve"> </m:t>
            </m:r>
          </m:sup>
          <m:e>
            <m:r>
              <w:rPr>
                <w:rFonts w:ascii="Cambria Math" w:eastAsia="Cambria Math" w:hAnsi="Cambria Math" w:cs="Cambria Math"/>
                <w:color w:val="44546A"/>
                <w:sz w:val="20"/>
                <w:szCs w:val="20"/>
              </w:rPr>
              <m:t xml:space="preserve"> </m:t>
            </m:r>
          </m:e>
        </m:nary>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(P</m:t>
            </m:r>
          </m:e>
          <m:sub>
            <m:r>
              <w:rPr>
                <w:rFonts w:ascii="Cambria Math" w:eastAsia="Cambria Math" w:hAnsi="Cambria Math" w:cs="Cambria Math"/>
                <w:color w:val="44546A"/>
                <w:sz w:val="20"/>
                <w:szCs w:val="20"/>
              </w:rPr>
              <m:t>p,d</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NCV</m:t>
            </m:r>
          </m:e>
          <m:sub>
            <m:r>
              <w:rPr>
                <w:rFonts w:ascii="Cambria Math" w:eastAsia="Cambria Math" w:hAnsi="Cambria Math" w:cs="Cambria Math"/>
                <w:color w:val="44546A"/>
                <w:sz w:val="20"/>
                <w:szCs w:val="20"/>
              </w:rPr>
              <m:t>p,,i</m:t>
            </m:r>
          </m:sub>
        </m:sSub>
        <m:r>
          <w:rPr>
            <w:rFonts w:ascii="Cambria Math" w:eastAsia="Cambria Math" w:hAnsi="Cambria Math" w:cs="Cambria Math"/>
            <w:color w:val="44546A"/>
            <w:sz w:val="20"/>
            <w:szCs w:val="20"/>
          </w:rPr>
          <m:t>*</m:t>
        </m:r>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EF</m:t>
            </m:r>
          </m:e>
          <m:sub>
            <m:r>
              <w:rPr>
                <w:rFonts w:ascii="Cambria Math" w:eastAsia="Cambria Math" w:hAnsi="Cambria Math" w:cs="Cambria Math"/>
                <w:color w:val="44546A"/>
                <w:sz w:val="20"/>
                <w:szCs w:val="20"/>
              </w:rPr>
              <m:t>p,i</m:t>
            </m:r>
          </m:sub>
        </m:sSub>
        <m:r>
          <w:rPr>
            <w:rFonts w:ascii="Cambria Math" w:eastAsia="Cambria Math" w:hAnsi="Cambria Math" w:cs="Cambria Math"/>
            <w:color w:val="44546A"/>
            <w:sz w:val="20"/>
            <w:szCs w:val="20"/>
          </w:rPr>
          <m:t>)</m:t>
        </m:r>
      </m:oMath>
    </w:p>
    <w:p w14:paraId="46989F6F" w14:textId="77777777" w:rsidR="000E5CD4" w:rsidRDefault="00000000">
      <w:pPr>
        <w:rPr>
          <w:color w:val="44546A"/>
          <w:sz w:val="20"/>
          <w:szCs w:val="20"/>
        </w:rPr>
      </w:pPr>
      <w:r>
        <w:rPr>
          <w:color w:val="44546A"/>
          <w:sz w:val="20"/>
          <w:szCs w:val="20"/>
        </w:rPr>
        <w:t xml:space="preserve">Where: </w:t>
      </w:r>
    </w:p>
    <w:p w14:paraId="68293412" w14:textId="73F67FFC"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ER</m:t>
            </m:r>
          </m:e>
          <m:sub>
            <m:r>
              <w:rPr>
                <w:rFonts w:ascii="Cambria Math" w:eastAsia="Cambria Math" w:hAnsi="Cambria Math" w:cs="Cambria Math"/>
                <w:color w:val="44546A"/>
                <w:sz w:val="20"/>
                <w:szCs w:val="20"/>
              </w:rPr>
              <m:t xml:space="preserve"> </m:t>
            </m:r>
          </m:sub>
        </m:sSub>
        <m:r>
          <w:rPr>
            <w:rFonts w:ascii="Cambria Math" w:eastAsia="Cambria Math" w:hAnsi="Cambria Math" w:cs="Cambria Math"/>
            <w:color w:val="44546A"/>
            <w:sz w:val="20"/>
            <w:szCs w:val="20"/>
          </w:rPr>
          <m:t>: </m:t>
        </m:r>
      </m:oMath>
      <w:r>
        <w:rPr>
          <w:color w:val="44546A"/>
          <w:sz w:val="20"/>
          <w:szCs w:val="20"/>
        </w:rPr>
        <w:t xml:space="preserve">Emission reductions (tonnes of </w:t>
      </w: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CO</m:t>
            </m:r>
          </m:e>
          <m:sub>
            <m:r>
              <w:rPr>
                <w:rFonts w:ascii="Cambria Math" w:eastAsia="Cambria Math" w:hAnsi="Cambria Math" w:cs="Cambria Math"/>
                <w:color w:val="44546A"/>
                <w:sz w:val="20"/>
                <w:szCs w:val="20"/>
              </w:rPr>
              <m:t>2</m:t>
            </m:r>
          </m:sub>
        </m:sSub>
        <m:r>
          <w:rPr>
            <w:rFonts w:ascii="Cambria Math" w:eastAsia="Cambria Math" w:hAnsi="Cambria Math" w:cs="Cambria Math"/>
            <w:color w:val="44546A"/>
            <w:sz w:val="20"/>
            <w:szCs w:val="20"/>
          </w:rPr>
          <m:t xml:space="preserve">-equivalent </m:t>
        </m:r>
      </m:oMath>
      <w:r>
        <w:rPr>
          <w:rFonts w:ascii="Cambria Math" w:eastAsia="Cambria Math" w:hAnsi="Cambria Math" w:cs="Cambria Math"/>
          <w:color w:val="44546A"/>
          <w:sz w:val="20"/>
          <w:szCs w:val="20"/>
        </w:rPr>
        <w:t>)</w:t>
      </w:r>
    </w:p>
    <w:p w14:paraId="0FBF9313" w14:textId="5298EB18"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BE</m:t>
            </m:r>
          </m:e>
          <m:sub>
            <m:r>
              <w:rPr>
                <w:rFonts w:ascii="Cambria Math" w:eastAsia="Cambria Math" w:hAnsi="Cambria Math" w:cs="Cambria Math"/>
                <w:color w:val="44546A"/>
                <w:sz w:val="20"/>
                <w:szCs w:val="20"/>
              </w:rPr>
              <m:t xml:space="preserve"> </m:t>
            </m:r>
          </m:sub>
        </m:sSub>
      </m:oMath>
      <w:r>
        <w:rPr>
          <w:color w:val="44546A"/>
          <w:sz w:val="20"/>
          <w:szCs w:val="20"/>
        </w:rPr>
        <w:t xml:space="preserve">: Baseline reductions (tonnes of </w:t>
      </w: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CO</m:t>
            </m:r>
          </m:e>
          <m:sub>
            <m:r>
              <w:rPr>
                <w:rFonts w:ascii="Cambria Math" w:eastAsia="Cambria Math" w:hAnsi="Cambria Math" w:cs="Cambria Math"/>
                <w:color w:val="44546A"/>
                <w:sz w:val="20"/>
                <w:szCs w:val="20"/>
              </w:rPr>
              <m:t>2</m:t>
            </m:r>
          </m:sub>
        </m:sSub>
        <m:r>
          <w:rPr>
            <w:rFonts w:ascii="Cambria Math" w:eastAsia="Cambria Math" w:hAnsi="Cambria Math" w:cs="Cambria Math"/>
            <w:color w:val="44546A"/>
            <w:sz w:val="20"/>
            <w:szCs w:val="20"/>
          </w:rPr>
          <m:t xml:space="preserve">-equivalent </m:t>
        </m:r>
      </m:oMath>
      <w:r>
        <w:rPr>
          <w:rFonts w:ascii="Cambria Math" w:eastAsia="Cambria Math" w:hAnsi="Cambria Math" w:cs="Cambria Math"/>
          <w:color w:val="44546A"/>
          <w:sz w:val="20"/>
          <w:szCs w:val="20"/>
        </w:rPr>
        <w:t>)</w:t>
      </w:r>
    </w:p>
    <w:p w14:paraId="4379EF08" w14:textId="4F7FDDFF"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PE</m:t>
            </m:r>
          </m:e>
          <m:sub>
            <m:r>
              <w:rPr>
                <w:rFonts w:ascii="Cambria Math" w:eastAsia="Cambria Math" w:hAnsi="Cambria Math" w:cs="Cambria Math"/>
                <w:color w:val="44546A"/>
                <w:sz w:val="20"/>
                <w:szCs w:val="20"/>
              </w:rPr>
              <m:t xml:space="preserve"> </m:t>
            </m:r>
          </m:sub>
        </m:sSub>
        <m:r>
          <w:rPr>
            <w:rFonts w:ascii="Cambria Math" w:eastAsia="Cambria Math" w:hAnsi="Cambria Math" w:cs="Cambria Math"/>
            <w:color w:val="44546A"/>
            <w:sz w:val="20"/>
            <w:szCs w:val="20"/>
          </w:rPr>
          <m:t>:</m:t>
        </m:r>
      </m:oMath>
      <w:r>
        <w:rPr>
          <w:color w:val="44546A"/>
          <w:sz w:val="20"/>
          <w:szCs w:val="20"/>
        </w:rPr>
        <w:t xml:space="preserve"> Project emissions (tonnes of </w:t>
      </w: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CO</m:t>
            </m:r>
          </m:e>
          <m:sub>
            <m:r>
              <w:rPr>
                <w:rFonts w:ascii="Cambria Math" w:eastAsia="Cambria Math" w:hAnsi="Cambria Math" w:cs="Cambria Math"/>
                <w:color w:val="44546A"/>
                <w:sz w:val="20"/>
                <w:szCs w:val="20"/>
              </w:rPr>
              <m:t>2</m:t>
            </m:r>
          </m:sub>
        </m:sSub>
        <m:r>
          <w:rPr>
            <w:rFonts w:ascii="Cambria Math" w:eastAsia="Cambria Math" w:hAnsi="Cambria Math" w:cs="Cambria Math"/>
            <w:color w:val="44546A"/>
            <w:sz w:val="20"/>
            <w:szCs w:val="20"/>
          </w:rPr>
          <m:t xml:space="preserve">-equivalent </m:t>
        </m:r>
      </m:oMath>
      <w:r>
        <w:rPr>
          <w:rFonts w:ascii="Cambria Math" w:eastAsia="Cambria Math" w:hAnsi="Cambria Math" w:cs="Cambria Math"/>
          <w:color w:val="44546A"/>
          <w:sz w:val="20"/>
          <w:szCs w:val="20"/>
        </w:rPr>
        <w:t>)</w:t>
      </w:r>
    </w:p>
    <w:p w14:paraId="37D3E969" w14:textId="77777777"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LE</m:t>
            </m:r>
          </m:e>
          <m:sub>
            <m:r>
              <w:rPr>
                <w:rFonts w:ascii="Cambria Math" w:eastAsia="Cambria Math" w:hAnsi="Cambria Math" w:cs="Cambria Math"/>
                <w:color w:val="44546A"/>
                <w:sz w:val="20"/>
                <w:szCs w:val="20"/>
              </w:rPr>
              <m:t>p</m:t>
            </m:r>
          </m:sub>
        </m:sSub>
        <m:r>
          <w:rPr>
            <w:rFonts w:ascii="Cambria Math" w:eastAsia="Cambria Math" w:hAnsi="Cambria Math" w:cs="Cambria Math"/>
            <w:color w:val="44546A"/>
            <w:sz w:val="20"/>
            <w:szCs w:val="20"/>
          </w:rPr>
          <m:t>: </m:t>
        </m:r>
      </m:oMath>
      <w:r>
        <w:rPr>
          <w:color w:val="44546A"/>
          <w:sz w:val="20"/>
          <w:szCs w:val="20"/>
        </w:rPr>
        <w:t xml:space="preserve">Leakage emissions (tonnes of </w:t>
      </w: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CO</m:t>
            </m:r>
          </m:e>
          <m:sub>
            <m:r>
              <w:rPr>
                <w:rFonts w:ascii="Cambria Math" w:eastAsia="Cambria Math" w:hAnsi="Cambria Math" w:cs="Cambria Math"/>
                <w:color w:val="44546A"/>
                <w:sz w:val="20"/>
                <w:szCs w:val="20"/>
              </w:rPr>
              <m:t>2</m:t>
            </m:r>
          </m:sub>
        </m:sSub>
        <m:r>
          <w:rPr>
            <w:rFonts w:ascii="Cambria Math" w:eastAsia="Cambria Math" w:hAnsi="Cambria Math" w:cs="Cambria Math"/>
            <w:color w:val="44546A"/>
            <w:sz w:val="20"/>
            <w:szCs w:val="20"/>
          </w:rPr>
          <m:t xml:space="preserve">-equivalent) </m:t>
        </m:r>
      </m:oMath>
    </w:p>
    <w:p w14:paraId="57AE4360" w14:textId="022D3193"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EG</m:t>
            </m:r>
          </m:e>
          <m:sub>
            <m:r>
              <w:rPr>
                <w:rFonts w:ascii="Cambria Math" w:eastAsia="Cambria Math" w:hAnsi="Cambria Math" w:cs="Cambria Math"/>
                <w:color w:val="44546A"/>
                <w:sz w:val="20"/>
                <w:szCs w:val="20"/>
              </w:rPr>
              <m:t>p,useful,y</m:t>
            </m:r>
          </m:sub>
        </m:sSub>
      </m:oMath>
      <w:r>
        <w:rPr>
          <w:color w:val="44546A"/>
          <w:sz w:val="20"/>
          <w:szCs w:val="20"/>
        </w:rPr>
        <w:t xml:space="preserve">: The amount of useful energy applied in the </w:t>
      </w:r>
      <w:r w:rsidR="003C3E9E">
        <w:rPr>
          <w:color w:val="44546A"/>
          <w:sz w:val="20"/>
          <w:szCs w:val="20"/>
        </w:rPr>
        <w:t>project (</w:t>
      </w:r>
      <w:r>
        <w:rPr>
          <w:color w:val="44546A"/>
          <w:sz w:val="20"/>
          <w:szCs w:val="20"/>
        </w:rPr>
        <w:t>TJ)</w:t>
      </w:r>
    </w:p>
    <w:p w14:paraId="535B98BC" w14:textId="77777777"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EF</m:t>
            </m:r>
          </m:e>
          <m:sub>
            <m:r>
              <w:rPr>
                <w:rFonts w:ascii="Cambria Math" w:eastAsia="Cambria Math" w:hAnsi="Cambria Math" w:cs="Cambria Math"/>
                <w:color w:val="44546A"/>
                <w:sz w:val="20"/>
                <w:szCs w:val="20"/>
              </w:rPr>
              <m:t>b</m:t>
            </m:r>
          </m:sub>
        </m:sSub>
      </m:oMath>
      <w:r>
        <w:rPr>
          <w:color w:val="44546A"/>
          <w:sz w:val="20"/>
          <w:szCs w:val="20"/>
        </w:rPr>
        <w:t xml:space="preserve">: Baseline emission factor (tonnes of </w:t>
      </w: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CO</m:t>
            </m:r>
          </m:e>
          <m:sub>
            <m:r>
              <w:rPr>
                <w:rFonts w:ascii="Cambria Math" w:eastAsia="Cambria Math" w:hAnsi="Cambria Math" w:cs="Cambria Math"/>
                <w:color w:val="44546A"/>
                <w:sz w:val="20"/>
                <w:szCs w:val="20"/>
              </w:rPr>
              <m:t>2</m:t>
            </m:r>
          </m:sub>
        </m:sSub>
        <m:r>
          <w:rPr>
            <w:rFonts w:ascii="Cambria Math" w:eastAsia="Cambria Math" w:hAnsi="Cambria Math" w:cs="Cambria Math"/>
            <w:color w:val="44546A"/>
            <w:sz w:val="20"/>
            <w:szCs w:val="20"/>
          </w:rPr>
          <m:t xml:space="preserve">-equivalent </m:t>
        </m:r>
      </m:oMath>
      <w:r>
        <w:rPr>
          <w:rFonts w:ascii="Cambria Math" w:eastAsia="Cambria Math" w:hAnsi="Cambria Math" w:cs="Cambria Math"/>
          <w:color w:val="44546A"/>
          <w:sz w:val="20"/>
          <w:szCs w:val="20"/>
        </w:rPr>
        <w:t>per TJ</w:t>
      </w:r>
      <w:r>
        <w:rPr>
          <w:color w:val="44546A"/>
          <w:sz w:val="20"/>
          <w:szCs w:val="20"/>
        </w:rPr>
        <w:t xml:space="preserve"> of useful energy)</w:t>
      </w:r>
    </w:p>
    <w:p w14:paraId="7BFF3C7C" w14:textId="77777777" w:rsidR="000E5CD4" w:rsidRDefault="00000000">
      <w:pPr>
        <w:rPr>
          <w:rFonts w:ascii="Cambria Math" w:eastAsia="Cambria Math" w:hAnsi="Cambria Math" w:cs="Cambria Math"/>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P</m:t>
            </m:r>
          </m:e>
          <m:sub>
            <m:r>
              <w:rPr>
                <w:rFonts w:ascii="Cambria Math" w:eastAsia="Cambria Math" w:hAnsi="Cambria Math" w:cs="Cambria Math"/>
                <w:color w:val="44546A"/>
                <w:sz w:val="20"/>
                <w:szCs w:val="20"/>
              </w:rPr>
              <m:t>b,i,j</m:t>
            </m:r>
          </m:sub>
        </m:sSub>
        <m:r>
          <w:rPr>
            <w:rFonts w:ascii="Cambria Math" w:eastAsia="Cambria Math" w:hAnsi="Cambria Math" w:cs="Cambria Math"/>
            <w:color w:val="44546A"/>
            <w:sz w:val="20"/>
            <w:szCs w:val="20"/>
          </w:rPr>
          <m:t>:</m:t>
        </m:r>
      </m:oMath>
      <w:r>
        <w:rPr>
          <w:rFonts w:ascii="Cambria Math" w:eastAsia="Cambria Math" w:hAnsi="Cambria Math" w:cs="Cambria Math"/>
          <w:color w:val="44546A"/>
          <w:sz w:val="20"/>
          <w:szCs w:val="20"/>
        </w:rPr>
        <w:t xml:space="preserve"> Amount of baseline fuel (tonnes)</w:t>
      </w:r>
    </w:p>
    <w:p w14:paraId="09C0593C" w14:textId="77777777"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EF</m:t>
            </m:r>
          </m:e>
          <m:sub>
            <m:r>
              <w:rPr>
                <w:rFonts w:ascii="Cambria Math" w:eastAsia="Cambria Math" w:hAnsi="Cambria Math" w:cs="Cambria Math"/>
                <w:color w:val="44546A"/>
                <w:sz w:val="20"/>
                <w:szCs w:val="20"/>
              </w:rPr>
              <m:t>b,i</m:t>
            </m:r>
          </m:sub>
        </m:sSub>
      </m:oMath>
      <w:r>
        <w:rPr>
          <w:color w:val="44546A"/>
          <w:sz w:val="20"/>
          <w:szCs w:val="20"/>
        </w:rPr>
        <w:t xml:space="preserve">: Emission factor of the baseline fuel (tonnes of </w:t>
      </w: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CO</m:t>
            </m:r>
          </m:e>
          <m:sub>
            <m:r>
              <w:rPr>
                <w:rFonts w:ascii="Cambria Math" w:eastAsia="Cambria Math" w:hAnsi="Cambria Math" w:cs="Cambria Math"/>
                <w:color w:val="44546A"/>
                <w:sz w:val="20"/>
                <w:szCs w:val="20"/>
              </w:rPr>
              <m:t>2</m:t>
            </m:r>
          </m:sub>
        </m:sSub>
        <m:r>
          <w:rPr>
            <w:rFonts w:ascii="Cambria Math" w:eastAsia="Cambria Math" w:hAnsi="Cambria Math" w:cs="Cambria Math"/>
            <w:color w:val="44546A"/>
            <w:sz w:val="20"/>
            <w:szCs w:val="20"/>
          </w:rPr>
          <m:t xml:space="preserve">-equivalent </m:t>
        </m:r>
      </m:oMath>
      <w:r>
        <w:rPr>
          <w:rFonts w:ascii="Cambria Math" w:eastAsia="Cambria Math" w:hAnsi="Cambria Math" w:cs="Cambria Math"/>
          <w:color w:val="44546A"/>
          <w:sz w:val="20"/>
          <w:szCs w:val="20"/>
        </w:rPr>
        <w:t>per TJ)</w:t>
      </w:r>
    </w:p>
    <w:p w14:paraId="332C13C3" w14:textId="77777777"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f</m:t>
            </m:r>
          </m:e>
          <m:sub>
            <m:r>
              <w:rPr>
                <w:rFonts w:ascii="Cambria Math" w:eastAsia="Cambria Math" w:hAnsi="Cambria Math" w:cs="Cambria Math"/>
                <w:color w:val="44546A"/>
                <w:sz w:val="20"/>
                <w:szCs w:val="20"/>
              </w:rPr>
              <m:t>NRB, i</m:t>
            </m:r>
          </m:sub>
        </m:sSub>
        <m:r>
          <w:rPr>
            <w:rFonts w:ascii="Cambria Math" w:eastAsia="Cambria Math" w:hAnsi="Cambria Math" w:cs="Cambria Math"/>
            <w:color w:val="44546A"/>
            <w:sz w:val="20"/>
            <w:szCs w:val="20"/>
          </w:rPr>
          <m:t>:</m:t>
        </m:r>
      </m:oMath>
      <w:r>
        <w:rPr>
          <w:color w:val="44546A"/>
          <w:sz w:val="20"/>
          <w:szCs w:val="20"/>
        </w:rPr>
        <w:t xml:space="preserve"> fraction of non-renewable biomass fuel (%)</w:t>
      </w:r>
    </w:p>
    <w:p w14:paraId="3CFEE5D3" w14:textId="77777777"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NCV</m:t>
            </m:r>
          </m:e>
          <m:sub>
            <m:r>
              <w:rPr>
                <w:rFonts w:ascii="Cambria Math" w:eastAsia="Cambria Math" w:hAnsi="Cambria Math" w:cs="Cambria Math"/>
                <w:color w:val="44546A"/>
                <w:sz w:val="20"/>
                <w:szCs w:val="20"/>
              </w:rPr>
              <m:t> b or p,i</m:t>
            </m:r>
          </m:sub>
        </m:sSub>
      </m:oMath>
      <w:r>
        <w:rPr>
          <w:color w:val="44546A"/>
          <w:sz w:val="20"/>
          <w:szCs w:val="20"/>
        </w:rPr>
        <w:t>: The net calorific value of the fuel used in baseline or project scenario (TJ/tonne of fuel)</w:t>
      </w:r>
    </w:p>
    <w:p w14:paraId="19C39C28" w14:textId="425AD939"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hAnsi="Cambria Math"/>
              </w:rPr>
              <m:t>η</m:t>
            </m:r>
          </m:e>
          <m:sub>
            <m:r>
              <w:rPr>
                <w:rFonts w:ascii="Cambria Math" w:eastAsia="Cambria Math" w:hAnsi="Cambria Math" w:cs="Cambria Math"/>
                <w:color w:val="44546A"/>
                <w:sz w:val="20"/>
                <w:szCs w:val="20"/>
              </w:rPr>
              <m:t>b or p,d</m:t>
            </m:r>
          </m:sub>
        </m:sSub>
      </m:oMath>
      <w:r>
        <w:rPr>
          <w:color w:val="44546A"/>
          <w:sz w:val="20"/>
          <w:szCs w:val="20"/>
        </w:rPr>
        <w:t>: Efficiency of the baseline or project device (%)</w:t>
      </w:r>
    </w:p>
    <w:p w14:paraId="004A6F78" w14:textId="77777777"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EG</m:t>
            </m:r>
          </m:e>
          <m:sub>
            <m:r>
              <w:rPr>
                <w:rFonts w:ascii="Cambria Math" w:eastAsia="Cambria Math" w:hAnsi="Cambria Math" w:cs="Cambria Math"/>
                <w:color w:val="44546A"/>
                <w:sz w:val="20"/>
                <w:szCs w:val="20"/>
              </w:rPr>
              <m:t>p,d</m:t>
            </m:r>
          </m:sub>
        </m:sSub>
      </m:oMath>
      <w:r>
        <w:rPr>
          <w:color w:val="44546A"/>
          <w:sz w:val="20"/>
          <w:szCs w:val="20"/>
        </w:rPr>
        <w:t>: The amount of energy used in the project scenario (MWh)</w:t>
      </w:r>
    </w:p>
    <w:p w14:paraId="42A30644" w14:textId="24FF904F"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EF</m:t>
            </m:r>
          </m:e>
          <m:sub>
            <m:r>
              <w:rPr>
                <w:rFonts w:ascii="Cambria Math" w:eastAsia="Cambria Math" w:hAnsi="Cambria Math" w:cs="Cambria Math"/>
                <w:color w:val="44546A"/>
                <w:sz w:val="20"/>
                <w:szCs w:val="20"/>
              </w:rPr>
              <m:t>el</m:t>
            </m:r>
          </m:sub>
        </m:sSub>
      </m:oMath>
      <w:r>
        <w:rPr>
          <w:i/>
          <w:color w:val="44546A"/>
          <w:sz w:val="20"/>
          <w:szCs w:val="20"/>
        </w:rPr>
        <w:t xml:space="preserve">:  </w:t>
      </w:r>
      <w:r>
        <w:rPr>
          <w:color w:val="44546A"/>
          <w:sz w:val="20"/>
          <w:szCs w:val="20"/>
        </w:rPr>
        <w:t>The emissions factor of the electricity system (</w:t>
      </w:r>
      <w:r w:rsidR="003C3E9E">
        <w:rPr>
          <w:color w:val="44546A"/>
          <w:sz w:val="20"/>
          <w:szCs w:val="20"/>
        </w:rPr>
        <w:t>tonnes</w:t>
      </w:r>
      <w:r>
        <w:rPr>
          <w:color w:val="44546A"/>
          <w:sz w:val="20"/>
          <w:szCs w:val="20"/>
        </w:rPr>
        <w:t xml:space="preserve"> of </w:t>
      </w: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CO</m:t>
            </m:r>
          </m:e>
          <m:sub>
            <m:r>
              <w:rPr>
                <w:rFonts w:ascii="Cambria Math" w:eastAsia="Cambria Math" w:hAnsi="Cambria Math" w:cs="Cambria Math"/>
                <w:color w:val="44546A"/>
                <w:sz w:val="20"/>
                <w:szCs w:val="20"/>
              </w:rPr>
              <m:t>2</m:t>
            </m:r>
          </m:sub>
        </m:sSub>
        <m:r>
          <w:rPr>
            <w:rFonts w:ascii="Cambria Math" w:eastAsia="Cambria Math" w:hAnsi="Cambria Math" w:cs="Cambria Math"/>
            <w:color w:val="44546A"/>
            <w:sz w:val="20"/>
            <w:szCs w:val="20"/>
          </w:rPr>
          <m:t xml:space="preserve">-equivalent </m:t>
        </m:r>
      </m:oMath>
      <w:r>
        <w:rPr>
          <w:rFonts w:ascii="Cambria Math" w:eastAsia="Cambria Math" w:hAnsi="Cambria Math" w:cs="Cambria Math"/>
          <w:color w:val="44546A"/>
          <w:sz w:val="20"/>
          <w:szCs w:val="20"/>
        </w:rPr>
        <w:t>per MWh)</w:t>
      </w:r>
    </w:p>
    <w:p w14:paraId="033436F9" w14:textId="77777777"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TDL</m:t>
            </m:r>
          </m:e>
          <m:sub>
            <m:r>
              <w:rPr>
                <w:rFonts w:ascii="Cambria Math" w:eastAsia="Cambria Math" w:hAnsi="Cambria Math" w:cs="Cambria Math"/>
                <w:color w:val="44546A"/>
                <w:sz w:val="20"/>
                <w:szCs w:val="20"/>
              </w:rPr>
              <m:t>j</m:t>
            </m:r>
          </m:sub>
        </m:sSub>
      </m:oMath>
      <w:r>
        <w:rPr>
          <w:color w:val="44546A"/>
          <w:sz w:val="20"/>
          <w:szCs w:val="20"/>
        </w:rPr>
        <w:t>: Average technical transmission and distribution losses for providing electricity (%)</w:t>
      </w:r>
    </w:p>
    <w:p w14:paraId="052DAF46" w14:textId="77777777"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P</m:t>
            </m:r>
          </m:e>
          <m:sub>
            <m:r>
              <w:rPr>
                <w:rFonts w:ascii="Cambria Math" w:eastAsia="Cambria Math" w:hAnsi="Cambria Math" w:cs="Cambria Math"/>
                <w:color w:val="44546A"/>
                <w:sz w:val="20"/>
                <w:szCs w:val="20"/>
              </w:rPr>
              <m:t>p,d</m:t>
            </m:r>
          </m:sub>
        </m:sSub>
      </m:oMath>
      <w:r>
        <w:rPr>
          <w:color w:val="44546A"/>
          <w:sz w:val="20"/>
          <w:szCs w:val="20"/>
        </w:rPr>
        <w:t>: The amount of fuel used (mass or volume unit)</w:t>
      </w:r>
    </w:p>
    <w:p w14:paraId="44A9C87A" w14:textId="77777777" w:rsidR="000E5CD4" w:rsidRDefault="00000000">
      <w:pPr>
        <w:rPr>
          <w:color w:val="44546A"/>
          <w:sz w:val="20"/>
          <w:szCs w:val="20"/>
        </w:rPr>
      </w:pP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EF</m:t>
            </m:r>
          </m:e>
          <m:sub>
            <m:r>
              <w:rPr>
                <w:rFonts w:ascii="Cambria Math" w:eastAsia="Cambria Math" w:hAnsi="Cambria Math" w:cs="Cambria Math"/>
                <w:color w:val="44546A"/>
                <w:sz w:val="20"/>
                <w:szCs w:val="20"/>
              </w:rPr>
              <m:t>p,i</m:t>
            </m:r>
          </m:sub>
        </m:sSub>
      </m:oMath>
      <w:r>
        <w:rPr>
          <w:color w:val="44546A"/>
          <w:sz w:val="20"/>
          <w:szCs w:val="20"/>
        </w:rPr>
        <w:t xml:space="preserve">: The emission factor of the project fuel (tonnes of </w:t>
      </w:r>
      <m:oMath>
        <m:sSub>
          <m:sSubPr>
            <m:ctrlPr>
              <w:rPr>
                <w:rFonts w:ascii="Cambria Math" w:eastAsia="Cambria Math" w:hAnsi="Cambria Math" w:cs="Cambria Math"/>
                <w:color w:val="44546A"/>
                <w:sz w:val="20"/>
                <w:szCs w:val="20"/>
              </w:rPr>
            </m:ctrlPr>
          </m:sSubPr>
          <m:e>
            <m:r>
              <w:rPr>
                <w:rFonts w:ascii="Cambria Math" w:eastAsia="Cambria Math" w:hAnsi="Cambria Math" w:cs="Cambria Math"/>
                <w:color w:val="44546A"/>
                <w:sz w:val="20"/>
                <w:szCs w:val="20"/>
              </w:rPr>
              <m:t>CO</m:t>
            </m:r>
          </m:e>
          <m:sub>
            <m:r>
              <w:rPr>
                <w:rFonts w:ascii="Cambria Math" w:eastAsia="Cambria Math" w:hAnsi="Cambria Math" w:cs="Cambria Math"/>
                <w:color w:val="44546A"/>
                <w:sz w:val="20"/>
                <w:szCs w:val="20"/>
              </w:rPr>
              <m:t>2</m:t>
            </m:r>
          </m:sub>
        </m:sSub>
        <m:r>
          <w:rPr>
            <w:rFonts w:ascii="Cambria Math" w:eastAsia="Cambria Math" w:hAnsi="Cambria Math" w:cs="Cambria Math"/>
            <w:color w:val="44546A"/>
            <w:sz w:val="20"/>
            <w:szCs w:val="20"/>
          </w:rPr>
          <m:t xml:space="preserve">-equivalent </m:t>
        </m:r>
      </m:oMath>
      <w:r>
        <w:rPr>
          <w:rFonts w:ascii="Cambria Math" w:eastAsia="Cambria Math" w:hAnsi="Cambria Math" w:cs="Cambria Math"/>
          <w:color w:val="44546A"/>
          <w:sz w:val="20"/>
          <w:szCs w:val="20"/>
        </w:rPr>
        <w:t>per TJ)</w:t>
      </w:r>
    </w:p>
    <w:p w14:paraId="407CDC0F" w14:textId="77777777" w:rsidR="000E5CD4" w:rsidRDefault="000E5CD4">
      <w:pPr>
        <w:rPr>
          <w:color w:val="44546A"/>
          <w:sz w:val="20"/>
          <w:szCs w:val="20"/>
        </w:rPr>
      </w:pPr>
    </w:p>
    <w:p w14:paraId="1112FDA6" w14:textId="77777777" w:rsidR="000E5CD4" w:rsidRDefault="000E5CD4">
      <w:pPr>
        <w:rPr>
          <w:color w:val="44546A"/>
          <w:sz w:val="20"/>
          <w:szCs w:val="20"/>
        </w:rPr>
      </w:pPr>
    </w:p>
    <w:p w14:paraId="209986C0" w14:textId="77777777" w:rsidR="000E5CD4" w:rsidRDefault="00000000">
      <w:pPr>
        <w:rPr>
          <w:color w:val="44546A"/>
          <w:sz w:val="20"/>
          <w:szCs w:val="20"/>
        </w:rPr>
      </w:pPr>
      <w:r>
        <w:rPr>
          <w:b/>
          <w:color w:val="44546A"/>
          <w:sz w:val="20"/>
          <w:szCs w:val="20"/>
        </w:rPr>
        <w:t>Notes:</w:t>
      </w:r>
      <w:r>
        <w:rPr>
          <w:color w:val="44546A"/>
          <w:sz w:val="20"/>
          <w:szCs w:val="20"/>
        </w:rPr>
        <w:t xml:space="preserve"> GS Simplified, AMS II G, and AMS I E allow projects to determine saved (or substituted) biomass using a thermal energy output equation, kitchen performance test, water boil test, or controlled cooking test. For biomass pellets projects under GS Metered, the projects include project emissions from feedstock processing within leakage or an annual emission rate.</w:t>
      </w:r>
    </w:p>
    <w:p w14:paraId="3CD32521" w14:textId="77777777" w:rsidR="000E5CD4" w:rsidRDefault="000E5CD4">
      <w:pPr>
        <w:rPr>
          <w:color w:val="44546A"/>
          <w:sz w:val="20"/>
          <w:szCs w:val="20"/>
        </w:rPr>
      </w:pPr>
    </w:p>
    <w:p w14:paraId="0B44315E" w14:textId="77777777" w:rsidR="000E5CD4" w:rsidRDefault="00000000">
      <w:pPr>
        <w:rPr>
          <w:color w:val="44546A"/>
          <w:sz w:val="20"/>
          <w:szCs w:val="20"/>
        </w:rPr>
      </w:pPr>
      <w:r>
        <w:br w:type="page"/>
      </w:r>
    </w:p>
    <w:p w14:paraId="52269679" w14:textId="77777777" w:rsidR="000E5CD4" w:rsidRDefault="000E5CD4">
      <w:pPr>
        <w:rPr>
          <w:color w:val="44546A"/>
          <w:sz w:val="20"/>
          <w:szCs w:val="20"/>
        </w:rPr>
      </w:pPr>
    </w:p>
    <w:p w14:paraId="2D678A0F" w14:textId="77777777" w:rsidR="000E5CD4" w:rsidRDefault="000E5CD4">
      <w:pPr>
        <w:pBdr>
          <w:top w:val="nil"/>
          <w:left w:val="nil"/>
          <w:bottom w:val="nil"/>
          <w:right w:val="nil"/>
          <w:between w:val="nil"/>
        </w:pBdr>
        <w:ind w:left="720"/>
        <w:rPr>
          <w:b/>
          <w:sz w:val="20"/>
          <w:szCs w:val="20"/>
        </w:rPr>
      </w:pPr>
    </w:p>
    <w:p w14:paraId="78281CB7" w14:textId="77777777" w:rsidR="000E5CD4" w:rsidRDefault="00000000">
      <w:pPr>
        <w:pStyle w:val="Heading2"/>
        <w:numPr>
          <w:ilvl w:val="0"/>
          <w:numId w:val="4"/>
        </w:numPr>
      </w:pPr>
      <w:bookmarkStart w:id="1" w:name="_xq17pdjdprc" w:colFirst="0" w:colLast="0"/>
      <w:bookmarkEnd w:id="1"/>
      <w:r>
        <w:t>Projects Evaluated </w:t>
      </w:r>
    </w:p>
    <w:p w14:paraId="35E28C52" w14:textId="77777777" w:rsidR="000E5CD4" w:rsidRDefault="000E5CD4">
      <w:pPr>
        <w:spacing w:after="240"/>
        <w:rPr>
          <w:rFonts w:ascii="Times New Roman" w:eastAsia="Times New Roman" w:hAnsi="Times New Roman" w:cs="Times New Roman"/>
        </w:rPr>
      </w:pPr>
    </w:p>
    <w:p w14:paraId="4F2DF8BC" w14:textId="77777777" w:rsidR="000E5CD4" w:rsidRDefault="00000000">
      <w:pPr>
        <w:keepNext/>
        <w:pBdr>
          <w:top w:val="nil"/>
          <w:left w:val="nil"/>
          <w:bottom w:val="nil"/>
          <w:right w:val="nil"/>
          <w:between w:val="nil"/>
        </w:pBdr>
        <w:spacing w:after="200"/>
        <w:rPr>
          <w:i/>
          <w:color w:val="44546A"/>
          <w:sz w:val="18"/>
          <w:szCs w:val="18"/>
        </w:rPr>
      </w:pPr>
      <w:r>
        <w:rPr>
          <w:i/>
          <w:color w:val="44546A"/>
          <w:sz w:val="18"/>
          <w:szCs w:val="18"/>
        </w:rPr>
        <w:t>Table S 1. Projects in our sample</w:t>
      </w:r>
    </w:p>
    <w:tbl>
      <w:tblPr>
        <w:tblStyle w:val="a"/>
        <w:tblW w:w="9645" w:type="dxa"/>
        <w:tblInd w:w="-115" w:type="dxa"/>
        <w:tblLayout w:type="fixed"/>
        <w:tblLook w:val="0400" w:firstRow="0" w:lastRow="0" w:firstColumn="0" w:lastColumn="0" w:noHBand="0" w:noVBand="1"/>
      </w:tblPr>
      <w:tblGrid>
        <w:gridCol w:w="1140"/>
        <w:gridCol w:w="3540"/>
        <w:gridCol w:w="1125"/>
        <w:gridCol w:w="2235"/>
        <w:gridCol w:w="1605"/>
      </w:tblGrid>
      <w:tr w:rsidR="000E5CD4" w14:paraId="2633C0C3" w14:textId="77777777">
        <w:trPr>
          <w:trHeight w:val="320"/>
        </w:trPr>
        <w:tc>
          <w:tcPr>
            <w:tcW w:w="11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1AC210F" w14:textId="77777777" w:rsidR="000E5CD4" w:rsidRDefault="00000000">
            <w:pPr>
              <w:rPr>
                <w:rFonts w:ascii="Times New Roman" w:eastAsia="Times New Roman" w:hAnsi="Times New Roman" w:cs="Times New Roman"/>
              </w:rPr>
            </w:pPr>
            <w:r>
              <w:rPr>
                <w:color w:val="000000"/>
                <w:sz w:val="20"/>
                <w:szCs w:val="20"/>
              </w:rPr>
              <w:t>Project ID</w:t>
            </w:r>
          </w:p>
        </w:tc>
        <w:tc>
          <w:tcPr>
            <w:tcW w:w="35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37D1158" w14:textId="77777777" w:rsidR="000E5CD4" w:rsidRDefault="00000000">
            <w:pPr>
              <w:rPr>
                <w:rFonts w:ascii="Times New Roman" w:eastAsia="Times New Roman" w:hAnsi="Times New Roman" w:cs="Times New Roman"/>
              </w:rPr>
            </w:pPr>
            <w:r>
              <w:rPr>
                <w:color w:val="000000"/>
                <w:sz w:val="20"/>
                <w:szCs w:val="20"/>
              </w:rPr>
              <w:t>Project Name</w:t>
            </w:r>
          </w:p>
        </w:tc>
        <w:tc>
          <w:tcPr>
            <w:tcW w:w="112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00F2F17" w14:textId="77777777" w:rsidR="000E5CD4" w:rsidRDefault="00000000">
            <w:pPr>
              <w:rPr>
                <w:rFonts w:ascii="Times New Roman" w:eastAsia="Times New Roman" w:hAnsi="Times New Roman" w:cs="Times New Roman"/>
              </w:rPr>
            </w:pPr>
            <w:r>
              <w:rPr>
                <w:color w:val="000000"/>
                <w:sz w:val="20"/>
                <w:szCs w:val="20"/>
              </w:rPr>
              <w:t>Voluntary Registry</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18E6231" w14:textId="77777777" w:rsidR="000E5CD4" w:rsidRDefault="00000000">
            <w:pPr>
              <w:rPr>
                <w:rFonts w:ascii="Times New Roman" w:eastAsia="Times New Roman" w:hAnsi="Times New Roman" w:cs="Times New Roman"/>
              </w:rPr>
            </w:pPr>
            <w:r>
              <w:rPr>
                <w:color w:val="000000"/>
                <w:sz w:val="20"/>
                <w:szCs w:val="20"/>
              </w:rPr>
              <w:t xml:space="preserve">Methodology </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E59CDAB" w14:textId="77777777" w:rsidR="000E5CD4" w:rsidRDefault="00000000">
            <w:pPr>
              <w:rPr>
                <w:rFonts w:ascii="Times New Roman" w:eastAsia="Times New Roman" w:hAnsi="Times New Roman" w:cs="Times New Roman"/>
              </w:rPr>
            </w:pPr>
            <w:r>
              <w:rPr>
                <w:color w:val="000000"/>
                <w:sz w:val="20"/>
                <w:szCs w:val="20"/>
              </w:rPr>
              <w:t>Country</w:t>
            </w:r>
          </w:p>
        </w:tc>
      </w:tr>
      <w:tr w:rsidR="000E5CD4" w14:paraId="3DCCBAC9" w14:textId="77777777">
        <w:trPr>
          <w:trHeight w:val="320"/>
        </w:trPr>
        <w:tc>
          <w:tcPr>
            <w:tcW w:w="11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A76AFB0" w14:textId="77777777" w:rsidR="000E5CD4" w:rsidRDefault="00000000">
            <w:pPr>
              <w:rPr>
                <w:rFonts w:ascii="Times New Roman" w:eastAsia="Times New Roman" w:hAnsi="Times New Roman" w:cs="Times New Roman"/>
              </w:rPr>
            </w:pPr>
            <w:r>
              <w:rPr>
                <w:color w:val="000000"/>
                <w:sz w:val="20"/>
                <w:szCs w:val="20"/>
              </w:rPr>
              <w:t>GS447</w:t>
            </w:r>
          </w:p>
        </w:tc>
        <w:tc>
          <w:tcPr>
            <w:tcW w:w="35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63ECB48" w14:textId="77777777" w:rsidR="000E5CD4" w:rsidRDefault="00000000">
            <w:pPr>
              <w:rPr>
                <w:rFonts w:ascii="Times New Roman" w:eastAsia="Times New Roman" w:hAnsi="Times New Roman" w:cs="Times New Roman"/>
              </w:rPr>
            </w:pPr>
            <w:r>
              <w:rPr>
                <w:color w:val="000000"/>
                <w:sz w:val="20"/>
                <w:szCs w:val="20"/>
              </w:rPr>
              <w:t>Improved Cookstoves for Social Impact in Ugandan Communities</w:t>
            </w:r>
          </w:p>
        </w:tc>
        <w:tc>
          <w:tcPr>
            <w:tcW w:w="112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209428D" w14:textId="77777777" w:rsidR="000E5CD4" w:rsidRDefault="00000000">
            <w:pPr>
              <w:rPr>
                <w:rFonts w:ascii="Times New Roman" w:eastAsia="Times New Roman" w:hAnsi="Times New Roman" w:cs="Times New Roman"/>
              </w:rPr>
            </w:pPr>
            <w:r>
              <w:rPr>
                <w:color w:val="000000"/>
                <w:sz w:val="20"/>
                <w:szCs w:val="20"/>
              </w:rPr>
              <w:t>GOLD</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84AFA4E" w14:textId="38A8F785" w:rsidR="000E5CD4" w:rsidRDefault="00000000">
            <w:pPr>
              <w:rPr>
                <w:rFonts w:ascii="Times New Roman" w:eastAsia="Times New Roman" w:hAnsi="Times New Roman" w:cs="Times New Roman"/>
              </w:rPr>
            </w:pPr>
            <w:r>
              <w:rPr>
                <w:color w:val="000000"/>
                <w:sz w:val="20"/>
                <w:szCs w:val="20"/>
              </w:rPr>
              <w:t>GS Methodology for Improved Cook stoves and Kitchen Regimes v</w:t>
            </w:r>
            <w:r w:rsidR="003C3E9E">
              <w:rPr>
                <w:color w:val="000000"/>
                <w:sz w:val="20"/>
                <w:szCs w:val="20"/>
              </w:rPr>
              <w:t>2.</w:t>
            </w:r>
            <w:r w:rsidR="003C3E9E">
              <w:rPr>
                <w:sz w:val="20"/>
                <w:szCs w:val="20"/>
              </w:rPr>
              <w:t xml:space="preserve"> (</w:t>
            </w:r>
            <w:proofErr w:type="gramStart"/>
            <w:r>
              <w:rPr>
                <w:sz w:val="20"/>
                <w:szCs w:val="20"/>
              </w:rPr>
              <w:t>which</w:t>
            </w:r>
            <w:proofErr w:type="gramEnd"/>
            <w:r>
              <w:rPr>
                <w:sz w:val="20"/>
                <w:szCs w:val="20"/>
              </w:rPr>
              <w:t xml:space="preserve"> became GS TPDDTEC)</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F716F6E" w14:textId="77777777" w:rsidR="000E5CD4" w:rsidRDefault="00000000">
            <w:pPr>
              <w:rPr>
                <w:rFonts w:ascii="Times New Roman" w:eastAsia="Times New Roman" w:hAnsi="Times New Roman" w:cs="Times New Roman"/>
              </w:rPr>
            </w:pPr>
            <w:r>
              <w:rPr>
                <w:color w:val="000000"/>
                <w:sz w:val="20"/>
                <w:szCs w:val="20"/>
              </w:rPr>
              <w:t>Uganda</w:t>
            </w:r>
          </w:p>
        </w:tc>
      </w:tr>
      <w:tr w:rsidR="000E5CD4" w14:paraId="3EEA1CA6" w14:textId="77777777">
        <w:trPr>
          <w:trHeight w:val="320"/>
        </w:trPr>
        <w:tc>
          <w:tcPr>
            <w:tcW w:w="11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226732E" w14:textId="77777777" w:rsidR="000E5CD4" w:rsidRDefault="00000000">
            <w:pPr>
              <w:rPr>
                <w:rFonts w:ascii="Times New Roman" w:eastAsia="Times New Roman" w:hAnsi="Times New Roman" w:cs="Times New Roman"/>
              </w:rPr>
            </w:pPr>
            <w:r>
              <w:rPr>
                <w:color w:val="000000"/>
                <w:sz w:val="20"/>
                <w:szCs w:val="20"/>
              </w:rPr>
              <w:t>GS500</w:t>
            </w:r>
          </w:p>
        </w:tc>
        <w:tc>
          <w:tcPr>
            <w:tcW w:w="35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81D9476" w14:textId="77777777" w:rsidR="000E5CD4" w:rsidRDefault="00000000">
            <w:pPr>
              <w:rPr>
                <w:rFonts w:ascii="Times New Roman" w:eastAsia="Times New Roman" w:hAnsi="Times New Roman" w:cs="Times New Roman"/>
              </w:rPr>
            </w:pPr>
            <w:r>
              <w:rPr>
                <w:color w:val="000000"/>
                <w:sz w:val="20"/>
                <w:szCs w:val="20"/>
              </w:rPr>
              <w:t>Darfur Efficient Cook-stove Project</w:t>
            </w:r>
          </w:p>
        </w:tc>
        <w:tc>
          <w:tcPr>
            <w:tcW w:w="112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1D54A4F" w14:textId="77777777" w:rsidR="000E5CD4" w:rsidRDefault="00000000">
            <w:pPr>
              <w:rPr>
                <w:rFonts w:ascii="Times New Roman" w:eastAsia="Times New Roman" w:hAnsi="Times New Roman" w:cs="Times New Roman"/>
              </w:rPr>
            </w:pPr>
            <w:r>
              <w:rPr>
                <w:color w:val="000000"/>
                <w:sz w:val="20"/>
                <w:szCs w:val="20"/>
              </w:rPr>
              <w:t>GOLD</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E909190" w14:textId="75BFC66B" w:rsidR="000E5CD4" w:rsidRDefault="00000000">
            <w:pPr>
              <w:rPr>
                <w:rFonts w:ascii="Times New Roman" w:eastAsia="Times New Roman" w:hAnsi="Times New Roman" w:cs="Times New Roman"/>
              </w:rPr>
            </w:pPr>
            <w:r>
              <w:rPr>
                <w:color w:val="000000"/>
                <w:sz w:val="20"/>
                <w:szCs w:val="20"/>
              </w:rPr>
              <w:t>GS Methodology for Improved Cook stoves and Kitchen Regimes v1.</w:t>
            </w:r>
            <w:r w:rsidR="003C3E9E">
              <w:rPr>
                <w:color w:val="000000"/>
                <w:sz w:val="20"/>
                <w:szCs w:val="20"/>
              </w:rPr>
              <w:t xml:space="preserve"> </w:t>
            </w:r>
            <w:r>
              <w:rPr>
                <w:sz w:val="20"/>
                <w:szCs w:val="20"/>
              </w:rPr>
              <w:t>(</w:t>
            </w:r>
            <w:proofErr w:type="gramStart"/>
            <w:r>
              <w:rPr>
                <w:sz w:val="20"/>
                <w:szCs w:val="20"/>
              </w:rPr>
              <w:t>which</w:t>
            </w:r>
            <w:proofErr w:type="gramEnd"/>
            <w:r>
              <w:rPr>
                <w:sz w:val="20"/>
                <w:szCs w:val="20"/>
              </w:rPr>
              <w:t xml:space="preserve"> became GS TPDDTEC)</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B2D2B7C" w14:textId="77777777" w:rsidR="000E5CD4" w:rsidRDefault="00000000">
            <w:pPr>
              <w:rPr>
                <w:rFonts w:ascii="Times New Roman" w:eastAsia="Times New Roman" w:hAnsi="Times New Roman" w:cs="Times New Roman"/>
              </w:rPr>
            </w:pPr>
            <w:r>
              <w:rPr>
                <w:color w:val="000000"/>
                <w:sz w:val="20"/>
                <w:szCs w:val="20"/>
              </w:rPr>
              <w:t>Sudan</w:t>
            </w:r>
          </w:p>
        </w:tc>
      </w:tr>
      <w:tr w:rsidR="000E5CD4" w14:paraId="4DDDB1D7" w14:textId="77777777">
        <w:trPr>
          <w:trHeight w:val="320"/>
        </w:trPr>
        <w:tc>
          <w:tcPr>
            <w:tcW w:w="11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659D5A9" w14:textId="77777777" w:rsidR="000E5CD4" w:rsidRDefault="00000000">
            <w:pPr>
              <w:rPr>
                <w:rFonts w:ascii="Times New Roman" w:eastAsia="Times New Roman" w:hAnsi="Times New Roman" w:cs="Times New Roman"/>
              </w:rPr>
            </w:pPr>
            <w:r>
              <w:rPr>
                <w:color w:val="000000"/>
                <w:sz w:val="20"/>
                <w:szCs w:val="20"/>
              </w:rPr>
              <w:t>GS2564</w:t>
            </w:r>
          </w:p>
        </w:tc>
        <w:tc>
          <w:tcPr>
            <w:tcW w:w="35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F668791" w14:textId="77777777" w:rsidR="000E5CD4" w:rsidRDefault="00000000">
            <w:pPr>
              <w:rPr>
                <w:rFonts w:ascii="Times New Roman" w:eastAsia="Times New Roman" w:hAnsi="Times New Roman" w:cs="Times New Roman"/>
              </w:rPr>
            </w:pPr>
            <w:r>
              <w:rPr>
                <w:color w:val="000000"/>
                <w:sz w:val="20"/>
                <w:szCs w:val="20"/>
              </w:rPr>
              <w:t>Expanding access to LPG in Haiti through microfinance services</w:t>
            </w:r>
          </w:p>
        </w:tc>
        <w:tc>
          <w:tcPr>
            <w:tcW w:w="112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B6B90FB" w14:textId="77777777" w:rsidR="000E5CD4" w:rsidRDefault="00000000">
            <w:pPr>
              <w:rPr>
                <w:rFonts w:ascii="Times New Roman" w:eastAsia="Times New Roman" w:hAnsi="Times New Roman" w:cs="Times New Roman"/>
              </w:rPr>
            </w:pPr>
            <w:r>
              <w:rPr>
                <w:color w:val="000000"/>
                <w:sz w:val="20"/>
                <w:szCs w:val="20"/>
              </w:rPr>
              <w:t>GOLD</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8A5B5B7" w14:textId="77777777" w:rsidR="000E5CD4" w:rsidRDefault="00000000">
            <w:pPr>
              <w:rPr>
                <w:rFonts w:ascii="Times New Roman" w:eastAsia="Times New Roman" w:hAnsi="Times New Roman" w:cs="Times New Roman"/>
              </w:rPr>
            </w:pPr>
            <w:r>
              <w:rPr>
                <w:color w:val="000000"/>
                <w:sz w:val="20"/>
                <w:szCs w:val="20"/>
              </w:rPr>
              <w:t>GS TPDDTEC v 1.</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83900BA" w14:textId="77777777" w:rsidR="000E5CD4" w:rsidRDefault="00000000">
            <w:pPr>
              <w:rPr>
                <w:rFonts w:ascii="Times New Roman" w:eastAsia="Times New Roman" w:hAnsi="Times New Roman" w:cs="Times New Roman"/>
              </w:rPr>
            </w:pPr>
            <w:r>
              <w:rPr>
                <w:color w:val="000000"/>
                <w:sz w:val="20"/>
                <w:szCs w:val="20"/>
              </w:rPr>
              <w:t>Haiti</w:t>
            </w:r>
          </w:p>
        </w:tc>
      </w:tr>
      <w:tr w:rsidR="000E5CD4" w14:paraId="5D7CA3E6" w14:textId="77777777">
        <w:trPr>
          <w:trHeight w:val="320"/>
        </w:trPr>
        <w:tc>
          <w:tcPr>
            <w:tcW w:w="11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CFC6FE1" w14:textId="77777777" w:rsidR="000E5CD4" w:rsidRDefault="00000000">
            <w:pPr>
              <w:rPr>
                <w:rFonts w:ascii="Times New Roman" w:eastAsia="Times New Roman" w:hAnsi="Times New Roman" w:cs="Times New Roman"/>
              </w:rPr>
            </w:pPr>
            <w:r>
              <w:rPr>
                <w:color w:val="000000"/>
                <w:sz w:val="20"/>
                <w:szCs w:val="20"/>
              </w:rPr>
              <w:t>GS2094</w:t>
            </w:r>
          </w:p>
        </w:tc>
        <w:tc>
          <w:tcPr>
            <w:tcW w:w="35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B5CDE5D" w14:textId="77777777" w:rsidR="000E5CD4" w:rsidRDefault="00000000">
            <w:pPr>
              <w:rPr>
                <w:rFonts w:ascii="Times New Roman" w:eastAsia="Times New Roman" w:hAnsi="Times New Roman" w:cs="Times New Roman"/>
              </w:rPr>
            </w:pPr>
            <w:r>
              <w:rPr>
                <w:color w:val="000000"/>
                <w:sz w:val="20"/>
                <w:szCs w:val="20"/>
              </w:rPr>
              <w:t>GS1385 Man and Man Enterprise Improved Cooking Stoves Programme in Ghana - VPA001</w:t>
            </w:r>
          </w:p>
        </w:tc>
        <w:tc>
          <w:tcPr>
            <w:tcW w:w="112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4CB3E2D" w14:textId="77777777" w:rsidR="000E5CD4" w:rsidRDefault="00000000">
            <w:pPr>
              <w:rPr>
                <w:rFonts w:ascii="Times New Roman" w:eastAsia="Times New Roman" w:hAnsi="Times New Roman" w:cs="Times New Roman"/>
              </w:rPr>
            </w:pPr>
            <w:r>
              <w:rPr>
                <w:color w:val="000000"/>
                <w:sz w:val="20"/>
                <w:szCs w:val="20"/>
              </w:rPr>
              <w:t>GOLD</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41CF428" w14:textId="77777777" w:rsidR="000E5CD4" w:rsidRDefault="00000000">
            <w:pPr>
              <w:rPr>
                <w:rFonts w:ascii="Times New Roman" w:eastAsia="Times New Roman" w:hAnsi="Times New Roman" w:cs="Times New Roman"/>
              </w:rPr>
            </w:pPr>
            <w:r>
              <w:rPr>
                <w:color w:val="000000"/>
                <w:sz w:val="20"/>
                <w:szCs w:val="20"/>
              </w:rPr>
              <w:t>AMS-II.G. Energy Efficiency Measures in Thermal Applications of Non-Renewable Biomass v</w:t>
            </w:r>
            <w:r>
              <w:rPr>
                <w:sz w:val="20"/>
                <w:szCs w:val="20"/>
              </w:rPr>
              <w:t>.5</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5CF51A9" w14:textId="77777777" w:rsidR="000E5CD4" w:rsidRDefault="00000000">
            <w:pPr>
              <w:rPr>
                <w:rFonts w:ascii="Times New Roman" w:eastAsia="Times New Roman" w:hAnsi="Times New Roman" w:cs="Times New Roman"/>
              </w:rPr>
            </w:pPr>
            <w:r>
              <w:rPr>
                <w:color w:val="000000"/>
                <w:sz w:val="20"/>
                <w:szCs w:val="20"/>
              </w:rPr>
              <w:t>Ghana</w:t>
            </w:r>
          </w:p>
        </w:tc>
      </w:tr>
      <w:tr w:rsidR="000E5CD4" w14:paraId="00EFAC1C" w14:textId="77777777">
        <w:trPr>
          <w:trHeight w:val="320"/>
        </w:trPr>
        <w:tc>
          <w:tcPr>
            <w:tcW w:w="11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1A890CA" w14:textId="77777777" w:rsidR="000E5CD4" w:rsidRDefault="00000000">
            <w:pPr>
              <w:rPr>
                <w:rFonts w:ascii="Times New Roman" w:eastAsia="Times New Roman" w:hAnsi="Times New Roman" w:cs="Times New Roman"/>
              </w:rPr>
            </w:pPr>
            <w:r>
              <w:rPr>
                <w:color w:val="000000"/>
                <w:sz w:val="20"/>
                <w:szCs w:val="20"/>
              </w:rPr>
              <w:t>VCS1719</w:t>
            </w:r>
          </w:p>
        </w:tc>
        <w:tc>
          <w:tcPr>
            <w:tcW w:w="35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AC74DE2" w14:textId="77777777" w:rsidR="000E5CD4" w:rsidRDefault="00000000">
            <w:pPr>
              <w:rPr>
                <w:rFonts w:ascii="Times New Roman" w:eastAsia="Times New Roman" w:hAnsi="Times New Roman" w:cs="Times New Roman"/>
              </w:rPr>
            </w:pPr>
            <w:r>
              <w:rPr>
                <w:color w:val="000000"/>
                <w:sz w:val="20"/>
                <w:szCs w:val="20"/>
              </w:rPr>
              <w:t>Improved Cookstoves Project for Malawi and cross-border regions of Mozambique CPA MAL  005</w:t>
            </w:r>
          </w:p>
        </w:tc>
        <w:tc>
          <w:tcPr>
            <w:tcW w:w="112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B0388EE" w14:textId="77777777" w:rsidR="000E5CD4" w:rsidRDefault="00000000">
            <w:pPr>
              <w:rPr>
                <w:rFonts w:ascii="Times New Roman" w:eastAsia="Times New Roman" w:hAnsi="Times New Roman" w:cs="Times New Roman"/>
              </w:rPr>
            </w:pPr>
            <w:r>
              <w:rPr>
                <w:color w:val="000000"/>
                <w:sz w:val="20"/>
                <w:szCs w:val="20"/>
              </w:rPr>
              <w:t>VCS</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1A8E448" w14:textId="77777777" w:rsidR="000E5CD4" w:rsidRDefault="00000000">
            <w:pPr>
              <w:rPr>
                <w:rFonts w:ascii="Times New Roman" w:eastAsia="Times New Roman" w:hAnsi="Times New Roman" w:cs="Times New Roman"/>
              </w:rPr>
            </w:pPr>
            <w:r>
              <w:rPr>
                <w:color w:val="000000"/>
                <w:sz w:val="20"/>
                <w:szCs w:val="20"/>
              </w:rPr>
              <w:t>AMS-II.G. v.5</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74A857B" w14:textId="77777777" w:rsidR="000E5CD4" w:rsidRDefault="00000000">
            <w:pPr>
              <w:rPr>
                <w:rFonts w:ascii="Times New Roman" w:eastAsia="Times New Roman" w:hAnsi="Times New Roman" w:cs="Times New Roman"/>
              </w:rPr>
            </w:pPr>
            <w:r>
              <w:rPr>
                <w:color w:val="000000"/>
                <w:sz w:val="20"/>
                <w:szCs w:val="20"/>
              </w:rPr>
              <w:t>Malawi</w:t>
            </w:r>
          </w:p>
        </w:tc>
      </w:tr>
      <w:tr w:rsidR="000E5CD4" w14:paraId="61E0EC81" w14:textId="77777777">
        <w:trPr>
          <w:trHeight w:val="320"/>
        </w:trPr>
        <w:tc>
          <w:tcPr>
            <w:tcW w:w="11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5AA5B5C" w14:textId="77777777" w:rsidR="000E5CD4" w:rsidRDefault="00000000">
            <w:pPr>
              <w:rPr>
                <w:rFonts w:ascii="Times New Roman" w:eastAsia="Times New Roman" w:hAnsi="Times New Roman" w:cs="Times New Roman"/>
              </w:rPr>
            </w:pPr>
            <w:r>
              <w:rPr>
                <w:color w:val="000000"/>
                <w:sz w:val="20"/>
                <w:szCs w:val="20"/>
              </w:rPr>
              <w:t>VCS1721</w:t>
            </w:r>
          </w:p>
        </w:tc>
        <w:tc>
          <w:tcPr>
            <w:tcW w:w="35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37F79D7" w14:textId="452C8136" w:rsidR="000E5CD4" w:rsidRDefault="00000000">
            <w:pPr>
              <w:rPr>
                <w:rFonts w:ascii="Times New Roman" w:eastAsia="Times New Roman" w:hAnsi="Times New Roman" w:cs="Times New Roman"/>
              </w:rPr>
            </w:pPr>
            <w:r>
              <w:rPr>
                <w:color w:val="000000"/>
                <w:sz w:val="20"/>
                <w:szCs w:val="20"/>
              </w:rPr>
              <w:t>ONIL Stoves Guatemala Uspantan</w:t>
            </w:r>
          </w:p>
        </w:tc>
        <w:tc>
          <w:tcPr>
            <w:tcW w:w="112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C7212E3" w14:textId="77777777" w:rsidR="000E5CD4" w:rsidRDefault="00000000">
            <w:pPr>
              <w:rPr>
                <w:rFonts w:ascii="Times New Roman" w:eastAsia="Times New Roman" w:hAnsi="Times New Roman" w:cs="Times New Roman"/>
              </w:rPr>
            </w:pPr>
            <w:r>
              <w:rPr>
                <w:color w:val="000000"/>
                <w:sz w:val="20"/>
                <w:szCs w:val="20"/>
              </w:rPr>
              <w:t>VCS</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F4B9111" w14:textId="77777777" w:rsidR="000E5CD4" w:rsidRDefault="00000000">
            <w:pPr>
              <w:rPr>
                <w:rFonts w:ascii="Times New Roman" w:eastAsia="Times New Roman" w:hAnsi="Times New Roman" w:cs="Times New Roman"/>
              </w:rPr>
            </w:pPr>
            <w:r>
              <w:rPr>
                <w:color w:val="000000"/>
                <w:sz w:val="20"/>
                <w:szCs w:val="20"/>
              </w:rPr>
              <w:t>AMS-II.G. v</w:t>
            </w:r>
            <w:r>
              <w:rPr>
                <w:sz w:val="20"/>
                <w:szCs w:val="20"/>
              </w:rPr>
              <w:t>3</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10903BB" w14:textId="77777777" w:rsidR="000E5CD4" w:rsidRDefault="00000000">
            <w:pPr>
              <w:rPr>
                <w:rFonts w:ascii="Times New Roman" w:eastAsia="Times New Roman" w:hAnsi="Times New Roman" w:cs="Times New Roman"/>
              </w:rPr>
            </w:pPr>
            <w:r>
              <w:rPr>
                <w:color w:val="000000"/>
                <w:sz w:val="20"/>
                <w:szCs w:val="20"/>
              </w:rPr>
              <w:t>Guatemala</w:t>
            </w:r>
          </w:p>
        </w:tc>
      </w:tr>
      <w:tr w:rsidR="000E5CD4" w14:paraId="220F2C6C" w14:textId="77777777">
        <w:trPr>
          <w:trHeight w:val="320"/>
        </w:trPr>
        <w:tc>
          <w:tcPr>
            <w:tcW w:w="11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CDE0D53" w14:textId="77777777" w:rsidR="000E5CD4" w:rsidRDefault="00000000">
            <w:pPr>
              <w:rPr>
                <w:rFonts w:ascii="Times New Roman" w:eastAsia="Times New Roman" w:hAnsi="Times New Roman" w:cs="Times New Roman"/>
              </w:rPr>
            </w:pPr>
            <w:r>
              <w:rPr>
                <w:color w:val="000000"/>
                <w:sz w:val="20"/>
                <w:szCs w:val="20"/>
              </w:rPr>
              <w:t>VCS1216</w:t>
            </w:r>
          </w:p>
        </w:tc>
        <w:tc>
          <w:tcPr>
            <w:tcW w:w="35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DB1D150" w14:textId="77777777" w:rsidR="000E5CD4" w:rsidRDefault="00000000">
            <w:pPr>
              <w:rPr>
                <w:rFonts w:ascii="Times New Roman" w:eastAsia="Times New Roman" w:hAnsi="Times New Roman" w:cs="Times New Roman"/>
              </w:rPr>
            </w:pPr>
            <w:r>
              <w:rPr>
                <w:color w:val="000000"/>
                <w:sz w:val="20"/>
                <w:szCs w:val="20"/>
              </w:rPr>
              <w:t>Distribution of ONIL Stoves - Mexico</w:t>
            </w:r>
          </w:p>
        </w:tc>
        <w:tc>
          <w:tcPr>
            <w:tcW w:w="112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9B7D1B0" w14:textId="77777777" w:rsidR="000E5CD4" w:rsidRDefault="00000000">
            <w:pPr>
              <w:rPr>
                <w:rFonts w:ascii="Times New Roman" w:eastAsia="Times New Roman" w:hAnsi="Times New Roman" w:cs="Times New Roman"/>
              </w:rPr>
            </w:pPr>
            <w:r>
              <w:rPr>
                <w:color w:val="000000"/>
                <w:sz w:val="20"/>
                <w:szCs w:val="20"/>
              </w:rPr>
              <w:t>VCS</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BF42ECB" w14:textId="77777777" w:rsidR="000E5CD4" w:rsidRDefault="00000000">
            <w:pPr>
              <w:rPr>
                <w:rFonts w:ascii="Times New Roman" w:eastAsia="Times New Roman" w:hAnsi="Times New Roman" w:cs="Times New Roman"/>
              </w:rPr>
            </w:pPr>
            <w:r>
              <w:rPr>
                <w:color w:val="000000"/>
                <w:sz w:val="20"/>
                <w:szCs w:val="20"/>
              </w:rPr>
              <w:t>AMS-II.G. v3</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1B40420" w14:textId="77777777" w:rsidR="000E5CD4" w:rsidRDefault="00000000">
            <w:pPr>
              <w:rPr>
                <w:rFonts w:ascii="Times New Roman" w:eastAsia="Times New Roman" w:hAnsi="Times New Roman" w:cs="Times New Roman"/>
              </w:rPr>
            </w:pPr>
            <w:r>
              <w:rPr>
                <w:color w:val="000000"/>
                <w:sz w:val="20"/>
                <w:szCs w:val="20"/>
              </w:rPr>
              <w:t>Mexico</w:t>
            </w:r>
          </w:p>
        </w:tc>
      </w:tr>
      <w:tr w:rsidR="000E5CD4" w14:paraId="76521BF1" w14:textId="77777777">
        <w:trPr>
          <w:trHeight w:val="320"/>
        </w:trPr>
        <w:tc>
          <w:tcPr>
            <w:tcW w:w="11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B27FB2F" w14:textId="77777777" w:rsidR="000E5CD4" w:rsidRDefault="00000000">
            <w:pPr>
              <w:rPr>
                <w:rFonts w:ascii="Times New Roman" w:eastAsia="Times New Roman" w:hAnsi="Times New Roman" w:cs="Times New Roman"/>
              </w:rPr>
            </w:pPr>
            <w:r>
              <w:rPr>
                <w:color w:val="000000"/>
                <w:sz w:val="20"/>
                <w:szCs w:val="20"/>
              </w:rPr>
              <w:t>GS10974</w:t>
            </w:r>
          </w:p>
        </w:tc>
        <w:tc>
          <w:tcPr>
            <w:tcW w:w="35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7DC0CA6" w14:textId="5765C191" w:rsidR="000E5CD4" w:rsidRDefault="00000000">
            <w:pPr>
              <w:rPr>
                <w:rFonts w:ascii="Times New Roman" w:eastAsia="Times New Roman" w:hAnsi="Times New Roman" w:cs="Times New Roman"/>
              </w:rPr>
            </w:pPr>
            <w:r>
              <w:rPr>
                <w:color w:val="000000"/>
                <w:sz w:val="20"/>
                <w:szCs w:val="20"/>
              </w:rPr>
              <w:t>Improved Cooking Stoves in Bangladesh “CPA No.12 SZ Consultancy Services Ltd.</w:t>
            </w:r>
          </w:p>
        </w:tc>
        <w:tc>
          <w:tcPr>
            <w:tcW w:w="112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FDDF63A" w14:textId="77777777" w:rsidR="000E5CD4" w:rsidRDefault="00000000">
            <w:pPr>
              <w:rPr>
                <w:rFonts w:ascii="Times New Roman" w:eastAsia="Times New Roman" w:hAnsi="Times New Roman" w:cs="Times New Roman"/>
              </w:rPr>
            </w:pPr>
            <w:r>
              <w:rPr>
                <w:color w:val="000000"/>
                <w:sz w:val="20"/>
                <w:szCs w:val="20"/>
              </w:rPr>
              <w:t>GOLD</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13BD235" w14:textId="77777777" w:rsidR="000E5CD4" w:rsidRDefault="00000000">
            <w:pPr>
              <w:rPr>
                <w:rFonts w:ascii="Times New Roman" w:eastAsia="Times New Roman" w:hAnsi="Times New Roman" w:cs="Times New Roman"/>
              </w:rPr>
            </w:pPr>
            <w:r>
              <w:rPr>
                <w:color w:val="000000"/>
                <w:sz w:val="20"/>
                <w:szCs w:val="20"/>
              </w:rPr>
              <w:t>AMS-II.G. Energy Efficiency Measures in Thermal Applications of Non-Renewable Biomass v.3</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EFC0B81" w14:textId="77777777" w:rsidR="000E5CD4" w:rsidRDefault="00000000">
            <w:pPr>
              <w:rPr>
                <w:rFonts w:ascii="Times New Roman" w:eastAsia="Times New Roman" w:hAnsi="Times New Roman" w:cs="Times New Roman"/>
              </w:rPr>
            </w:pPr>
            <w:r>
              <w:rPr>
                <w:color w:val="000000"/>
                <w:sz w:val="20"/>
                <w:szCs w:val="20"/>
              </w:rPr>
              <w:t>Bangladesh</w:t>
            </w:r>
          </w:p>
        </w:tc>
      </w:tr>
      <w:tr w:rsidR="000E5CD4" w14:paraId="41EAB196" w14:textId="77777777">
        <w:trPr>
          <w:trHeight w:val="320"/>
        </w:trPr>
        <w:tc>
          <w:tcPr>
            <w:tcW w:w="11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706E2B6" w14:textId="77777777" w:rsidR="000E5CD4" w:rsidRDefault="00000000">
            <w:pPr>
              <w:rPr>
                <w:rFonts w:ascii="Times New Roman" w:eastAsia="Times New Roman" w:hAnsi="Times New Roman" w:cs="Times New Roman"/>
              </w:rPr>
            </w:pPr>
            <w:r>
              <w:rPr>
                <w:color w:val="000000"/>
                <w:sz w:val="20"/>
                <w:szCs w:val="20"/>
              </w:rPr>
              <w:t>GS10884</w:t>
            </w:r>
          </w:p>
        </w:tc>
        <w:tc>
          <w:tcPr>
            <w:tcW w:w="35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E344B30" w14:textId="77777777" w:rsidR="000E5CD4" w:rsidRDefault="00000000">
            <w:pPr>
              <w:rPr>
                <w:rFonts w:ascii="Times New Roman" w:eastAsia="Times New Roman" w:hAnsi="Times New Roman" w:cs="Times New Roman"/>
              </w:rPr>
            </w:pPr>
            <w:r>
              <w:rPr>
                <w:color w:val="000000"/>
                <w:sz w:val="20"/>
                <w:szCs w:val="20"/>
              </w:rPr>
              <w:t>KOKO Kenya - Ethanol Cookstoves Program</w:t>
            </w:r>
          </w:p>
        </w:tc>
        <w:tc>
          <w:tcPr>
            <w:tcW w:w="112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7355FEE" w14:textId="77777777" w:rsidR="000E5CD4" w:rsidRDefault="00000000">
            <w:pPr>
              <w:rPr>
                <w:rFonts w:ascii="Times New Roman" w:eastAsia="Times New Roman" w:hAnsi="Times New Roman" w:cs="Times New Roman"/>
              </w:rPr>
            </w:pPr>
            <w:r>
              <w:rPr>
                <w:color w:val="000000"/>
                <w:sz w:val="20"/>
                <w:szCs w:val="20"/>
              </w:rPr>
              <w:t>GOLD</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5AE1218" w14:textId="77777777" w:rsidR="000E5CD4" w:rsidRDefault="00000000">
            <w:pPr>
              <w:rPr>
                <w:rFonts w:ascii="Times New Roman" w:eastAsia="Times New Roman" w:hAnsi="Times New Roman" w:cs="Times New Roman"/>
              </w:rPr>
            </w:pPr>
            <w:r>
              <w:rPr>
                <w:color w:val="000000"/>
                <w:sz w:val="20"/>
                <w:szCs w:val="20"/>
              </w:rPr>
              <w:t>AMS-I.E. Switch from Non-Renewable Biomass for Thermal Applications by the User v</w:t>
            </w:r>
            <w:r>
              <w:rPr>
                <w:sz w:val="20"/>
                <w:szCs w:val="20"/>
              </w:rPr>
              <w:t>9</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1F8D407" w14:textId="77777777" w:rsidR="000E5CD4" w:rsidRDefault="00000000">
            <w:pPr>
              <w:rPr>
                <w:rFonts w:ascii="Times New Roman" w:eastAsia="Times New Roman" w:hAnsi="Times New Roman" w:cs="Times New Roman"/>
              </w:rPr>
            </w:pPr>
            <w:r>
              <w:rPr>
                <w:color w:val="000000"/>
                <w:sz w:val="20"/>
                <w:szCs w:val="20"/>
              </w:rPr>
              <w:t>Kenya</w:t>
            </w:r>
          </w:p>
        </w:tc>
      </w:tr>
      <w:tr w:rsidR="000E5CD4" w14:paraId="5A8EDD05" w14:textId="77777777">
        <w:trPr>
          <w:trHeight w:val="320"/>
        </w:trPr>
        <w:tc>
          <w:tcPr>
            <w:tcW w:w="11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3ABA54E" w14:textId="77777777" w:rsidR="000E5CD4" w:rsidRDefault="00000000">
            <w:pPr>
              <w:rPr>
                <w:rFonts w:ascii="Times New Roman" w:eastAsia="Times New Roman" w:hAnsi="Times New Roman" w:cs="Times New Roman"/>
              </w:rPr>
            </w:pPr>
            <w:r>
              <w:rPr>
                <w:color w:val="000000"/>
                <w:sz w:val="20"/>
                <w:szCs w:val="20"/>
              </w:rPr>
              <w:t>GS7312</w:t>
            </w:r>
          </w:p>
        </w:tc>
        <w:tc>
          <w:tcPr>
            <w:tcW w:w="35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AF17BB3" w14:textId="77777777" w:rsidR="000E5CD4" w:rsidRDefault="00000000">
            <w:pPr>
              <w:rPr>
                <w:rFonts w:ascii="Times New Roman" w:eastAsia="Times New Roman" w:hAnsi="Times New Roman" w:cs="Times New Roman"/>
              </w:rPr>
            </w:pPr>
            <w:r>
              <w:rPr>
                <w:color w:val="000000"/>
                <w:sz w:val="20"/>
                <w:szCs w:val="20"/>
              </w:rPr>
              <w:t>Promoting Improved Cooking practices in Nigeria</w:t>
            </w:r>
          </w:p>
        </w:tc>
        <w:tc>
          <w:tcPr>
            <w:tcW w:w="112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D235E1E" w14:textId="77777777" w:rsidR="000E5CD4" w:rsidRDefault="00000000">
            <w:pPr>
              <w:rPr>
                <w:rFonts w:ascii="Times New Roman" w:eastAsia="Times New Roman" w:hAnsi="Times New Roman" w:cs="Times New Roman"/>
              </w:rPr>
            </w:pPr>
            <w:r>
              <w:rPr>
                <w:color w:val="000000"/>
                <w:sz w:val="20"/>
                <w:szCs w:val="20"/>
              </w:rPr>
              <w:t>GOLD</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0DE6171" w14:textId="77777777" w:rsidR="000E5CD4" w:rsidRDefault="00000000">
            <w:pPr>
              <w:rPr>
                <w:rFonts w:ascii="Times New Roman" w:eastAsia="Times New Roman" w:hAnsi="Times New Roman" w:cs="Times New Roman"/>
              </w:rPr>
            </w:pPr>
            <w:r>
              <w:rPr>
                <w:color w:val="000000"/>
                <w:sz w:val="20"/>
                <w:szCs w:val="20"/>
              </w:rPr>
              <w:t>GS TPDDTEC v3.1</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E4CFCE6" w14:textId="77777777" w:rsidR="000E5CD4" w:rsidRDefault="00000000">
            <w:pPr>
              <w:rPr>
                <w:rFonts w:ascii="Times New Roman" w:eastAsia="Times New Roman" w:hAnsi="Times New Roman" w:cs="Times New Roman"/>
              </w:rPr>
            </w:pPr>
            <w:r>
              <w:rPr>
                <w:color w:val="000000"/>
                <w:sz w:val="20"/>
                <w:szCs w:val="20"/>
              </w:rPr>
              <w:t>Nigeria</w:t>
            </w:r>
          </w:p>
        </w:tc>
      </w:tr>
      <w:tr w:rsidR="000E5CD4" w14:paraId="31B9F656" w14:textId="77777777">
        <w:trPr>
          <w:trHeight w:val="320"/>
        </w:trPr>
        <w:tc>
          <w:tcPr>
            <w:tcW w:w="11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5C1DE03" w14:textId="77777777" w:rsidR="000E5CD4" w:rsidRDefault="00000000">
            <w:pPr>
              <w:rPr>
                <w:rFonts w:ascii="Times New Roman" w:eastAsia="Times New Roman" w:hAnsi="Times New Roman" w:cs="Times New Roman"/>
              </w:rPr>
            </w:pPr>
            <w:r>
              <w:rPr>
                <w:color w:val="000000"/>
                <w:sz w:val="20"/>
                <w:szCs w:val="20"/>
              </w:rPr>
              <w:t>GS7438</w:t>
            </w:r>
          </w:p>
        </w:tc>
        <w:tc>
          <w:tcPr>
            <w:tcW w:w="35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96EE0B8" w14:textId="77777777" w:rsidR="000E5CD4" w:rsidRDefault="00000000">
            <w:pPr>
              <w:rPr>
                <w:rFonts w:ascii="Times New Roman" w:eastAsia="Times New Roman" w:hAnsi="Times New Roman" w:cs="Times New Roman"/>
              </w:rPr>
            </w:pPr>
            <w:r>
              <w:rPr>
                <w:color w:val="000000"/>
                <w:sz w:val="20"/>
                <w:szCs w:val="20"/>
              </w:rPr>
              <w:t xml:space="preserve">Improved Cookstove Project </w:t>
            </w:r>
            <w:proofErr w:type="gramStart"/>
            <w:r>
              <w:rPr>
                <w:color w:val="000000"/>
                <w:sz w:val="20"/>
                <w:szCs w:val="20"/>
              </w:rPr>
              <w:t>In</w:t>
            </w:r>
            <w:proofErr w:type="gramEnd"/>
            <w:r>
              <w:rPr>
                <w:color w:val="000000"/>
                <w:sz w:val="20"/>
                <w:szCs w:val="20"/>
              </w:rPr>
              <w:t xml:space="preserve"> Uganda</w:t>
            </w:r>
          </w:p>
        </w:tc>
        <w:tc>
          <w:tcPr>
            <w:tcW w:w="112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DAFE58F" w14:textId="77777777" w:rsidR="000E5CD4" w:rsidRDefault="00000000">
            <w:pPr>
              <w:rPr>
                <w:rFonts w:ascii="Times New Roman" w:eastAsia="Times New Roman" w:hAnsi="Times New Roman" w:cs="Times New Roman"/>
              </w:rPr>
            </w:pPr>
            <w:r>
              <w:rPr>
                <w:color w:val="000000"/>
                <w:sz w:val="20"/>
                <w:szCs w:val="20"/>
              </w:rPr>
              <w:t>GOLD</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0067C4F" w14:textId="77E44A77" w:rsidR="000E5CD4" w:rsidRDefault="00000000">
            <w:pPr>
              <w:rPr>
                <w:rFonts w:ascii="Times New Roman" w:eastAsia="Times New Roman" w:hAnsi="Times New Roman" w:cs="Times New Roman"/>
              </w:rPr>
            </w:pPr>
            <w:r>
              <w:rPr>
                <w:color w:val="000000"/>
                <w:sz w:val="20"/>
                <w:szCs w:val="20"/>
              </w:rPr>
              <w:t>GS Methodology for Improved Cook stoves and Kitchen Regimes v2.</w:t>
            </w:r>
            <w:r w:rsidR="003C3E9E">
              <w:rPr>
                <w:color w:val="000000"/>
                <w:sz w:val="20"/>
                <w:szCs w:val="20"/>
              </w:rPr>
              <w:t xml:space="preserve"> </w:t>
            </w:r>
            <w:r>
              <w:rPr>
                <w:sz w:val="20"/>
                <w:szCs w:val="20"/>
              </w:rPr>
              <w:t>(</w:t>
            </w:r>
            <w:proofErr w:type="gramStart"/>
            <w:r>
              <w:rPr>
                <w:sz w:val="20"/>
                <w:szCs w:val="20"/>
              </w:rPr>
              <w:t>which</w:t>
            </w:r>
            <w:proofErr w:type="gramEnd"/>
            <w:r>
              <w:rPr>
                <w:sz w:val="20"/>
                <w:szCs w:val="20"/>
              </w:rPr>
              <w:t xml:space="preserve"> became GSTPDDTEC)</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3DBC8FA" w14:textId="77777777" w:rsidR="000E5CD4" w:rsidRDefault="00000000">
            <w:pPr>
              <w:rPr>
                <w:rFonts w:ascii="Times New Roman" w:eastAsia="Times New Roman" w:hAnsi="Times New Roman" w:cs="Times New Roman"/>
              </w:rPr>
            </w:pPr>
            <w:r>
              <w:rPr>
                <w:color w:val="000000"/>
                <w:sz w:val="20"/>
                <w:szCs w:val="20"/>
              </w:rPr>
              <w:t>Uganda</w:t>
            </w:r>
          </w:p>
        </w:tc>
      </w:tr>
      <w:tr w:rsidR="000E5CD4" w14:paraId="154F5BF7" w14:textId="77777777">
        <w:trPr>
          <w:trHeight w:val="320"/>
        </w:trPr>
        <w:tc>
          <w:tcPr>
            <w:tcW w:w="11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62C2113" w14:textId="77777777" w:rsidR="000E5CD4" w:rsidRDefault="00000000">
            <w:pPr>
              <w:rPr>
                <w:rFonts w:ascii="Times New Roman" w:eastAsia="Times New Roman" w:hAnsi="Times New Roman" w:cs="Times New Roman"/>
              </w:rPr>
            </w:pPr>
            <w:r>
              <w:rPr>
                <w:color w:val="000000"/>
                <w:sz w:val="20"/>
                <w:szCs w:val="20"/>
              </w:rPr>
              <w:lastRenderedPageBreak/>
              <w:t>GS1060</w:t>
            </w:r>
          </w:p>
        </w:tc>
        <w:tc>
          <w:tcPr>
            <w:tcW w:w="35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5FDBBF5" w14:textId="77777777" w:rsidR="000E5CD4" w:rsidRDefault="00000000">
            <w:pPr>
              <w:rPr>
                <w:rFonts w:ascii="Times New Roman" w:eastAsia="Times New Roman" w:hAnsi="Times New Roman" w:cs="Times New Roman"/>
              </w:rPr>
            </w:pPr>
            <w:r>
              <w:rPr>
                <w:color w:val="000000"/>
                <w:sz w:val="20"/>
                <w:szCs w:val="20"/>
              </w:rPr>
              <w:t>Improved Cook Stoves programme for Rwanda</w:t>
            </w:r>
          </w:p>
        </w:tc>
        <w:tc>
          <w:tcPr>
            <w:tcW w:w="112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220689E" w14:textId="77777777" w:rsidR="000E5CD4" w:rsidRDefault="00000000">
            <w:pPr>
              <w:rPr>
                <w:rFonts w:ascii="Times New Roman" w:eastAsia="Times New Roman" w:hAnsi="Times New Roman" w:cs="Times New Roman"/>
              </w:rPr>
            </w:pPr>
            <w:r>
              <w:rPr>
                <w:color w:val="000000"/>
                <w:sz w:val="20"/>
                <w:szCs w:val="20"/>
              </w:rPr>
              <w:t>GOLD</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05A3B3C" w14:textId="77777777" w:rsidR="000E5CD4" w:rsidRDefault="00000000">
            <w:pPr>
              <w:rPr>
                <w:rFonts w:ascii="Times New Roman" w:eastAsia="Times New Roman" w:hAnsi="Times New Roman" w:cs="Times New Roman"/>
              </w:rPr>
            </w:pPr>
            <w:r>
              <w:rPr>
                <w:color w:val="000000"/>
                <w:sz w:val="20"/>
                <w:szCs w:val="20"/>
              </w:rPr>
              <w:t>AMS-II.G. Energy Efficiency Measures in Thermal Applications of Non-Renewable Biomass v3</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09F2B5D" w14:textId="77777777" w:rsidR="000E5CD4" w:rsidRDefault="00000000">
            <w:pPr>
              <w:rPr>
                <w:rFonts w:ascii="Times New Roman" w:eastAsia="Times New Roman" w:hAnsi="Times New Roman" w:cs="Times New Roman"/>
              </w:rPr>
            </w:pPr>
            <w:r>
              <w:rPr>
                <w:color w:val="000000"/>
                <w:sz w:val="20"/>
                <w:szCs w:val="20"/>
              </w:rPr>
              <w:t>Rwanda</w:t>
            </w:r>
          </w:p>
        </w:tc>
      </w:tr>
      <w:tr w:rsidR="000E5CD4" w14:paraId="2CB593E1" w14:textId="77777777">
        <w:trPr>
          <w:trHeight w:val="320"/>
        </w:trPr>
        <w:tc>
          <w:tcPr>
            <w:tcW w:w="11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087D80B" w14:textId="77777777" w:rsidR="000E5CD4" w:rsidRDefault="00000000">
            <w:pPr>
              <w:rPr>
                <w:rFonts w:ascii="Times New Roman" w:eastAsia="Times New Roman" w:hAnsi="Times New Roman" w:cs="Times New Roman"/>
              </w:rPr>
            </w:pPr>
            <w:r>
              <w:rPr>
                <w:color w:val="000000"/>
                <w:sz w:val="20"/>
                <w:szCs w:val="20"/>
              </w:rPr>
              <w:t>GS1094</w:t>
            </w:r>
          </w:p>
        </w:tc>
        <w:tc>
          <w:tcPr>
            <w:tcW w:w="35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677D226" w14:textId="77777777" w:rsidR="000E5CD4" w:rsidRDefault="00000000">
            <w:pPr>
              <w:rPr>
                <w:rFonts w:ascii="Times New Roman" w:eastAsia="Times New Roman" w:hAnsi="Times New Roman" w:cs="Times New Roman"/>
              </w:rPr>
            </w:pPr>
            <w:r>
              <w:rPr>
                <w:color w:val="000000"/>
                <w:sz w:val="20"/>
                <w:szCs w:val="20"/>
              </w:rPr>
              <w:t>WWF Mamize Firewood-Saving Cook Stove Project I</w:t>
            </w:r>
          </w:p>
        </w:tc>
        <w:tc>
          <w:tcPr>
            <w:tcW w:w="112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DC5BF78" w14:textId="77777777" w:rsidR="000E5CD4" w:rsidRDefault="00000000">
            <w:pPr>
              <w:rPr>
                <w:rFonts w:ascii="Times New Roman" w:eastAsia="Times New Roman" w:hAnsi="Times New Roman" w:cs="Times New Roman"/>
              </w:rPr>
            </w:pPr>
            <w:r>
              <w:rPr>
                <w:color w:val="000000"/>
                <w:sz w:val="20"/>
                <w:szCs w:val="20"/>
              </w:rPr>
              <w:t>GOLD</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64F12E4" w14:textId="77777777" w:rsidR="000E5CD4" w:rsidRDefault="00000000">
            <w:pPr>
              <w:rPr>
                <w:rFonts w:ascii="Times New Roman" w:eastAsia="Times New Roman" w:hAnsi="Times New Roman" w:cs="Times New Roman"/>
              </w:rPr>
            </w:pPr>
            <w:r>
              <w:rPr>
                <w:color w:val="000000"/>
                <w:sz w:val="20"/>
                <w:szCs w:val="20"/>
              </w:rPr>
              <w:t>AMS-II.G. Energy Efficiency Measures in Thermal Applications of Non-Renewable Biomass v3</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294ACCA" w14:textId="77777777" w:rsidR="000E5CD4" w:rsidRDefault="00000000">
            <w:pPr>
              <w:rPr>
                <w:rFonts w:ascii="Times New Roman" w:eastAsia="Times New Roman" w:hAnsi="Times New Roman" w:cs="Times New Roman"/>
              </w:rPr>
            </w:pPr>
            <w:r>
              <w:rPr>
                <w:color w:val="000000"/>
                <w:sz w:val="20"/>
                <w:szCs w:val="20"/>
              </w:rPr>
              <w:t>China</w:t>
            </w:r>
          </w:p>
        </w:tc>
      </w:tr>
      <w:tr w:rsidR="000E5CD4" w14:paraId="0A5BD18D" w14:textId="77777777">
        <w:trPr>
          <w:trHeight w:val="320"/>
        </w:trPr>
        <w:tc>
          <w:tcPr>
            <w:tcW w:w="11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CF6F80D" w14:textId="77777777" w:rsidR="000E5CD4" w:rsidRDefault="00000000">
            <w:pPr>
              <w:rPr>
                <w:rFonts w:ascii="Times New Roman" w:eastAsia="Times New Roman" w:hAnsi="Times New Roman" w:cs="Times New Roman"/>
              </w:rPr>
            </w:pPr>
            <w:r>
              <w:rPr>
                <w:color w:val="000000"/>
                <w:sz w:val="20"/>
                <w:szCs w:val="20"/>
              </w:rPr>
              <w:t>GS2744</w:t>
            </w:r>
          </w:p>
        </w:tc>
        <w:tc>
          <w:tcPr>
            <w:tcW w:w="35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996F858" w14:textId="77777777" w:rsidR="000E5CD4" w:rsidRDefault="00000000">
            <w:pPr>
              <w:rPr>
                <w:rFonts w:ascii="Times New Roman" w:eastAsia="Times New Roman" w:hAnsi="Times New Roman" w:cs="Times New Roman"/>
              </w:rPr>
            </w:pPr>
            <w:r>
              <w:rPr>
                <w:color w:val="000000"/>
                <w:sz w:val="20"/>
                <w:szCs w:val="20"/>
              </w:rPr>
              <w:t>Project Activity for Local Improved Cookstoves in Bamako</w:t>
            </w:r>
          </w:p>
        </w:tc>
        <w:tc>
          <w:tcPr>
            <w:tcW w:w="112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FC217D7" w14:textId="77777777" w:rsidR="000E5CD4" w:rsidRDefault="00000000">
            <w:pPr>
              <w:rPr>
                <w:rFonts w:ascii="Times New Roman" w:eastAsia="Times New Roman" w:hAnsi="Times New Roman" w:cs="Times New Roman"/>
              </w:rPr>
            </w:pPr>
            <w:r>
              <w:rPr>
                <w:color w:val="000000"/>
                <w:sz w:val="20"/>
                <w:szCs w:val="20"/>
              </w:rPr>
              <w:t>GOLD</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4198513" w14:textId="77777777" w:rsidR="000E5CD4" w:rsidRDefault="00000000">
            <w:pPr>
              <w:rPr>
                <w:rFonts w:ascii="Times New Roman" w:eastAsia="Times New Roman" w:hAnsi="Times New Roman" w:cs="Times New Roman"/>
              </w:rPr>
            </w:pPr>
            <w:r>
              <w:rPr>
                <w:color w:val="000000"/>
                <w:sz w:val="20"/>
                <w:szCs w:val="20"/>
              </w:rPr>
              <w:t xml:space="preserve">AMS-II.G. Energy Efficiency Measures in Thermal Applications of Non-Renewable Biomass </w:t>
            </w:r>
            <w:r>
              <w:rPr>
                <w:sz w:val="20"/>
                <w:szCs w:val="20"/>
              </w:rPr>
              <w:t>v5</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212E804" w14:textId="77777777" w:rsidR="000E5CD4" w:rsidRDefault="00000000">
            <w:pPr>
              <w:rPr>
                <w:rFonts w:ascii="Times New Roman" w:eastAsia="Times New Roman" w:hAnsi="Times New Roman" w:cs="Times New Roman"/>
              </w:rPr>
            </w:pPr>
            <w:r>
              <w:rPr>
                <w:color w:val="000000"/>
                <w:sz w:val="20"/>
                <w:szCs w:val="20"/>
              </w:rPr>
              <w:t>Mali</w:t>
            </w:r>
          </w:p>
        </w:tc>
      </w:tr>
      <w:tr w:rsidR="000E5CD4" w14:paraId="1A97D0DA" w14:textId="77777777">
        <w:trPr>
          <w:trHeight w:val="320"/>
        </w:trPr>
        <w:tc>
          <w:tcPr>
            <w:tcW w:w="11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F82B781" w14:textId="77777777" w:rsidR="000E5CD4" w:rsidRDefault="00000000">
            <w:pPr>
              <w:rPr>
                <w:rFonts w:ascii="Times New Roman" w:eastAsia="Times New Roman" w:hAnsi="Times New Roman" w:cs="Times New Roman"/>
              </w:rPr>
            </w:pPr>
            <w:r>
              <w:rPr>
                <w:color w:val="000000"/>
                <w:sz w:val="20"/>
                <w:szCs w:val="20"/>
              </w:rPr>
              <w:t>GS4291</w:t>
            </w:r>
          </w:p>
        </w:tc>
        <w:tc>
          <w:tcPr>
            <w:tcW w:w="35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4C6D349" w14:textId="0C099EEF" w:rsidR="000E5CD4" w:rsidRDefault="00000000">
            <w:pPr>
              <w:rPr>
                <w:rFonts w:ascii="Times New Roman" w:eastAsia="Times New Roman" w:hAnsi="Times New Roman" w:cs="Times New Roman"/>
              </w:rPr>
            </w:pPr>
            <w:r>
              <w:rPr>
                <w:color w:val="000000"/>
                <w:sz w:val="20"/>
                <w:szCs w:val="20"/>
              </w:rPr>
              <w:t>The Breathing Space Improved Cooking Stoves Programme, India - VPA No. 10 Envirofit</w:t>
            </w:r>
          </w:p>
        </w:tc>
        <w:tc>
          <w:tcPr>
            <w:tcW w:w="112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AA4886F" w14:textId="77777777" w:rsidR="000E5CD4" w:rsidRDefault="00000000">
            <w:pPr>
              <w:rPr>
                <w:rFonts w:ascii="Times New Roman" w:eastAsia="Times New Roman" w:hAnsi="Times New Roman" w:cs="Times New Roman"/>
              </w:rPr>
            </w:pPr>
            <w:r>
              <w:rPr>
                <w:color w:val="000000"/>
                <w:sz w:val="20"/>
                <w:szCs w:val="20"/>
              </w:rPr>
              <w:t>GOLD</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5130043" w14:textId="77777777" w:rsidR="000E5CD4" w:rsidRDefault="00000000">
            <w:pPr>
              <w:rPr>
                <w:rFonts w:ascii="Times New Roman" w:eastAsia="Times New Roman" w:hAnsi="Times New Roman" w:cs="Times New Roman"/>
              </w:rPr>
            </w:pPr>
            <w:r>
              <w:rPr>
                <w:color w:val="000000"/>
                <w:sz w:val="20"/>
                <w:szCs w:val="20"/>
              </w:rPr>
              <w:t>AMS-II.G. Energy Efficiency Measures in Thermal Applications of Non-Renewable Biomass v3</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4FDE070" w14:textId="77777777" w:rsidR="000E5CD4" w:rsidRDefault="00000000">
            <w:pPr>
              <w:rPr>
                <w:rFonts w:ascii="Times New Roman" w:eastAsia="Times New Roman" w:hAnsi="Times New Roman" w:cs="Times New Roman"/>
              </w:rPr>
            </w:pPr>
            <w:r>
              <w:rPr>
                <w:color w:val="000000"/>
                <w:sz w:val="20"/>
                <w:szCs w:val="20"/>
              </w:rPr>
              <w:t>India</w:t>
            </w:r>
          </w:p>
        </w:tc>
      </w:tr>
      <w:tr w:rsidR="000E5CD4" w14:paraId="681E5106" w14:textId="77777777">
        <w:trPr>
          <w:trHeight w:val="320"/>
        </w:trPr>
        <w:tc>
          <w:tcPr>
            <w:tcW w:w="11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D33FC75" w14:textId="77777777" w:rsidR="000E5CD4" w:rsidRDefault="00000000">
            <w:pPr>
              <w:rPr>
                <w:rFonts w:ascii="Times New Roman" w:eastAsia="Times New Roman" w:hAnsi="Times New Roman" w:cs="Times New Roman"/>
              </w:rPr>
            </w:pPr>
            <w:r>
              <w:rPr>
                <w:color w:val="000000"/>
                <w:sz w:val="20"/>
                <w:szCs w:val="20"/>
              </w:rPr>
              <w:t>GS6604</w:t>
            </w:r>
          </w:p>
        </w:tc>
        <w:tc>
          <w:tcPr>
            <w:tcW w:w="35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E68F65C" w14:textId="77777777" w:rsidR="000E5CD4" w:rsidRDefault="00000000">
            <w:pPr>
              <w:rPr>
                <w:rFonts w:ascii="Times New Roman" w:eastAsia="Times New Roman" w:hAnsi="Times New Roman" w:cs="Times New Roman"/>
              </w:rPr>
            </w:pPr>
            <w:r>
              <w:rPr>
                <w:color w:val="000000"/>
                <w:sz w:val="20"/>
                <w:szCs w:val="20"/>
              </w:rPr>
              <w:t>Energy efficiency improvement project leading to multiple sustainable development impacts.</w:t>
            </w:r>
          </w:p>
        </w:tc>
        <w:tc>
          <w:tcPr>
            <w:tcW w:w="112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BC009CD" w14:textId="77777777" w:rsidR="000E5CD4" w:rsidRDefault="00000000">
            <w:pPr>
              <w:rPr>
                <w:rFonts w:ascii="Times New Roman" w:eastAsia="Times New Roman" w:hAnsi="Times New Roman" w:cs="Times New Roman"/>
              </w:rPr>
            </w:pPr>
            <w:r>
              <w:rPr>
                <w:color w:val="000000"/>
                <w:sz w:val="20"/>
                <w:szCs w:val="20"/>
              </w:rPr>
              <w:t>GOLD</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144EA46" w14:textId="77777777" w:rsidR="000E5CD4" w:rsidRDefault="00000000">
            <w:pPr>
              <w:rPr>
                <w:rFonts w:ascii="Times New Roman" w:eastAsia="Times New Roman" w:hAnsi="Times New Roman" w:cs="Times New Roman"/>
              </w:rPr>
            </w:pPr>
            <w:r>
              <w:rPr>
                <w:color w:val="000000"/>
                <w:sz w:val="20"/>
                <w:szCs w:val="20"/>
              </w:rPr>
              <w:t>AMS-II.G. Energy Efficiency Measures in Thermal Applications of Non-Renewable Biomass v9</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BDC2904" w14:textId="77777777" w:rsidR="000E5CD4" w:rsidRDefault="00000000">
            <w:pPr>
              <w:rPr>
                <w:rFonts w:ascii="Times New Roman" w:eastAsia="Times New Roman" w:hAnsi="Times New Roman" w:cs="Times New Roman"/>
              </w:rPr>
            </w:pPr>
            <w:r>
              <w:rPr>
                <w:color w:val="000000"/>
                <w:sz w:val="20"/>
                <w:szCs w:val="20"/>
              </w:rPr>
              <w:t>Uganda</w:t>
            </w:r>
          </w:p>
        </w:tc>
      </w:tr>
      <w:tr w:rsidR="000E5CD4" w14:paraId="7EA0C895" w14:textId="77777777">
        <w:trPr>
          <w:trHeight w:val="320"/>
        </w:trPr>
        <w:tc>
          <w:tcPr>
            <w:tcW w:w="11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E173376" w14:textId="77777777" w:rsidR="000E5CD4" w:rsidRDefault="00000000">
            <w:pPr>
              <w:rPr>
                <w:rFonts w:ascii="Times New Roman" w:eastAsia="Times New Roman" w:hAnsi="Times New Roman" w:cs="Times New Roman"/>
              </w:rPr>
            </w:pPr>
            <w:r>
              <w:rPr>
                <w:color w:val="000000"/>
                <w:sz w:val="20"/>
                <w:szCs w:val="20"/>
              </w:rPr>
              <w:t>GS1267</w:t>
            </w:r>
          </w:p>
        </w:tc>
        <w:tc>
          <w:tcPr>
            <w:tcW w:w="35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B1E1F5F" w14:textId="77777777" w:rsidR="000E5CD4" w:rsidRDefault="00000000">
            <w:pPr>
              <w:rPr>
                <w:rFonts w:ascii="Times New Roman" w:eastAsia="Times New Roman" w:hAnsi="Times New Roman" w:cs="Times New Roman"/>
              </w:rPr>
            </w:pPr>
            <w:r>
              <w:rPr>
                <w:color w:val="000000"/>
                <w:sz w:val="20"/>
                <w:szCs w:val="20"/>
              </w:rPr>
              <w:t>GS1247 VPA 1 Improved Kitchen Regimes: Bugesera, Rwanda</w:t>
            </w:r>
          </w:p>
        </w:tc>
        <w:tc>
          <w:tcPr>
            <w:tcW w:w="112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DA62966" w14:textId="77777777" w:rsidR="000E5CD4" w:rsidRDefault="00000000">
            <w:pPr>
              <w:rPr>
                <w:rFonts w:ascii="Times New Roman" w:eastAsia="Times New Roman" w:hAnsi="Times New Roman" w:cs="Times New Roman"/>
              </w:rPr>
            </w:pPr>
            <w:r>
              <w:rPr>
                <w:color w:val="000000"/>
                <w:sz w:val="20"/>
                <w:szCs w:val="20"/>
              </w:rPr>
              <w:t>GOLD</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A8EF624" w14:textId="77777777" w:rsidR="000E5CD4" w:rsidRDefault="00000000">
            <w:pPr>
              <w:rPr>
                <w:rFonts w:ascii="Times New Roman" w:eastAsia="Times New Roman" w:hAnsi="Times New Roman" w:cs="Times New Roman"/>
              </w:rPr>
            </w:pPr>
            <w:r>
              <w:rPr>
                <w:color w:val="000000"/>
                <w:sz w:val="20"/>
                <w:szCs w:val="20"/>
              </w:rPr>
              <w:t>GS TPDDTEC v 1.</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9856C84" w14:textId="77777777" w:rsidR="000E5CD4" w:rsidRDefault="00000000">
            <w:pPr>
              <w:rPr>
                <w:rFonts w:ascii="Times New Roman" w:eastAsia="Times New Roman" w:hAnsi="Times New Roman" w:cs="Times New Roman"/>
              </w:rPr>
            </w:pPr>
            <w:r>
              <w:rPr>
                <w:color w:val="000000"/>
                <w:sz w:val="20"/>
                <w:szCs w:val="20"/>
              </w:rPr>
              <w:t>Rwanda</w:t>
            </w:r>
          </w:p>
        </w:tc>
      </w:tr>
      <w:tr w:rsidR="000E5CD4" w14:paraId="36315D02" w14:textId="77777777">
        <w:trPr>
          <w:trHeight w:val="320"/>
        </w:trPr>
        <w:tc>
          <w:tcPr>
            <w:tcW w:w="11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93C0B04" w14:textId="77777777" w:rsidR="000E5CD4" w:rsidRDefault="00000000">
            <w:pPr>
              <w:rPr>
                <w:rFonts w:ascii="Times New Roman" w:eastAsia="Times New Roman" w:hAnsi="Times New Roman" w:cs="Times New Roman"/>
              </w:rPr>
            </w:pPr>
            <w:r>
              <w:rPr>
                <w:color w:val="000000"/>
                <w:sz w:val="20"/>
                <w:szCs w:val="20"/>
              </w:rPr>
              <w:t>GS2439</w:t>
            </w:r>
          </w:p>
        </w:tc>
        <w:tc>
          <w:tcPr>
            <w:tcW w:w="35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F7F8148" w14:textId="77777777" w:rsidR="000E5CD4" w:rsidRDefault="00000000">
            <w:pPr>
              <w:rPr>
                <w:rFonts w:ascii="Times New Roman" w:eastAsia="Times New Roman" w:hAnsi="Times New Roman" w:cs="Times New Roman"/>
              </w:rPr>
            </w:pPr>
            <w:r>
              <w:rPr>
                <w:color w:val="000000"/>
                <w:sz w:val="20"/>
                <w:szCs w:val="20"/>
              </w:rPr>
              <w:t>GS1377 Utsil Naj - Casa saludable para todos VPA2</w:t>
            </w:r>
          </w:p>
        </w:tc>
        <w:tc>
          <w:tcPr>
            <w:tcW w:w="112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98F5F21" w14:textId="77777777" w:rsidR="000E5CD4" w:rsidRDefault="00000000">
            <w:pPr>
              <w:rPr>
                <w:rFonts w:ascii="Times New Roman" w:eastAsia="Times New Roman" w:hAnsi="Times New Roman" w:cs="Times New Roman"/>
              </w:rPr>
            </w:pPr>
            <w:r>
              <w:rPr>
                <w:color w:val="000000"/>
                <w:sz w:val="20"/>
                <w:szCs w:val="20"/>
              </w:rPr>
              <w:t>GOLD</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C4142C3" w14:textId="77777777" w:rsidR="000E5CD4" w:rsidRDefault="00000000">
            <w:pPr>
              <w:rPr>
                <w:rFonts w:ascii="Times New Roman" w:eastAsia="Times New Roman" w:hAnsi="Times New Roman" w:cs="Times New Roman"/>
              </w:rPr>
            </w:pPr>
            <w:r>
              <w:rPr>
                <w:color w:val="000000"/>
                <w:sz w:val="20"/>
                <w:szCs w:val="20"/>
              </w:rPr>
              <w:t>GS TPDDTEC v 1.</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EAB2182" w14:textId="77777777" w:rsidR="000E5CD4" w:rsidRDefault="00000000">
            <w:pPr>
              <w:rPr>
                <w:rFonts w:ascii="Times New Roman" w:eastAsia="Times New Roman" w:hAnsi="Times New Roman" w:cs="Times New Roman"/>
              </w:rPr>
            </w:pPr>
            <w:r>
              <w:rPr>
                <w:color w:val="000000"/>
                <w:sz w:val="20"/>
                <w:szCs w:val="20"/>
              </w:rPr>
              <w:t>Guatemala</w:t>
            </w:r>
          </w:p>
        </w:tc>
      </w:tr>
      <w:tr w:rsidR="000E5CD4" w14:paraId="3262B55D" w14:textId="77777777">
        <w:trPr>
          <w:trHeight w:val="320"/>
        </w:trPr>
        <w:tc>
          <w:tcPr>
            <w:tcW w:w="11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EC9D50B" w14:textId="77777777" w:rsidR="000E5CD4" w:rsidRDefault="00000000">
            <w:pPr>
              <w:rPr>
                <w:rFonts w:ascii="Times New Roman" w:eastAsia="Times New Roman" w:hAnsi="Times New Roman" w:cs="Times New Roman"/>
              </w:rPr>
            </w:pPr>
            <w:r>
              <w:rPr>
                <w:color w:val="000000"/>
                <w:sz w:val="20"/>
                <w:szCs w:val="20"/>
              </w:rPr>
              <w:t>GS2441</w:t>
            </w:r>
          </w:p>
        </w:tc>
        <w:tc>
          <w:tcPr>
            <w:tcW w:w="35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FFECD21" w14:textId="77777777" w:rsidR="000E5CD4" w:rsidRDefault="00000000">
            <w:pPr>
              <w:rPr>
                <w:rFonts w:ascii="Times New Roman" w:eastAsia="Times New Roman" w:hAnsi="Times New Roman" w:cs="Times New Roman"/>
              </w:rPr>
            </w:pPr>
            <w:r>
              <w:rPr>
                <w:color w:val="000000"/>
                <w:sz w:val="20"/>
                <w:szCs w:val="20"/>
              </w:rPr>
              <w:t>GS1377 Utsil Naj - Casa saludable para todos VPA4</w:t>
            </w:r>
          </w:p>
        </w:tc>
        <w:tc>
          <w:tcPr>
            <w:tcW w:w="112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D10456E" w14:textId="77777777" w:rsidR="000E5CD4" w:rsidRDefault="00000000">
            <w:pPr>
              <w:rPr>
                <w:rFonts w:ascii="Times New Roman" w:eastAsia="Times New Roman" w:hAnsi="Times New Roman" w:cs="Times New Roman"/>
              </w:rPr>
            </w:pPr>
            <w:r>
              <w:rPr>
                <w:color w:val="000000"/>
                <w:sz w:val="20"/>
                <w:szCs w:val="20"/>
              </w:rPr>
              <w:t>GOLD</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44449A7" w14:textId="77777777" w:rsidR="000E5CD4" w:rsidRDefault="00000000">
            <w:pPr>
              <w:rPr>
                <w:rFonts w:ascii="Times New Roman" w:eastAsia="Times New Roman" w:hAnsi="Times New Roman" w:cs="Times New Roman"/>
              </w:rPr>
            </w:pPr>
            <w:r>
              <w:rPr>
                <w:color w:val="000000"/>
                <w:sz w:val="20"/>
                <w:szCs w:val="20"/>
              </w:rPr>
              <w:t>GS TPDDTEC v 1.</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ACA6A74" w14:textId="77777777" w:rsidR="000E5CD4" w:rsidRDefault="00000000">
            <w:pPr>
              <w:rPr>
                <w:rFonts w:ascii="Times New Roman" w:eastAsia="Times New Roman" w:hAnsi="Times New Roman" w:cs="Times New Roman"/>
              </w:rPr>
            </w:pPr>
            <w:r>
              <w:rPr>
                <w:color w:val="000000"/>
                <w:sz w:val="20"/>
                <w:szCs w:val="20"/>
              </w:rPr>
              <w:t>Mexico</w:t>
            </w:r>
          </w:p>
        </w:tc>
      </w:tr>
      <w:tr w:rsidR="000E5CD4" w14:paraId="3EE833FF" w14:textId="77777777">
        <w:trPr>
          <w:trHeight w:val="320"/>
        </w:trPr>
        <w:tc>
          <w:tcPr>
            <w:tcW w:w="11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FD486BB" w14:textId="77777777" w:rsidR="000E5CD4" w:rsidRDefault="00000000">
            <w:pPr>
              <w:rPr>
                <w:rFonts w:ascii="Times New Roman" w:eastAsia="Times New Roman" w:hAnsi="Times New Roman" w:cs="Times New Roman"/>
              </w:rPr>
            </w:pPr>
            <w:r>
              <w:rPr>
                <w:color w:val="000000"/>
                <w:sz w:val="20"/>
                <w:szCs w:val="20"/>
              </w:rPr>
              <w:t>GS5003</w:t>
            </w:r>
          </w:p>
        </w:tc>
        <w:tc>
          <w:tcPr>
            <w:tcW w:w="35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7417485" w14:textId="77777777" w:rsidR="000E5CD4" w:rsidRDefault="00000000">
            <w:pPr>
              <w:rPr>
                <w:rFonts w:ascii="Times New Roman" w:eastAsia="Times New Roman" w:hAnsi="Times New Roman" w:cs="Times New Roman"/>
              </w:rPr>
            </w:pPr>
            <w:r>
              <w:rPr>
                <w:color w:val="000000"/>
                <w:sz w:val="20"/>
                <w:szCs w:val="20"/>
              </w:rPr>
              <w:t>Bamako Clean Cookstoves - Improving livelihoods and fighting desertification in the Sahel zone</w:t>
            </w:r>
          </w:p>
        </w:tc>
        <w:tc>
          <w:tcPr>
            <w:tcW w:w="112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520022F" w14:textId="77777777" w:rsidR="000E5CD4" w:rsidRDefault="00000000">
            <w:pPr>
              <w:rPr>
                <w:rFonts w:ascii="Times New Roman" w:eastAsia="Times New Roman" w:hAnsi="Times New Roman" w:cs="Times New Roman"/>
              </w:rPr>
            </w:pPr>
            <w:r>
              <w:rPr>
                <w:color w:val="000000"/>
                <w:sz w:val="20"/>
                <w:szCs w:val="20"/>
              </w:rPr>
              <w:t>GOLD</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800A62E" w14:textId="77777777" w:rsidR="000E5CD4" w:rsidRDefault="00000000">
            <w:pPr>
              <w:rPr>
                <w:rFonts w:ascii="Times New Roman" w:eastAsia="Times New Roman" w:hAnsi="Times New Roman" w:cs="Times New Roman"/>
              </w:rPr>
            </w:pPr>
            <w:r>
              <w:rPr>
                <w:color w:val="000000"/>
                <w:sz w:val="20"/>
                <w:szCs w:val="20"/>
              </w:rPr>
              <w:t>GS TPDDTEC v 2.</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BF41C22" w14:textId="77777777" w:rsidR="000E5CD4" w:rsidRDefault="00000000">
            <w:pPr>
              <w:rPr>
                <w:rFonts w:ascii="Times New Roman" w:eastAsia="Times New Roman" w:hAnsi="Times New Roman" w:cs="Times New Roman"/>
              </w:rPr>
            </w:pPr>
            <w:r>
              <w:rPr>
                <w:color w:val="000000"/>
                <w:sz w:val="20"/>
                <w:szCs w:val="20"/>
              </w:rPr>
              <w:t>Mali</w:t>
            </w:r>
          </w:p>
        </w:tc>
      </w:tr>
      <w:tr w:rsidR="000E5CD4" w14:paraId="7B57A1DD" w14:textId="77777777">
        <w:trPr>
          <w:trHeight w:val="320"/>
        </w:trPr>
        <w:tc>
          <w:tcPr>
            <w:tcW w:w="11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D1F89D6" w14:textId="77777777" w:rsidR="000E5CD4" w:rsidRDefault="00000000">
            <w:pPr>
              <w:rPr>
                <w:rFonts w:ascii="Times New Roman" w:eastAsia="Times New Roman" w:hAnsi="Times New Roman" w:cs="Times New Roman"/>
              </w:rPr>
            </w:pPr>
            <w:r>
              <w:rPr>
                <w:color w:val="000000"/>
                <w:sz w:val="20"/>
                <w:szCs w:val="20"/>
              </w:rPr>
              <w:t>GS2445</w:t>
            </w:r>
          </w:p>
        </w:tc>
        <w:tc>
          <w:tcPr>
            <w:tcW w:w="35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DF7CC87" w14:textId="20C243C8" w:rsidR="000E5CD4" w:rsidRDefault="00000000">
            <w:pPr>
              <w:rPr>
                <w:rFonts w:ascii="Times New Roman" w:eastAsia="Times New Roman" w:hAnsi="Times New Roman" w:cs="Times New Roman"/>
              </w:rPr>
            </w:pPr>
            <w:r>
              <w:rPr>
                <w:color w:val="000000"/>
                <w:sz w:val="20"/>
                <w:szCs w:val="20"/>
              </w:rPr>
              <w:t xml:space="preserve">GS2445 GS1265 African Biomass Energy Conservation </w:t>
            </w:r>
            <w:proofErr w:type="gramStart"/>
            <w:r>
              <w:rPr>
                <w:color w:val="000000"/>
                <w:sz w:val="20"/>
                <w:szCs w:val="20"/>
              </w:rPr>
              <w:t>PoA  Malawi</w:t>
            </w:r>
            <w:proofErr w:type="gramEnd"/>
            <w:r>
              <w:rPr>
                <w:color w:val="000000"/>
                <w:sz w:val="20"/>
                <w:szCs w:val="20"/>
              </w:rPr>
              <w:t xml:space="preserve"> Biomass Conservation (3)</w:t>
            </w:r>
          </w:p>
        </w:tc>
        <w:tc>
          <w:tcPr>
            <w:tcW w:w="112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66E4590" w14:textId="77777777" w:rsidR="000E5CD4" w:rsidRDefault="00000000">
            <w:pPr>
              <w:rPr>
                <w:rFonts w:ascii="Times New Roman" w:eastAsia="Times New Roman" w:hAnsi="Times New Roman" w:cs="Times New Roman"/>
              </w:rPr>
            </w:pPr>
            <w:r>
              <w:rPr>
                <w:color w:val="000000"/>
                <w:sz w:val="20"/>
                <w:szCs w:val="20"/>
              </w:rPr>
              <w:t>GOLD</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F6F7C27" w14:textId="77777777" w:rsidR="000E5CD4" w:rsidRDefault="00000000">
            <w:pPr>
              <w:rPr>
                <w:rFonts w:ascii="Times New Roman" w:eastAsia="Times New Roman" w:hAnsi="Times New Roman" w:cs="Times New Roman"/>
              </w:rPr>
            </w:pPr>
            <w:r>
              <w:rPr>
                <w:color w:val="000000"/>
                <w:sz w:val="20"/>
                <w:szCs w:val="20"/>
              </w:rPr>
              <w:t>GS TPDDTEC v 1.</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2FAD203" w14:textId="77777777" w:rsidR="000E5CD4" w:rsidRDefault="00000000">
            <w:pPr>
              <w:rPr>
                <w:rFonts w:ascii="Times New Roman" w:eastAsia="Times New Roman" w:hAnsi="Times New Roman" w:cs="Times New Roman"/>
              </w:rPr>
            </w:pPr>
            <w:r>
              <w:rPr>
                <w:color w:val="000000"/>
                <w:sz w:val="20"/>
                <w:szCs w:val="20"/>
              </w:rPr>
              <w:t>Malawi</w:t>
            </w:r>
          </w:p>
        </w:tc>
      </w:tr>
      <w:tr w:rsidR="000E5CD4" w14:paraId="17107649" w14:textId="77777777">
        <w:trPr>
          <w:trHeight w:val="320"/>
        </w:trPr>
        <w:tc>
          <w:tcPr>
            <w:tcW w:w="11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BE9A740" w14:textId="77777777" w:rsidR="000E5CD4" w:rsidRDefault="00000000">
            <w:pPr>
              <w:rPr>
                <w:rFonts w:ascii="Times New Roman" w:eastAsia="Times New Roman" w:hAnsi="Times New Roman" w:cs="Times New Roman"/>
              </w:rPr>
            </w:pPr>
            <w:r>
              <w:rPr>
                <w:color w:val="000000"/>
                <w:sz w:val="20"/>
                <w:szCs w:val="20"/>
              </w:rPr>
              <w:t>GS3112</w:t>
            </w:r>
          </w:p>
        </w:tc>
        <w:tc>
          <w:tcPr>
            <w:tcW w:w="35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DC227C6" w14:textId="77777777" w:rsidR="000E5CD4" w:rsidRDefault="00000000">
            <w:pPr>
              <w:rPr>
                <w:rFonts w:ascii="Times New Roman" w:eastAsia="Times New Roman" w:hAnsi="Times New Roman" w:cs="Times New Roman"/>
              </w:rPr>
            </w:pPr>
            <w:r>
              <w:rPr>
                <w:color w:val="000000"/>
                <w:sz w:val="20"/>
                <w:szCs w:val="20"/>
              </w:rPr>
              <w:t>GHG Emission Reduction through use of Bondhu Chula (Improved Cook Stoves) in Bangladesh PoA</w:t>
            </w:r>
          </w:p>
        </w:tc>
        <w:tc>
          <w:tcPr>
            <w:tcW w:w="112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C7CDBEE" w14:textId="77777777" w:rsidR="000E5CD4" w:rsidRDefault="00000000">
            <w:pPr>
              <w:rPr>
                <w:rFonts w:ascii="Times New Roman" w:eastAsia="Times New Roman" w:hAnsi="Times New Roman" w:cs="Times New Roman"/>
              </w:rPr>
            </w:pPr>
            <w:r>
              <w:rPr>
                <w:color w:val="000000"/>
                <w:sz w:val="20"/>
                <w:szCs w:val="20"/>
              </w:rPr>
              <w:t>GOLD</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D0DFCD1" w14:textId="77777777" w:rsidR="000E5CD4" w:rsidRDefault="00000000">
            <w:pPr>
              <w:rPr>
                <w:rFonts w:ascii="Times New Roman" w:eastAsia="Times New Roman" w:hAnsi="Times New Roman" w:cs="Times New Roman"/>
              </w:rPr>
            </w:pPr>
            <w:r>
              <w:rPr>
                <w:color w:val="000000"/>
                <w:sz w:val="20"/>
                <w:szCs w:val="20"/>
              </w:rPr>
              <w:t>GS MS Simplified Methodology for Efficient Cookstoves v1.</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CA8E972" w14:textId="77777777" w:rsidR="000E5CD4" w:rsidRDefault="00000000">
            <w:pPr>
              <w:rPr>
                <w:rFonts w:ascii="Times New Roman" w:eastAsia="Times New Roman" w:hAnsi="Times New Roman" w:cs="Times New Roman"/>
              </w:rPr>
            </w:pPr>
            <w:r>
              <w:rPr>
                <w:color w:val="000000"/>
                <w:sz w:val="20"/>
                <w:szCs w:val="20"/>
              </w:rPr>
              <w:t>Bangladesh</w:t>
            </w:r>
          </w:p>
        </w:tc>
      </w:tr>
      <w:tr w:rsidR="000E5CD4" w14:paraId="698B6503" w14:textId="77777777">
        <w:trPr>
          <w:trHeight w:val="320"/>
        </w:trPr>
        <w:tc>
          <w:tcPr>
            <w:tcW w:w="11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D968703" w14:textId="77777777" w:rsidR="000E5CD4" w:rsidRDefault="00000000">
            <w:pPr>
              <w:rPr>
                <w:rFonts w:ascii="Times New Roman" w:eastAsia="Times New Roman" w:hAnsi="Times New Roman" w:cs="Times New Roman"/>
              </w:rPr>
            </w:pPr>
            <w:r>
              <w:rPr>
                <w:color w:val="000000"/>
                <w:sz w:val="20"/>
                <w:szCs w:val="20"/>
              </w:rPr>
              <w:t>GS407</w:t>
            </w:r>
          </w:p>
        </w:tc>
        <w:tc>
          <w:tcPr>
            <w:tcW w:w="35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2C67CA5" w14:textId="77777777" w:rsidR="000E5CD4" w:rsidRDefault="00000000">
            <w:pPr>
              <w:rPr>
                <w:rFonts w:ascii="Times New Roman" w:eastAsia="Times New Roman" w:hAnsi="Times New Roman" w:cs="Times New Roman"/>
              </w:rPr>
            </w:pPr>
            <w:r>
              <w:rPr>
                <w:color w:val="000000"/>
                <w:sz w:val="20"/>
                <w:szCs w:val="20"/>
              </w:rPr>
              <w:t>Gyapa Cook Stoves Project in Ghana</w:t>
            </w:r>
          </w:p>
        </w:tc>
        <w:tc>
          <w:tcPr>
            <w:tcW w:w="112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3A897D6" w14:textId="77777777" w:rsidR="000E5CD4" w:rsidRDefault="00000000">
            <w:pPr>
              <w:rPr>
                <w:rFonts w:ascii="Times New Roman" w:eastAsia="Times New Roman" w:hAnsi="Times New Roman" w:cs="Times New Roman"/>
              </w:rPr>
            </w:pPr>
            <w:r>
              <w:rPr>
                <w:color w:val="000000"/>
                <w:sz w:val="20"/>
                <w:szCs w:val="20"/>
              </w:rPr>
              <w:t>GOLD</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5D5DB0A" w14:textId="77777777" w:rsidR="000E5CD4" w:rsidRDefault="00000000">
            <w:pPr>
              <w:rPr>
                <w:rFonts w:ascii="Times New Roman" w:eastAsia="Times New Roman" w:hAnsi="Times New Roman" w:cs="Times New Roman"/>
              </w:rPr>
            </w:pPr>
            <w:r>
              <w:rPr>
                <w:color w:val="000000"/>
                <w:sz w:val="20"/>
                <w:szCs w:val="20"/>
              </w:rPr>
              <w:t>GS TPDDTEC v 2.</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840D07E" w14:textId="77777777" w:rsidR="000E5CD4" w:rsidRDefault="00000000">
            <w:pPr>
              <w:rPr>
                <w:rFonts w:ascii="Times New Roman" w:eastAsia="Times New Roman" w:hAnsi="Times New Roman" w:cs="Times New Roman"/>
              </w:rPr>
            </w:pPr>
            <w:r>
              <w:rPr>
                <w:color w:val="000000"/>
                <w:sz w:val="20"/>
                <w:szCs w:val="20"/>
              </w:rPr>
              <w:t>Ghana</w:t>
            </w:r>
          </w:p>
        </w:tc>
      </w:tr>
      <w:tr w:rsidR="000E5CD4" w14:paraId="19B4F4C1" w14:textId="77777777">
        <w:trPr>
          <w:trHeight w:val="320"/>
        </w:trPr>
        <w:tc>
          <w:tcPr>
            <w:tcW w:w="11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3AF0C04" w14:textId="77777777" w:rsidR="000E5CD4" w:rsidRDefault="00000000">
            <w:pPr>
              <w:rPr>
                <w:rFonts w:ascii="Times New Roman" w:eastAsia="Times New Roman" w:hAnsi="Times New Roman" w:cs="Times New Roman"/>
              </w:rPr>
            </w:pPr>
            <w:r>
              <w:rPr>
                <w:color w:val="000000"/>
                <w:sz w:val="20"/>
                <w:szCs w:val="20"/>
              </w:rPr>
              <w:t>GS913</w:t>
            </w:r>
          </w:p>
        </w:tc>
        <w:tc>
          <w:tcPr>
            <w:tcW w:w="35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D6CCCD3" w14:textId="77777777" w:rsidR="000E5CD4" w:rsidRDefault="00000000">
            <w:pPr>
              <w:rPr>
                <w:rFonts w:ascii="Times New Roman" w:eastAsia="Times New Roman" w:hAnsi="Times New Roman" w:cs="Times New Roman"/>
              </w:rPr>
            </w:pPr>
            <w:r>
              <w:rPr>
                <w:color w:val="000000"/>
                <w:sz w:val="20"/>
                <w:szCs w:val="20"/>
              </w:rPr>
              <w:t>Efficient Wood Fuel Stove-Cooking-Sets, Lesotho</w:t>
            </w:r>
          </w:p>
        </w:tc>
        <w:tc>
          <w:tcPr>
            <w:tcW w:w="112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1FA6630" w14:textId="77777777" w:rsidR="000E5CD4" w:rsidRDefault="00000000">
            <w:pPr>
              <w:rPr>
                <w:rFonts w:ascii="Times New Roman" w:eastAsia="Times New Roman" w:hAnsi="Times New Roman" w:cs="Times New Roman"/>
              </w:rPr>
            </w:pPr>
            <w:r>
              <w:rPr>
                <w:color w:val="000000"/>
                <w:sz w:val="20"/>
                <w:szCs w:val="20"/>
              </w:rPr>
              <w:t>GOLD</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E2F075F" w14:textId="77777777" w:rsidR="000E5CD4" w:rsidRDefault="00000000">
            <w:pPr>
              <w:rPr>
                <w:rFonts w:ascii="Times New Roman" w:eastAsia="Times New Roman" w:hAnsi="Times New Roman" w:cs="Times New Roman"/>
              </w:rPr>
            </w:pPr>
            <w:r>
              <w:rPr>
                <w:color w:val="000000"/>
                <w:sz w:val="20"/>
                <w:szCs w:val="20"/>
              </w:rPr>
              <w:t>AMS-II.G. Energy Efficiency Measures in Thermal Applications of Non-Renewable Biomass v3</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D3A8961" w14:textId="77777777" w:rsidR="000E5CD4" w:rsidRDefault="00000000">
            <w:pPr>
              <w:rPr>
                <w:rFonts w:ascii="Times New Roman" w:eastAsia="Times New Roman" w:hAnsi="Times New Roman" w:cs="Times New Roman"/>
              </w:rPr>
            </w:pPr>
            <w:r>
              <w:rPr>
                <w:color w:val="000000"/>
                <w:sz w:val="20"/>
                <w:szCs w:val="20"/>
              </w:rPr>
              <w:t>Lesotho</w:t>
            </w:r>
          </w:p>
        </w:tc>
      </w:tr>
      <w:tr w:rsidR="000E5CD4" w14:paraId="3938894A" w14:textId="77777777">
        <w:trPr>
          <w:trHeight w:val="320"/>
        </w:trPr>
        <w:tc>
          <w:tcPr>
            <w:tcW w:w="11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E1E5186" w14:textId="77777777" w:rsidR="000E5CD4" w:rsidRDefault="00000000">
            <w:pPr>
              <w:rPr>
                <w:rFonts w:ascii="Times New Roman" w:eastAsia="Times New Roman" w:hAnsi="Times New Roman" w:cs="Times New Roman"/>
              </w:rPr>
            </w:pPr>
            <w:r>
              <w:rPr>
                <w:color w:val="000000"/>
                <w:sz w:val="20"/>
                <w:szCs w:val="20"/>
              </w:rPr>
              <w:t>GS6212</w:t>
            </w:r>
          </w:p>
        </w:tc>
        <w:tc>
          <w:tcPr>
            <w:tcW w:w="35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C2A7178" w14:textId="77777777" w:rsidR="000E5CD4" w:rsidRDefault="00000000">
            <w:pPr>
              <w:rPr>
                <w:rFonts w:ascii="Times New Roman" w:eastAsia="Times New Roman" w:hAnsi="Times New Roman" w:cs="Times New Roman"/>
              </w:rPr>
            </w:pPr>
            <w:r>
              <w:rPr>
                <w:color w:val="000000"/>
                <w:sz w:val="20"/>
                <w:szCs w:val="20"/>
              </w:rPr>
              <w:t>Promoting Clean Cooking Solutions for the Disadvantaged Households</w:t>
            </w:r>
          </w:p>
        </w:tc>
        <w:tc>
          <w:tcPr>
            <w:tcW w:w="112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350091A" w14:textId="77777777" w:rsidR="000E5CD4" w:rsidRDefault="00000000">
            <w:pPr>
              <w:rPr>
                <w:rFonts w:ascii="Times New Roman" w:eastAsia="Times New Roman" w:hAnsi="Times New Roman" w:cs="Times New Roman"/>
              </w:rPr>
            </w:pPr>
            <w:r>
              <w:rPr>
                <w:color w:val="000000"/>
                <w:sz w:val="20"/>
                <w:szCs w:val="20"/>
              </w:rPr>
              <w:t>GOLD</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079CB57" w14:textId="77777777" w:rsidR="000E5CD4" w:rsidRDefault="00000000">
            <w:pPr>
              <w:rPr>
                <w:rFonts w:ascii="Times New Roman" w:eastAsia="Times New Roman" w:hAnsi="Times New Roman" w:cs="Times New Roman"/>
              </w:rPr>
            </w:pPr>
            <w:r>
              <w:rPr>
                <w:color w:val="000000"/>
                <w:sz w:val="20"/>
                <w:szCs w:val="20"/>
              </w:rPr>
              <w:t xml:space="preserve">AMS-II.G. Energy Efficiency Measures in Thermal Applications of </w:t>
            </w:r>
            <w:r>
              <w:rPr>
                <w:color w:val="000000"/>
                <w:sz w:val="20"/>
                <w:szCs w:val="20"/>
              </w:rPr>
              <w:lastRenderedPageBreak/>
              <w:t xml:space="preserve">Non-Renewable Biomass v9 </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B7A987B" w14:textId="77777777" w:rsidR="000E5CD4" w:rsidRDefault="00000000">
            <w:pPr>
              <w:rPr>
                <w:rFonts w:ascii="Times New Roman" w:eastAsia="Times New Roman" w:hAnsi="Times New Roman" w:cs="Times New Roman"/>
              </w:rPr>
            </w:pPr>
            <w:r>
              <w:rPr>
                <w:color w:val="000000"/>
                <w:sz w:val="20"/>
                <w:szCs w:val="20"/>
              </w:rPr>
              <w:lastRenderedPageBreak/>
              <w:t>Nepal</w:t>
            </w:r>
          </w:p>
        </w:tc>
      </w:tr>
      <w:tr w:rsidR="000E5CD4" w14:paraId="78DE477A" w14:textId="77777777">
        <w:trPr>
          <w:trHeight w:val="320"/>
        </w:trPr>
        <w:tc>
          <w:tcPr>
            <w:tcW w:w="11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8F7B738" w14:textId="77777777" w:rsidR="000E5CD4" w:rsidRDefault="00000000">
            <w:pPr>
              <w:rPr>
                <w:rFonts w:ascii="Times New Roman" w:eastAsia="Times New Roman" w:hAnsi="Times New Roman" w:cs="Times New Roman"/>
              </w:rPr>
            </w:pPr>
            <w:r>
              <w:rPr>
                <w:color w:val="000000"/>
                <w:sz w:val="20"/>
                <w:szCs w:val="20"/>
              </w:rPr>
              <w:t>GS2758</w:t>
            </w:r>
          </w:p>
        </w:tc>
        <w:tc>
          <w:tcPr>
            <w:tcW w:w="35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23CC94A" w14:textId="77777777" w:rsidR="000E5CD4" w:rsidRDefault="00000000">
            <w:pPr>
              <w:rPr>
                <w:rFonts w:ascii="Times New Roman" w:eastAsia="Times New Roman" w:hAnsi="Times New Roman" w:cs="Times New Roman"/>
              </w:rPr>
            </w:pPr>
            <w:r>
              <w:rPr>
                <w:color w:val="000000"/>
                <w:sz w:val="20"/>
                <w:szCs w:val="20"/>
              </w:rPr>
              <w:t>Proyecto Mirador Enhanced Distribution of Improved Cookstoves in Latin America - First VPA for Distribution of Dos por Tres Cookstoves in Honduras</w:t>
            </w:r>
          </w:p>
        </w:tc>
        <w:tc>
          <w:tcPr>
            <w:tcW w:w="112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10315F1" w14:textId="77777777" w:rsidR="000E5CD4" w:rsidRDefault="00000000">
            <w:pPr>
              <w:rPr>
                <w:rFonts w:ascii="Times New Roman" w:eastAsia="Times New Roman" w:hAnsi="Times New Roman" w:cs="Times New Roman"/>
              </w:rPr>
            </w:pPr>
            <w:r>
              <w:rPr>
                <w:color w:val="000000"/>
                <w:sz w:val="20"/>
                <w:szCs w:val="20"/>
              </w:rPr>
              <w:t>GOLD</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E6D9444" w14:textId="77777777" w:rsidR="000E5CD4" w:rsidRDefault="00000000">
            <w:pPr>
              <w:rPr>
                <w:rFonts w:ascii="Times New Roman" w:eastAsia="Times New Roman" w:hAnsi="Times New Roman" w:cs="Times New Roman"/>
              </w:rPr>
            </w:pPr>
            <w:r>
              <w:rPr>
                <w:color w:val="000000"/>
                <w:sz w:val="20"/>
                <w:szCs w:val="20"/>
              </w:rPr>
              <w:t>GS TPDDTEC v 2.</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CDDED1D" w14:textId="77777777" w:rsidR="000E5CD4" w:rsidRDefault="00000000">
            <w:pPr>
              <w:rPr>
                <w:rFonts w:ascii="Times New Roman" w:eastAsia="Times New Roman" w:hAnsi="Times New Roman" w:cs="Times New Roman"/>
              </w:rPr>
            </w:pPr>
            <w:r>
              <w:rPr>
                <w:color w:val="000000"/>
                <w:sz w:val="20"/>
                <w:szCs w:val="20"/>
              </w:rPr>
              <w:t>Honduras</w:t>
            </w:r>
          </w:p>
        </w:tc>
      </w:tr>
      <w:tr w:rsidR="000E5CD4" w14:paraId="0B2207C4" w14:textId="77777777" w:rsidTr="00DC5418">
        <w:trPr>
          <w:trHeight w:val="320"/>
        </w:trPr>
        <w:tc>
          <w:tcPr>
            <w:tcW w:w="11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268FA47" w14:textId="77777777" w:rsidR="000E5CD4" w:rsidRDefault="00000000">
            <w:pPr>
              <w:rPr>
                <w:rFonts w:ascii="Times New Roman" w:eastAsia="Times New Roman" w:hAnsi="Times New Roman" w:cs="Times New Roman"/>
              </w:rPr>
            </w:pPr>
            <w:r>
              <w:rPr>
                <w:color w:val="000000"/>
                <w:sz w:val="20"/>
                <w:szCs w:val="20"/>
              </w:rPr>
              <w:t>GS5642</w:t>
            </w:r>
          </w:p>
        </w:tc>
        <w:tc>
          <w:tcPr>
            <w:tcW w:w="3540" w:type="dxa"/>
            <w:tcBorders>
              <w:top w:val="single" w:sz="4" w:space="0" w:color="000000"/>
              <w:left w:val="single" w:sz="4" w:space="0" w:color="000000"/>
              <w:bottom w:val="single" w:sz="4" w:space="0" w:color="auto"/>
              <w:right w:val="single" w:sz="4" w:space="0" w:color="000000"/>
            </w:tcBorders>
            <w:tcMar>
              <w:top w:w="15" w:type="dxa"/>
              <w:left w:w="115" w:type="dxa"/>
              <w:bottom w:w="15" w:type="dxa"/>
              <w:right w:w="115" w:type="dxa"/>
            </w:tcMar>
          </w:tcPr>
          <w:p w14:paraId="10561916" w14:textId="77777777" w:rsidR="000E5CD4" w:rsidRDefault="00000000">
            <w:pPr>
              <w:rPr>
                <w:rFonts w:ascii="Times New Roman" w:eastAsia="Times New Roman" w:hAnsi="Times New Roman" w:cs="Times New Roman"/>
              </w:rPr>
            </w:pPr>
            <w:r>
              <w:rPr>
                <w:color w:val="000000"/>
                <w:sz w:val="20"/>
                <w:szCs w:val="20"/>
              </w:rPr>
              <w:t>Burn Stoves Project in Kenya</w:t>
            </w:r>
          </w:p>
        </w:tc>
        <w:tc>
          <w:tcPr>
            <w:tcW w:w="112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20D29AD" w14:textId="77777777" w:rsidR="000E5CD4" w:rsidRDefault="00000000">
            <w:pPr>
              <w:rPr>
                <w:rFonts w:ascii="Times New Roman" w:eastAsia="Times New Roman" w:hAnsi="Times New Roman" w:cs="Times New Roman"/>
              </w:rPr>
            </w:pPr>
            <w:r>
              <w:rPr>
                <w:color w:val="000000"/>
                <w:sz w:val="20"/>
                <w:szCs w:val="20"/>
              </w:rPr>
              <w:t>GOLD</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E04A3AB" w14:textId="77777777" w:rsidR="000E5CD4" w:rsidRDefault="00000000">
            <w:pPr>
              <w:rPr>
                <w:rFonts w:ascii="Times New Roman" w:eastAsia="Times New Roman" w:hAnsi="Times New Roman" w:cs="Times New Roman"/>
              </w:rPr>
            </w:pPr>
            <w:r>
              <w:rPr>
                <w:color w:val="000000"/>
                <w:sz w:val="20"/>
                <w:szCs w:val="20"/>
              </w:rPr>
              <w:t>GS TPDDTEC v 2.</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307BE72" w14:textId="77777777" w:rsidR="000E5CD4" w:rsidRDefault="00000000">
            <w:pPr>
              <w:rPr>
                <w:rFonts w:ascii="Times New Roman" w:eastAsia="Times New Roman" w:hAnsi="Times New Roman" w:cs="Times New Roman"/>
              </w:rPr>
            </w:pPr>
            <w:r>
              <w:rPr>
                <w:color w:val="000000"/>
                <w:sz w:val="20"/>
                <w:szCs w:val="20"/>
              </w:rPr>
              <w:t>Kenya</w:t>
            </w:r>
          </w:p>
        </w:tc>
      </w:tr>
      <w:tr w:rsidR="000E5CD4" w14:paraId="61FFB78E" w14:textId="77777777" w:rsidTr="00DC5418">
        <w:trPr>
          <w:trHeight w:val="320"/>
        </w:trPr>
        <w:tc>
          <w:tcPr>
            <w:tcW w:w="1140" w:type="dxa"/>
            <w:tcBorders>
              <w:top w:val="single" w:sz="4" w:space="0" w:color="000000"/>
              <w:left w:val="single" w:sz="4" w:space="0" w:color="000000"/>
              <w:bottom w:val="single" w:sz="4" w:space="0" w:color="000000"/>
              <w:right w:val="single" w:sz="4" w:space="0" w:color="auto"/>
            </w:tcBorders>
            <w:tcMar>
              <w:top w:w="15" w:type="dxa"/>
              <w:left w:w="115" w:type="dxa"/>
              <w:bottom w:w="15" w:type="dxa"/>
              <w:right w:w="115" w:type="dxa"/>
            </w:tcMar>
          </w:tcPr>
          <w:p w14:paraId="3390907E" w14:textId="77777777" w:rsidR="000E5CD4" w:rsidRDefault="00000000">
            <w:pPr>
              <w:rPr>
                <w:color w:val="000000"/>
                <w:sz w:val="20"/>
                <w:szCs w:val="20"/>
              </w:rPr>
            </w:pPr>
            <w:r>
              <w:rPr>
                <w:sz w:val="20"/>
                <w:szCs w:val="20"/>
              </w:rPr>
              <w:t>GS1146</w:t>
            </w:r>
          </w:p>
        </w:tc>
        <w:tc>
          <w:tcPr>
            <w:tcW w:w="3540" w:type="dxa"/>
            <w:tcBorders>
              <w:top w:val="single" w:sz="4" w:space="0" w:color="auto"/>
              <w:left w:val="single" w:sz="4" w:space="0" w:color="auto"/>
              <w:bottom w:val="single" w:sz="4" w:space="0" w:color="auto"/>
              <w:right w:val="single" w:sz="4" w:space="0" w:color="auto"/>
            </w:tcBorders>
            <w:tcMar>
              <w:top w:w="20" w:type="dxa"/>
              <w:left w:w="20" w:type="dxa"/>
              <w:bottom w:w="100" w:type="dxa"/>
              <w:right w:w="20" w:type="dxa"/>
            </w:tcMar>
            <w:vAlign w:val="bottom"/>
          </w:tcPr>
          <w:p w14:paraId="4C0404A5" w14:textId="77777777" w:rsidR="000E5CD4" w:rsidRDefault="00000000">
            <w:pPr>
              <w:rPr>
                <w:sz w:val="20"/>
                <w:szCs w:val="20"/>
              </w:rPr>
            </w:pPr>
            <w:r>
              <w:rPr>
                <w:sz w:val="20"/>
                <w:szCs w:val="20"/>
              </w:rPr>
              <w:t>Expanding access to LPG in Burkina Faso through microfranchised distribution</w:t>
            </w:r>
          </w:p>
        </w:tc>
        <w:tc>
          <w:tcPr>
            <w:tcW w:w="1125" w:type="dxa"/>
            <w:tcBorders>
              <w:top w:val="single" w:sz="4" w:space="0" w:color="000000"/>
              <w:left w:val="single" w:sz="4" w:space="0" w:color="auto"/>
              <w:bottom w:val="single" w:sz="4" w:space="0" w:color="000000"/>
              <w:right w:val="single" w:sz="4" w:space="0" w:color="000000"/>
            </w:tcBorders>
            <w:tcMar>
              <w:top w:w="15" w:type="dxa"/>
              <w:left w:w="115" w:type="dxa"/>
              <w:bottom w:w="15" w:type="dxa"/>
              <w:right w:w="115" w:type="dxa"/>
            </w:tcMar>
          </w:tcPr>
          <w:p w14:paraId="513303BC" w14:textId="77777777" w:rsidR="000E5CD4" w:rsidRDefault="00000000">
            <w:pPr>
              <w:rPr>
                <w:color w:val="000000"/>
                <w:sz w:val="20"/>
                <w:szCs w:val="20"/>
              </w:rPr>
            </w:pPr>
            <w:r>
              <w:rPr>
                <w:sz w:val="20"/>
                <w:szCs w:val="20"/>
              </w:rPr>
              <w:t>GOLD</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D231C50" w14:textId="77777777" w:rsidR="000E5CD4" w:rsidRDefault="00000000">
            <w:pPr>
              <w:rPr>
                <w:color w:val="000000"/>
                <w:sz w:val="20"/>
                <w:szCs w:val="20"/>
              </w:rPr>
            </w:pPr>
            <w:r>
              <w:rPr>
                <w:sz w:val="20"/>
                <w:szCs w:val="20"/>
              </w:rPr>
              <w:t>GS TPDDTEC v 2.</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701FACF" w14:textId="77777777" w:rsidR="000E5CD4" w:rsidRDefault="00000000">
            <w:pPr>
              <w:rPr>
                <w:color w:val="000000"/>
                <w:sz w:val="20"/>
                <w:szCs w:val="20"/>
              </w:rPr>
            </w:pPr>
            <w:r>
              <w:rPr>
                <w:sz w:val="20"/>
                <w:szCs w:val="20"/>
              </w:rPr>
              <w:t>Burkina Faso</w:t>
            </w:r>
          </w:p>
        </w:tc>
      </w:tr>
      <w:tr w:rsidR="000E5CD4" w14:paraId="43E2BFA9" w14:textId="77777777" w:rsidTr="00DC5418">
        <w:trPr>
          <w:trHeight w:val="320"/>
        </w:trPr>
        <w:tc>
          <w:tcPr>
            <w:tcW w:w="1140" w:type="dxa"/>
            <w:tcBorders>
              <w:top w:val="single" w:sz="4" w:space="0" w:color="000000"/>
              <w:left w:val="single" w:sz="4" w:space="0" w:color="000000"/>
              <w:bottom w:val="single" w:sz="4" w:space="0" w:color="000000"/>
              <w:right w:val="single" w:sz="4" w:space="0" w:color="auto"/>
            </w:tcBorders>
            <w:tcMar>
              <w:top w:w="15" w:type="dxa"/>
              <w:left w:w="115" w:type="dxa"/>
              <w:bottom w:w="15" w:type="dxa"/>
              <w:right w:w="115" w:type="dxa"/>
            </w:tcMar>
          </w:tcPr>
          <w:p w14:paraId="2A31B30E" w14:textId="77777777" w:rsidR="000E5CD4" w:rsidRDefault="00000000">
            <w:pPr>
              <w:rPr>
                <w:color w:val="000000"/>
                <w:sz w:val="20"/>
                <w:szCs w:val="20"/>
              </w:rPr>
            </w:pPr>
            <w:r>
              <w:rPr>
                <w:sz w:val="20"/>
                <w:szCs w:val="20"/>
              </w:rPr>
              <w:t>GS11330</w:t>
            </w:r>
          </w:p>
        </w:tc>
        <w:tc>
          <w:tcPr>
            <w:tcW w:w="3540" w:type="dxa"/>
            <w:tcBorders>
              <w:top w:val="single" w:sz="4" w:space="0" w:color="auto"/>
              <w:left w:val="single" w:sz="4" w:space="0" w:color="auto"/>
              <w:bottom w:val="single" w:sz="4" w:space="0" w:color="auto"/>
              <w:right w:val="single" w:sz="4" w:space="0" w:color="auto"/>
            </w:tcBorders>
            <w:shd w:val="clear" w:color="auto" w:fill="auto"/>
            <w:tcMar>
              <w:top w:w="20" w:type="dxa"/>
              <w:left w:w="20" w:type="dxa"/>
              <w:bottom w:w="100" w:type="dxa"/>
              <w:right w:w="20" w:type="dxa"/>
            </w:tcMar>
            <w:vAlign w:val="bottom"/>
          </w:tcPr>
          <w:p w14:paraId="4FAEEC36" w14:textId="77777777" w:rsidR="000E5CD4" w:rsidRDefault="00000000">
            <w:pPr>
              <w:rPr>
                <w:sz w:val="20"/>
                <w:szCs w:val="20"/>
              </w:rPr>
            </w:pPr>
            <w:r>
              <w:rPr>
                <w:sz w:val="20"/>
                <w:szCs w:val="20"/>
              </w:rPr>
              <w:t>Circle Gas LPG Smart Meter Program</w:t>
            </w:r>
          </w:p>
        </w:tc>
        <w:tc>
          <w:tcPr>
            <w:tcW w:w="1125" w:type="dxa"/>
            <w:tcBorders>
              <w:top w:val="single" w:sz="4" w:space="0" w:color="000000"/>
              <w:left w:val="single" w:sz="4" w:space="0" w:color="auto"/>
              <w:bottom w:val="single" w:sz="4" w:space="0" w:color="000000"/>
              <w:right w:val="single" w:sz="4" w:space="0" w:color="000000"/>
            </w:tcBorders>
            <w:shd w:val="clear" w:color="auto" w:fill="auto"/>
            <w:tcMar>
              <w:top w:w="15" w:type="dxa"/>
              <w:left w:w="115" w:type="dxa"/>
              <w:bottom w:w="15" w:type="dxa"/>
              <w:right w:w="115" w:type="dxa"/>
            </w:tcMar>
          </w:tcPr>
          <w:p w14:paraId="04A8C271" w14:textId="77777777" w:rsidR="000E5CD4" w:rsidRDefault="00000000">
            <w:pPr>
              <w:rPr>
                <w:color w:val="000000"/>
                <w:sz w:val="20"/>
                <w:szCs w:val="20"/>
              </w:rPr>
            </w:pPr>
            <w:r>
              <w:rPr>
                <w:sz w:val="20"/>
                <w:szCs w:val="20"/>
              </w:rPr>
              <w:t>GOLD</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9380EF7" w14:textId="77777777" w:rsidR="000E5CD4" w:rsidRDefault="00000000">
            <w:pPr>
              <w:rPr>
                <w:color w:val="000000"/>
                <w:sz w:val="20"/>
                <w:szCs w:val="20"/>
              </w:rPr>
            </w:pPr>
            <w:r>
              <w:rPr>
                <w:sz w:val="20"/>
                <w:szCs w:val="20"/>
              </w:rPr>
              <w:t>GS TPDDTEC v3.1</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6A2F01F" w14:textId="77777777" w:rsidR="000E5CD4" w:rsidRDefault="00000000">
            <w:pPr>
              <w:rPr>
                <w:color w:val="000000"/>
                <w:sz w:val="20"/>
                <w:szCs w:val="20"/>
              </w:rPr>
            </w:pPr>
            <w:r>
              <w:rPr>
                <w:sz w:val="20"/>
                <w:szCs w:val="20"/>
              </w:rPr>
              <w:t>Kenya</w:t>
            </w:r>
          </w:p>
        </w:tc>
      </w:tr>
      <w:tr w:rsidR="000E5CD4" w14:paraId="733FC453" w14:textId="77777777" w:rsidTr="00DC5418">
        <w:trPr>
          <w:trHeight w:val="320"/>
        </w:trPr>
        <w:tc>
          <w:tcPr>
            <w:tcW w:w="1140" w:type="dxa"/>
            <w:tcBorders>
              <w:top w:val="single" w:sz="4" w:space="0" w:color="000000"/>
              <w:left w:val="single" w:sz="4" w:space="0" w:color="000000"/>
              <w:bottom w:val="single" w:sz="4" w:space="0" w:color="000000"/>
              <w:right w:val="single" w:sz="4" w:space="0" w:color="auto"/>
            </w:tcBorders>
            <w:tcMar>
              <w:top w:w="15" w:type="dxa"/>
              <w:left w:w="115" w:type="dxa"/>
              <w:bottom w:w="15" w:type="dxa"/>
              <w:right w:w="115" w:type="dxa"/>
            </w:tcMar>
          </w:tcPr>
          <w:p w14:paraId="6CDF8D89" w14:textId="77777777" w:rsidR="000E5CD4" w:rsidRDefault="00000000">
            <w:pPr>
              <w:rPr>
                <w:rFonts w:ascii="Times New Roman" w:eastAsia="Times New Roman" w:hAnsi="Times New Roman" w:cs="Times New Roman"/>
              </w:rPr>
            </w:pPr>
            <w:r>
              <w:rPr>
                <w:color w:val="000000"/>
                <w:sz w:val="20"/>
                <w:szCs w:val="20"/>
              </w:rPr>
              <w:t>GS7578</w:t>
            </w:r>
          </w:p>
        </w:tc>
        <w:tc>
          <w:tcPr>
            <w:tcW w:w="3540" w:type="dxa"/>
            <w:tcBorders>
              <w:top w:val="single" w:sz="4" w:space="0" w:color="auto"/>
              <w:left w:val="single" w:sz="4" w:space="0" w:color="auto"/>
              <w:bottom w:val="single" w:sz="4" w:space="0" w:color="auto"/>
              <w:right w:val="single" w:sz="4" w:space="0" w:color="auto"/>
            </w:tcBorders>
            <w:tcMar>
              <w:top w:w="15" w:type="dxa"/>
              <w:left w:w="115" w:type="dxa"/>
              <w:bottom w:w="15" w:type="dxa"/>
              <w:right w:w="115" w:type="dxa"/>
            </w:tcMar>
          </w:tcPr>
          <w:p w14:paraId="5745A420" w14:textId="77777777" w:rsidR="000E5CD4" w:rsidRDefault="00000000">
            <w:pPr>
              <w:rPr>
                <w:rFonts w:ascii="Times New Roman" w:eastAsia="Times New Roman" w:hAnsi="Times New Roman" w:cs="Times New Roman"/>
              </w:rPr>
            </w:pPr>
            <w:r>
              <w:rPr>
                <w:color w:val="000000"/>
                <w:sz w:val="20"/>
                <w:szCs w:val="20"/>
              </w:rPr>
              <w:t>Garner Mozambique - BioEthanol Cookstoves Project CPA1</w:t>
            </w:r>
          </w:p>
        </w:tc>
        <w:tc>
          <w:tcPr>
            <w:tcW w:w="1125" w:type="dxa"/>
            <w:tcBorders>
              <w:top w:val="single" w:sz="4" w:space="0" w:color="000000"/>
              <w:left w:val="single" w:sz="4" w:space="0" w:color="auto"/>
              <w:bottom w:val="single" w:sz="4" w:space="0" w:color="000000"/>
              <w:right w:val="single" w:sz="4" w:space="0" w:color="000000"/>
            </w:tcBorders>
            <w:tcMar>
              <w:top w:w="15" w:type="dxa"/>
              <w:left w:w="115" w:type="dxa"/>
              <w:bottom w:w="15" w:type="dxa"/>
              <w:right w:w="115" w:type="dxa"/>
            </w:tcMar>
          </w:tcPr>
          <w:p w14:paraId="25B63412" w14:textId="77777777" w:rsidR="000E5CD4" w:rsidRDefault="00000000">
            <w:pPr>
              <w:rPr>
                <w:rFonts w:ascii="Times New Roman" w:eastAsia="Times New Roman" w:hAnsi="Times New Roman" w:cs="Times New Roman"/>
              </w:rPr>
            </w:pPr>
            <w:r>
              <w:rPr>
                <w:color w:val="000000"/>
                <w:sz w:val="20"/>
                <w:szCs w:val="20"/>
              </w:rPr>
              <w:t>GOLD</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9F86536" w14:textId="77777777" w:rsidR="000E5CD4" w:rsidRDefault="00000000">
            <w:pPr>
              <w:rPr>
                <w:rFonts w:ascii="Times New Roman" w:eastAsia="Times New Roman" w:hAnsi="Times New Roman" w:cs="Times New Roman"/>
              </w:rPr>
            </w:pPr>
            <w:r>
              <w:rPr>
                <w:color w:val="000000"/>
                <w:sz w:val="20"/>
                <w:szCs w:val="20"/>
              </w:rPr>
              <w:t>AMS-I.E. Switch from Non-Renewable Biomass for Thermal Applications by the User v10</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94FBE2E" w14:textId="77777777" w:rsidR="000E5CD4" w:rsidRDefault="00000000">
            <w:pPr>
              <w:rPr>
                <w:rFonts w:ascii="Times New Roman" w:eastAsia="Times New Roman" w:hAnsi="Times New Roman" w:cs="Times New Roman"/>
              </w:rPr>
            </w:pPr>
            <w:r>
              <w:rPr>
                <w:color w:val="000000"/>
                <w:sz w:val="20"/>
                <w:szCs w:val="20"/>
              </w:rPr>
              <w:t>Mozambique</w:t>
            </w:r>
          </w:p>
        </w:tc>
      </w:tr>
      <w:tr w:rsidR="000E5CD4" w14:paraId="5225094A" w14:textId="77777777" w:rsidTr="00DC5418">
        <w:trPr>
          <w:trHeight w:val="320"/>
        </w:trPr>
        <w:tc>
          <w:tcPr>
            <w:tcW w:w="11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05B8748" w14:textId="77777777" w:rsidR="000E5CD4" w:rsidRDefault="00000000">
            <w:pPr>
              <w:rPr>
                <w:rFonts w:ascii="Times New Roman" w:eastAsia="Times New Roman" w:hAnsi="Times New Roman" w:cs="Times New Roman"/>
              </w:rPr>
            </w:pPr>
            <w:r>
              <w:rPr>
                <w:color w:val="000000"/>
                <w:sz w:val="20"/>
                <w:szCs w:val="20"/>
              </w:rPr>
              <w:t>GS2513</w:t>
            </w:r>
          </w:p>
        </w:tc>
        <w:tc>
          <w:tcPr>
            <w:tcW w:w="3540" w:type="dxa"/>
            <w:tcBorders>
              <w:top w:val="single" w:sz="4" w:space="0" w:color="auto"/>
              <w:left w:val="single" w:sz="4" w:space="0" w:color="000000"/>
              <w:bottom w:val="single" w:sz="4" w:space="0" w:color="000000"/>
              <w:right w:val="single" w:sz="4" w:space="0" w:color="000000"/>
            </w:tcBorders>
            <w:tcMar>
              <w:top w:w="15" w:type="dxa"/>
              <w:left w:w="115" w:type="dxa"/>
              <w:bottom w:w="15" w:type="dxa"/>
              <w:right w:w="115" w:type="dxa"/>
            </w:tcMar>
          </w:tcPr>
          <w:p w14:paraId="0261BAFD" w14:textId="77777777" w:rsidR="000E5CD4" w:rsidRDefault="00000000">
            <w:pPr>
              <w:rPr>
                <w:rFonts w:ascii="Times New Roman" w:eastAsia="Times New Roman" w:hAnsi="Times New Roman" w:cs="Times New Roman"/>
              </w:rPr>
            </w:pPr>
            <w:r>
              <w:rPr>
                <w:color w:val="000000"/>
                <w:sz w:val="20"/>
                <w:szCs w:val="20"/>
              </w:rPr>
              <w:t>Cleanstar Mozambique - Maputo Ethanol Cookstove and Cooking Fuel Project 1</w:t>
            </w:r>
          </w:p>
        </w:tc>
        <w:tc>
          <w:tcPr>
            <w:tcW w:w="112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A4F29B0" w14:textId="77777777" w:rsidR="000E5CD4" w:rsidRDefault="00000000">
            <w:pPr>
              <w:rPr>
                <w:rFonts w:ascii="Times New Roman" w:eastAsia="Times New Roman" w:hAnsi="Times New Roman" w:cs="Times New Roman"/>
              </w:rPr>
            </w:pPr>
            <w:r>
              <w:rPr>
                <w:color w:val="000000"/>
                <w:sz w:val="20"/>
                <w:szCs w:val="20"/>
              </w:rPr>
              <w:t>GOLD</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9FF4478" w14:textId="77777777" w:rsidR="000E5CD4" w:rsidRDefault="00000000">
            <w:pPr>
              <w:rPr>
                <w:rFonts w:ascii="Times New Roman" w:eastAsia="Times New Roman" w:hAnsi="Times New Roman" w:cs="Times New Roman"/>
              </w:rPr>
            </w:pPr>
            <w:r>
              <w:rPr>
                <w:color w:val="000000"/>
                <w:sz w:val="20"/>
                <w:szCs w:val="20"/>
              </w:rPr>
              <w:t>AMS-I.E. Switch from Non-Renewable Biomass for Thermal Applications by the User v5</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0F27FFD" w14:textId="77777777" w:rsidR="000E5CD4" w:rsidRDefault="00000000">
            <w:pPr>
              <w:rPr>
                <w:rFonts w:ascii="Times New Roman" w:eastAsia="Times New Roman" w:hAnsi="Times New Roman" w:cs="Times New Roman"/>
              </w:rPr>
            </w:pPr>
            <w:r>
              <w:rPr>
                <w:color w:val="000000"/>
                <w:sz w:val="20"/>
                <w:szCs w:val="20"/>
              </w:rPr>
              <w:t>Mozambique</w:t>
            </w:r>
          </w:p>
        </w:tc>
      </w:tr>
      <w:tr w:rsidR="000E5CD4" w14:paraId="39A0389B" w14:textId="77777777">
        <w:trPr>
          <w:trHeight w:val="320"/>
        </w:trPr>
        <w:tc>
          <w:tcPr>
            <w:tcW w:w="11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1E249CD" w14:textId="77777777" w:rsidR="000E5CD4" w:rsidRDefault="00000000">
            <w:pPr>
              <w:rPr>
                <w:rFonts w:ascii="Times New Roman" w:eastAsia="Times New Roman" w:hAnsi="Times New Roman" w:cs="Times New Roman"/>
              </w:rPr>
            </w:pPr>
            <w:r>
              <w:rPr>
                <w:color w:val="000000"/>
                <w:sz w:val="20"/>
                <w:szCs w:val="20"/>
              </w:rPr>
              <w:t>GS4677</w:t>
            </w:r>
          </w:p>
        </w:tc>
        <w:tc>
          <w:tcPr>
            <w:tcW w:w="35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1362939" w14:textId="77777777" w:rsidR="000E5CD4" w:rsidRDefault="00000000">
            <w:pPr>
              <w:rPr>
                <w:rFonts w:ascii="Times New Roman" w:eastAsia="Times New Roman" w:hAnsi="Times New Roman" w:cs="Times New Roman"/>
              </w:rPr>
            </w:pPr>
            <w:r>
              <w:rPr>
                <w:color w:val="000000"/>
                <w:sz w:val="20"/>
                <w:szCs w:val="20"/>
              </w:rPr>
              <w:t>Project Gaia Cook Stove Programme of Activities CPA0003 Ethiopia</w:t>
            </w:r>
          </w:p>
        </w:tc>
        <w:tc>
          <w:tcPr>
            <w:tcW w:w="112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5D82AF9" w14:textId="77777777" w:rsidR="000E5CD4" w:rsidRDefault="00000000">
            <w:pPr>
              <w:rPr>
                <w:rFonts w:ascii="Times New Roman" w:eastAsia="Times New Roman" w:hAnsi="Times New Roman" w:cs="Times New Roman"/>
              </w:rPr>
            </w:pPr>
            <w:r>
              <w:rPr>
                <w:color w:val="000000"/>
                <w:sz w:val="20"/>
                <w:szCs w:val="20"/>
              </w:rPr>
              <w:t>GOLD</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0F5864C" w14:textId="77777777" w:rsidR="000E5CD4" w:rsidRDefault="00000000">
            <w:pPr>
              <w:rPr>
                <w:rFonts w:ascii="Times New Roman" w:eastAsia="Times New Roman" w:hAnsi="Times New Roman" w:cs="Times New Roman"/>
              </w:rPr>
            </w:pPr>
            <w:r>
              <w:rPr>
                <w:color w:val="000000"/>
                <w:sz w:val="20"/>
                <w:szCs w:val="20"/>
              </w:rPr>
              <w:t>AMS-I.E. Switch from Non-Renewable Biomass for Thermal Applications by the User v6</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62DE467" w14:textId="77777777" w:rsidR="000E5CD4" w:rsidRDefault="00000000">
            <w:pPr>
              <w:rPr>
                <w:rFonts w:ascii="Times New Roman" w:eastAsia="Times New Roman" w:hAnsi="Times New Roman" w:cs="Times New Roman"/>
              </w:rPr>
            </w:pPr>
            <w:r>
              <w:rPr>
                <w:color w:val="000000"/>
                <w:sz w:val="20"/>
                <w:szCs w:val="20"/>
              </w:rPr>
              <w:t>Ethiopia</w:t>
            </w:r>
          </w:p>
        </w:tc>
      </w:tr>
      <w:tr w:rsidR="000E5CD4" w14:paraId="2C1B7C12" w14:textId="77777777">
        <w:trPr>
          <w:trHeight w:val="320"/>
        </w:trPr>
        <w:tc>
          <w:tcPr>
            <w:tcW w:w="11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2A86F72" w14:textId="77777777" w:rsidR="000E5CD4" w:rsidRDefault="00000000">
            <w:pPr>
              <w:rPr>
                <w:rFonts w:ascii="Times New Roman" w:eastAsia="Times New Roman" w:hAnsi="Times New Roman" w:cs="Times New Roman"/>
              </w:rPr>
            </w:pPr>
            <w:r>
              <w:rPr>
                <w:color w:val="000000"/>
                <w:sz w:val="20"/>
                <w:szCs w:val="20"/>
              </w:rPr>
              <w:t>GS11352</w:t>
            </w:r>
          </w:p>
        </w:tc>
        <w:tc>
          <w:tcPr>
            <w:tcW w:w="35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2C839CA" w14:textId="77777777" w:rsidR="000E5CD4" w:rsidRDefault="00000000">
            <w:pPr>
              <w:rPr>
                <w:rFonts w:ascii="Times New Roman" w:eastAsia="Times New Roman" w:hAnsi="Times New Roman" w:cs="Times New Roman"/>
              </w:rPr>
            </w:pPr>
            <w:r>
              <w:rPr>
                <w:color w:val="000000"/>
                <w:sz w:val="20"/>
                <w:szCs w:val="20"/>
              </w:rPr>
              <w:t>Kenyan biomass gassification for clean cooking</w:t>
            </w:r>
          </w:p>
        </w:tc>
        <w:tc>
          <w:tcPr>
            <w:tcW w:w="112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65DB7E5" w14:textId="77777777" w:rsidR="000E5CD4" w:rsidRDefault="00000000">
            <w:pPr>
              <w:rPr>
                <w:rFonts w:ascii="Times New Roman" w:eastAsia="Times New Roman" w:hAnsi="Times New Roman" w:cs="Times New Roman"/>
                <w:sz w:val="20"/>
                <w:szCs w:val="20"/>
              </w:rPr>
            </w:pPr>
            <w:r>
              <w:rPr>
                <w:color w:val="000000"/>
                <w:sz w:val="20"/>
                <w:szCs w:val="20"/>
              </w:rPr>
              <w:t>GOLD</w:t>
            </w:r>
          </w:p>
        </w:tc>
        <w:tc>
          <w:tcPr>
            <w:tcW w:w="2235" w:type="dxa"/>
            <w:tcBorders>
              <w:top w:val="nil"/>
              <w:left w:val="nil"/>
              <w:bottom w:val="nil"/>
              <w:right w:val="nil"/>
            </w:tcBorders>
            <w:tcMar>
              <w:top w:w="0" w:type="dxa"/>
              <w:left w:w="0" w:type="dxa"/>
              <w:bottom w:w="0" w:type="dxa"/>
              <w:right w:w="0" w:type="dxa"/>
            </w:tcMar>
            <w:vAlign w:val="bottom"/>
          </w:tcPr>
          <w:p w14:paraId="0464D145" w14:textId="77777777" w:rsidR="000E5CD4" w:rsidRDefault="00000000">
            <w:pPr>
              <w:rPr>
                <w:rFonts w:ascii="Times New Roman" w:eastAsia="Times New Roman" w:hAnsi="Times New Roman" w:cs="Times New Roman"/>
                <w:sz w:val="20"/>
                <w:szCs w:val="20"/>
              </w:rPr>
            </w:pPr>
            <w:r>
              <w:rPr>
                <w:sz w:val="20"/>
                <w:szCs w:val="20"/>
              </w:rPr>
              <w:t xml:space="preserve">Gold Standard “Methodology for metered &amp; measured energy cooking devices”1, version 1.0 </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ABCE7F5" w14:textId="77777777" w:rsidR="000E5CD4" w:rsidRDefault="00000000">
            <w:pPr>
              <w:rPr>
                <w:rFonts w:ascii="Times New Roman" w:eastAsia="Times New Roman" w:hAnsi="Times New Roman" w:cs="Times New Roman"/>
              </w:rPr>
            </w:pPr>
            <w:r>
              <w:rPr>
                <w:color w:val="000000"/>
                <w:sz w:val="20"/>
                <w:szCs w:val="20"/>
              </w:rPr>
              <w:t>Kenya</w:t>
            </w:r>
          </w:p>
        </w:tc>
      </w:tr>
      <w:tr w:rsidR="000E5CD4" w14:paraId="3797E0E1" w14:textId="77777777">
        <w:trPr>
          <w:trHeight w:val="320"/>
        </w:trPr>
        <w:tc>
          <w:tcPr>
            <w:tcW w:w="11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5737EC1" w14:textId="77777777" w:rsidR="000E5CD4" w:rsidRDefault="00000000">
            <w:pPr>
              <w:rPr>
                <w:rFonts w:ascii="Times New Roman" w:eastAsia="Times New Roman" w:hAnsi="Times New Roman" w:cs="Times New Roman"/>
              </w:rPr>
            </w:pPr>
            <w:r>
              <w:rPr>
                <w:color w:val="000000"/>
                <w:sz w:val="20"/>
                <w:szCs w:val="20"/>
              </w:rPr>
              <w:t>GS11509</w:t>
            </w:r>
          </w:p>
        </w:tc>
        <w:tc>
          <w:tcPr>
            <w:tcW w:w="35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AD27F24" w14:textId="77777777" w:rsidR="000E5CD4" w:rsidRDefault="00000000">
            <w:pPr>
              <w:rPr>
                <w:rFonts w:ascii="Times New Roman" w:eastAsia="Times New Roman" w:hAnsi="Times New Roman" w:cs="Times New Roman"/>
              </w:rPr>
            </w:pPr>
            <w:r>
              <w:rPr>
                <w:color w:val="000000"/>
                <w:sz w:val="20"/>
                <w:szCs w:val="20"/>
              </w:rPr>
              <w:t>Clean cooking with biomass gasification in Zambia (VPA1)</w:t>
            </w:r>
          </w:p>
        </w:tc>
        <w:tc>
          <w:tcPr>
            <w:tcW w:w="112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864576D" w14:textId="77777777" w:rsidR="000E5CD4" w:rsidRDefault="00000000">
            <w:pPr>
              <w:rPr>
                <w:rFonts w:ascii="Times New Roman" w:eastAsia="Times New Roman" w:hAnsi="Times New Roman" w:cs="Times New Roman"/>
              </w:rPr>
            </w:pPr>
            <w:r>
              <w:rPr>
                <w:color w:val="000000"/>
                <w:sz w:val="20"/>
                <w:szCs w:val="20"/>
              </w:rPr>
              <w:t>GOLD</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C7AD825" w14:textId="77777777" w:rsidR="000E5CD4" w:rsidRDefault="00000000">
            <w:pPr>
              <w:rPr>
                <w:rFonts w:ascii="Times New Roman" w:eastAsia="Times New Roman" w:hAnsi="Times New Roman" w:cs="Times New Roman"/>
              </w:rPr>
            </w:pPr>
            <w:r>
              <w:rPr>
                <w:color w:val="000000"/>
                <w:sz w:val="20"/>
                <w:szCs w:val="20"/>
              </w:rPr>
              <w:t>G</w:t>
            </w:r>
            <w:r>
              <w:rPr>
                <w:sz w:val="20"/>
                <w:szCs w:val="20"/>
              </w:rPr>
              <w:t xml:space="preserve">old Standard “Methodology for metered &amp; measured energy cooking devices”1, version 1.0 </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FC304B1" w14:textId="77777777" w:rsidR="000E5CD4" w:rsidRDefault="00000000">
            <w:pPr>
              <w:rPr>
                <w:rFonts w:ascii="Times New Roman" w:eastAsia="Times New Roman" w:hAnsi="Times New Roman" w:cs="Times New Roman"/>
              </w:rPr>
            </w:pPr>
            <w:r>
              <w:rPr>
                <w:color w:val="000000"/>
                <w:sz w:val="20"/>
                <w:szCs w:val="20"/>
              </w:rPr>
              <w:t>Zambia</w:t>
            </w:r>
          </w:p>
        </w:tc>
      </w:tr>
      <w:tr w:rsidR="000E5CD4" w14:paraId="187F9A06" w14:textId="77777777">
        <w:trPr>
          <w:trHeight w:val="320"/>
        </w:trPr>
        <w:tc>
          <w:tcPr>
            <w:tcW w:w="11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89AE4C3" w14:textId="77777777" w:rsidR="000E5CD4" w:rsidRDefault="00000000">
            <w:pPr>
              <w:rPr>
                <w:rFonts w:ascii="Times New Roman" w:eastAsia="Times New Roman" w:hAnsi="Times New Roman" w:cs="Times New Roman"/>
              </w:rPr>
            </w:pPr>
            <w:r>
              <w:rPr>
                <w:color w:val="000000"/>
                <w:sz w:val="20"/>
                <w:szCs w:val="20"/>
              </w:rPr>
              <w:t>GS11507</w:t>
            </w:r>
          </w:p>
        </w:tc>
        <w:tc>
          <w:tcPr>
            <w:tcW w:w="35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947028D" w14:textId="77777777" w:rsidR="000E5CD4" w:rsidRDefault="00000000">
            <w:pPr>
              <w:rPr>
                <w:rFonts w:ascii="Times New Roman" w:eastAsia="Times New Roman" w:hAnsi="Times New Roman" w:cs="Times New Roman"/>
              </w:rPr>
            </w:pPr>
            <w:r>
              <w:rPr>
                <w:color w:val="000000"/>
                <w:sz w:val="20"/>
                <w:szCs w:val="20"/>
              </w:rPr>
              <w:t>Advanced biomass cooking solutions by Biomassters in Rwanda (VPA1)</w:t>
            </w:r>
          </w:p>
        </w:tc>
        <w:tc>
          <w:tcPr>
            <w:tcW w:w="112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439C2C6" w14:textId="77777777" w:rsidR="000E5CD4" w:rsidRDefault="00000000">
            <w:pPr>
              <w:rPr>
                <w:rFonts w:ascii="Times New Roman" w:eastAsia="Times New Roman" w:hAnsi="Times New Roman" w:cs="Times New Roman"/>
              </w:rPr>
            </w:pPr>
            <w:r>
              <w:rPr>
                <w:color w:val="000000"/>
                <w:sz w:val="20"/>
                <w:szCs w:val="20"/>
              </w:rPr>
              <w:t>GOLD</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6F200D1" w14:textId="77777777" w:rsidR="000E5CD4" w:rsidRDefault="00000000">
            <w:pPr>
              <w:rPr>
                <w:rFonts w:ascii="Times New Roman" w:eastAsia="Times New Roman" w:hAnsi="Times New Roman" w:cs="Times New Roman"/>
              </w:rPr>
            </w:pPr>
            <w:r>
              <w:rPr>
                <w:color w:val="000000"/>
                <w:sz w:val="20"/>
                <w:szCs w:val="20"/>
              </w:rPr>
              <w:t>G</w:t>
            </w:r>
            <w:r>
              <w:rPr>
                <w:sz w:val="20"/>
                <w:szCs w:val="20"/>
              </w:rPr>
              <w:t xml:space="preserve">old Standard “Methodology for metered &amp; measured energy cooking devices”1, version 1.0 </w:t>
            </w:r>
            <w:r>
              <w:rPr>
                <w:color w:val="000000"/>
                <w:sz w:val="20"/>
                <w:szCs w:val="20"/>
              </w:rPr>
              <w:t> </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D16386E" w14:textId="77777777" w:rsidR="000E5CD4" w:rsidRDefault="00000000">
            <w:pPr>
              <w:rPr>
                <w:rFonts w:ascii="Times New Roman" w:eastAsia="Times New Roman" w:hAnsi="Times New Roman" w:cs="Times New Roman"/>
              </w:rPr>
            </w:pPr>
            <w:r>
              <w:rPr>
                <w:color w:val="000000"/>
                <w:sz w:val="20"/>
                <w:szCs w:val="20"/>
              </w:rPr>
              <w:t>Rwanda</w:t>
            </w:r>
          </w:p>
        </w:tc>
      </w:tr>
      <w:tr w:rsidR="000E5CD4" w14:paraId="0AE8B8B2" w14:textId="77777777">
        <w:trPr>
          <w:trHeight w:val="320"/>
        </w:trPr>
        <w:tc>
          <w:tcPr>
            <w:tcW w:w="11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2448549" w14:textId="77777777" w:rsidR="000E5CD4" w:rsidRDefault="00000000">
            <w:pPr>
              <w:rPr>
                <w:rFonts w:ascii="Times New Roman" w:eastAsia="Times New Roman" w:hAnsi="Times New Roman" w:cs="Times New Roman"/>
              </w:rPr>
            </w:pPr>
            <w:r>
              <w:rPr>
                <w:color w:val="000000"/>
                <w:sz w:val="20"/>
                <w:szCs w:val="20"/>
              </w:rPr>
              <w:t>GS6129</w:t>
            </w:r>
          </w:p>
        </w:tc>
        <w:tc>
          <w:tcPr>
            <w:tcW w:w="35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9BA28B2" w14:textId="77777777" w:rsidR="000E5CD4" w:rsidRDefault="00000000">
            <w:pPr>
              <w:rPr>
                <w:rFonts w:ascii="Times New Roman" w:eastAsia="Times New Roman" w:hAnsi="Times New Roman" w:cs="Times New Roman"/>
              </w:rPr>
            </w:pPr>
            <w:r>
              <w:rPr>
                <w:color w:val="000000"/>
                <w:sz w:val="20"/>
                <w:szCs w:val="20"/>
              </w:rPr>
              <w:t>GS1729 Myanmar Stoves Campaign - Soneva in Myanmar - VPA No. 007</w:t>
            </w:r>
          </w:p>
        </w:tc>
        <w:tc>
          <w:tcPr>
            <w:tcW w:w="112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5B81327" w14:textId="77777777" w:rsidR="000E5CD4" w:rsidRDefault="00000000">
            <w:pPr>
              <w:rPr>
                <w:rFonts w:ascii="Times New Roman" w:eastAsia="Times New Roman" w:hAnsi="Times New Roman" w:cs="Times New Roman"/>
              </w:rPr>
            </w:pPr>
            <w:r>
              <w:rPr>
                <w:color w:val="000000"/>
                <w:sz w:val="20"/>
                <w:szCs w:val="20"/>
              </w:rPr>
              <w:t>GOLD</w:t>
            </w:r>
          </w:p>
        </w:tc>
        <w:tc>
          <w:tcPr>
            <w:tcW w:w="22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1C37485" w14:textId="77777777" w:rsidR="000E5CD4" w:rsidRDefault="00000000">
            <w:pPr>
              <w:rPr>
                <w:rFonts w:ascii="Times New Roman" w:eastAsia="Times New Roman" w:hAnsi="Times New Roman" w:cs="Times New Roman"/>
              </w:rPr>
            </w:pPr>
            <w:r>
              <w:rPr>
                <w:color w:val="000000"/>
                <w:sz w:val="20"/>
                <w:szCs w:val="20"/>
              </w:rPr>
              <w:t>GS MS Simplified Methodology for Efficient Cookstoves v1.</w:t>
            </w:r>
          </w:p>
        </w:tc>
        <w:tc>
          <w:tcPr>
            <w:tcW w:w="160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259D261" w14:textId="77777777" w:rsidR="000E5CD4" w:rsidRDefault="00000000">
            <w:pPr>
              <w:rPr>
                <w:rFonts w:ascii="Times New Roman" w:eastAsia="Times New Roman" w:hAnsi="Times New Roman" w:cs="Times New Roman"/>
              </w:rPr>
            </w:pPr>
            <w:r>
              <w:rPr>
                <w:color w:val="000000"/>
                <w:sz w:val="20"/>
                <w:szCs w:val="20"/>
              </w:rPr>
              <w:t>Myanmar</w:t>
            </w:r>
          </w:p>
        </w:tc>
      </w:tr>
    </w:tbl>
    <w:p w14:paraId="1D024CE6" w14:textId="77777777" w:rsidR="000E5CD4" w:rsidRDefault="00000000">
      <w:pPr>
        <w:spacing w:after="200"/>
        <w:rPr>
          <w:rFonts w:ascii="Times New Roman" w:eastAsia="Times New Roman" w:hAnsi="Times New Roman" w:cs="Times New Roman"/>
        </w:rPr>
      </w:pPr>
      <w:r>
        <w:br w:type="page"/>
      </w:r>
    </w:p>
    <w:p w14:paraId="7C4CCAEC" w14:textId="77777777" w:rsidR="000E5CD4" w:rsidRDefault="000E5CD4">
      <w:pPr>
        <w:spacing w:after="200"/>
        <w:rPr>
          <w:rFonts w:ascii="Times New Roman" w:eastAsia="Times New Roman" w:hAnsi="Times New Roman" w:cs="Times New Roman"/>
        </w:rPr>
      </w:pPr>
    </w:p>
    <w:p w14:paraId="2911C8DB" w14:textId="77777777" w:rsidR="000E5CD4" w:rsidRDefault="000E5CD4">
      <w:pPr>
        <w:pBdr>
          <w:top w:val="nil"/>
          <w:left w:val="nil"/>
          <w:bottom w:val="nil"/>
          <w:right w:val="nil"/>
          <w:between w:val="nil"/>
        </w:pBdr>
        <w:ind w:left="720"/>
        <w:rPr>
          <w:b/>
          <w:sz w:val="20"/>
          <w:szCs w:val="20"/>
        </w:rPr>
      </w:pPr>
    </w:p>
    <w:p w14:paraId="2A533C9F" w14:textId="77777777" w:rsidR="000E5CD4" w:rsidRDefault="00000000">
      <w:pPr>
        <w:pStyle w:val="Heading2"/>
        <w:numPr>
          <w:ilvl w:val="0"/>
          <w:numId w:val="4"/>
        </w:numPr>
      </w:pPr>
      <w:bookmarkStart w:id="2" w:name="_auyceeev5zsk" w:colFirst="0" w:colLast="0"/>
      <w:bookmarkEnd w:id="2"/>
      <w:r>
        <w:t>Supplemental Monte Carlo Runs </w:t>
      </w:r>
    </w:p>
    <w:p w14:paraId="5649690A" w14:textId="77777777" w:rsidR="000E5CD4" w:rsidRDefault="000E5CD4">
      <w:pPr>
        <w:rPr>
          <w:color w:val="FF0000"/>
          <w:sz w:val="20"/>
          <w:szCs w:val="20"/>
        </w:rPr>
      </w:pPr>
    </w:p>
    <w:p w14:paraId="594F9732" w14:textId="77777777" w:rsidR="000E5CD4" w:rsidRDefault="000E5CD4">
      <w:pPr>
        <w:rPr>
          <w:sz w:val="20"/>
          <w:szCs w:val="20"/>
        </w:rPr>
      </w:pPr>
    </w:p>
    <w:p w14:paraId="5D684EF3" w14:textId="77777777" w:rsidR="000E5CD4" w:rsidRDefault="00000000">
      <w:pPr>
        <w:numPr>
          <w:ilvl w:val="0"/>
          <w:numId w:val="5"/>
        </w:numPr>
        <w:pBdr>
          <w:top w:val="nil"/>
          <w:left w:val="nil"/>
          <w:bottom w:val="nil"/>
          <w:right w:val="nil"/>
          <w:between w:val="nil"/>
        </w:pBdr>
        <w:rPr>
          <w:b/>
          <w:color w:val="000000"/>
          <w:sz w:val="20"/>
          <w:szCs w:val="20"/>
        </w:rPr>
      </w:pPr>
      <w:r>
        <w:rPr>
          <w:b/>
          <w:sz w:val="20"/>
          <w:szCs w:val="20"/>
        </w:rPr>
        <w:t xml:space="preserve">Excluding adoption, usage, and stacking </w:t>
      </w:r>
    </w:p>
    <w:p w14:paraId="05A9AECD" w14:textId="77777777" w:rsidR="000E5CD4" w:rsidRDefault="000E5CD4">
      <w:pPr>
        <w:ind w:left="720" w:firstLine="720"/>
        <w:rPr>
          <w:sz w:val="20"/>
          <w:szCs w:val="20"/>
          <w:highlight w:val="white"/>
        </w:rPr>
      </w:pPr>
    </w:p>
    <w:p w14:paraId="59A39EE0" w14:textId="57AF1676" w:rsidR="000E5CD4" w:rsidRDefault="00000000">
      <w:pPr>
        <w:ind w:left="720" w:firstLine="720"/>
        <w:rPr>
          <w:sz w:val="20"/>
          <w:szCs w:val="20"/>
          <w:highlight w:val="yellow"/>
        </w:rPr>
      </w:pPr>
      <w:r>
        <w:rPr>
          <w:sz w:val="20"/>
          <w:szCs w:val="20"/>
        </w:rPr>
        <w:t>Neither AMS-I-E-Ethanol nor GS-Metered-Pellets had generated credits at the time of sampling, thus limiting us to ex-ante adoption, usage, and stacking rates. Therefore, we additionally evaluate only ex-post values across all protocols (i.e., excluding adoption, usage, and stacking rates). We find that GS-Metered-Pellet and AMS-I-E-Ethanol are only slightly over-credited 1.3 [1.3,1.3] and 1.5[1.4,1.5].</w:t>
      </w:r>
      <w:r w:rsidR="003C3E9E">
        <w:rPr>
          <w:sz w:val="20"/>
          <w:szCs w:val="20"/>
        </w:rPr>
        <w:t xml:space="preserve"> </w:t>
      </w:r>
      <w:r>
        <w:rPr>
          <w:sz w:val="20"/>
          <w:szCs w:val="20"/>
        </w:rPr>
        <w:t>All other methodology-stove combinations are over-credited (1.9-4.6x).</w:t>
      </w:r>
      <w:r>
        <w:rPr>
          <w:sz w:val="20"/>
          <w:szCs w:val="20"/>
          <w:highlight w:val="yellow"/>
        </w:rPr>
        <w:t xml:space="preserve"> </w:t>
      </w:r>
    </w:p>
    <w:p w14:paraId="7512DE40" w14:textId="77777777" w:rsidR="000E5CD4" w:rsidRDefault="000E5CD4">
      <w:pPr>
        <w:ind w:left="720" w:firstLine="720"/>
        <w:rPr>
          <w:sz w:val="20"/>
          <w:szCs w:val="20"/>
          <w:highlight w:val="yellow"/>
        </w:rPr>
      </w:pPr>
    </w:p>
    <w:p w14:paraId="6FE52626" w14:textId="63C4406A" w:rsidR="000E5CD4" w:rsidRDefault="00000000">
      <w:pPr>
        <w:ind w:left="720" w:firstLine="720"/>
        <w:rPr>
          <w:b/>
          <w:color w:val="000000"/>
          <w:sz w:val="20"/>
          <w:szCs w:val="20"/>
        </w:rPr>
      </w:pPr>
      <w:r>
        <w:rPr>
          <w:sz w:val="20"/>
          <w:szCs w:val="20"/>
        </w:rPr>
        <w:t>Without accounting for adoption, usage, and stacking (or assuming 100% adoption and usage, with 0% stacking), AMS-I-E-Ethanol and GS-Metered-Pellet projects reduce emissions by roughly 0.009 t</w:t>
      </w:r>
      <m:oMath>
        <m:r>
          <w:rPr>
            <w:rFonts w:ascii="Cambria Math" w:hAnsi="Cambria Math"/>
            <w:sz w:val="20"/>
            <w:szCs w:val="20"/>
          </w:rPr>
          <m:t>C</m:t>
        </m:r>
        <m:sSub>
          <m:sSubPr>
            <m:ctrlPr>
              <w:rPr>
                <w:rFonts w:ascii="Cambria Math" w:hAnsi="Cambria Math"/>
                <w:sz w:val="20"/>
                <w:szCs w:val="20"/>
              </w:rPr>
            </m:ctrlPr>
          </m:sSubPr>
          <m:e>
            <m:r>
              <w:rPr>
                <w:rFonts w:ascii="Cambria Math" w:hAnsi="Cambria Math"/>
                <w:sz w:val="20"/>
                <w:szCs w:val="20"/>
              </w:rPr>
              <m:t>O</m:t>
            </m:r>
          </m:e>
          <m:sub>
            <m:r>
              <w:rPr>
                <w:rFonts w:ascii="Cambria Math" w:hAnsi="Cambria Math"/>
                <w:sz w:val="20"/>
                <w:szCs w:val="20"/>
              </w:rPr>
              <m:t>2</m:t>
            </m:r>
          </m:sub>
        </m:sSub>
      </m:oMath>
      <w:r>
        <w:rPr>
          <w:sz w:val="20"/>
          <w:szCs w:val="20"/>
        </w:rPr>
        <w:t>e per stove-day due to their renewable feedstocks, and thus minimal project emissions, followed by GS-Charcoal projects (0.005 t</w:t>
      </w:r>
      <m:oMath>
        <m:r>
          <w:rPr>
            <w:rFonts w:ascii="Cambria Math" w:hAnsi="Cambria Math"/>
            <w:sz w:val="20"/>
            <w:szCs w:val="20"/>
          </w:rPr>
          <m:t>C</m:t>
        </m:r>
        <m:sSub>
          <m:sSubPr>
            <m:ctrlPr>
              <w:rPr>
                <w:rFonts w:ascii="Cambria Math" w:hAnsi="Cambria Math"/>
                <w:sz w:val="20"/>
                <w:szCs w:val="20"/>
              </w:rPr>
            </m:ctrlPr>
          </m:sSubPr>
          <m:e>
            <m:r>
              <w:rPr>
                <w:rFonts w:ascii="Cambria Math" w:hAnsi="Cambria Math"/>
                <w:sz w:val="20"/>
                <w:szCs w:val="20"/>
              </w:rPr>
              <m:t>O</m:t>
            </m:r>
          </m:e>
          <m:sub>
            <m:r>
              <w:rPr>
                <w:rFonts w:ascii="Cambria Math" w:hAnsi="Cambria Math"/>
                <w:sz w:val="20"/>
                <w:szCs w:val="20"/>
              </w:rPr>
              <m:t>2</m:t>
            </m:r>
          </m:sub>
        </m:sSub>
      </m:oMath>
      <w:r>
        <w:rPr>
          <w:sz w:val="20"/>
          <w:szCs w:val="20"/>
        </w:rPr>
        <w:t>e per stove-day ) and then GS-LPG, GS-Firewood, AMS-II-G-Charcoal and Firewood projects (0.003, 0.003, 0.003, and 0.002 t</w:t>
      </w:r>
      <m:oMath>
        <m:r>
          <w:rPr>
            <w:rFonts w:ascii="Cambria Math" w:hAnsi="Cambria Math"/>
            <w:sz w:val="20"/>
            <w:szCs w:val="20"/>
          </w:rPr>
          <m:t>C</m:t>
        </m:r>
        <m:sSub>
          <m:sSubPr>
            <m:ctrlPr>
              <w:rPr>
                <w:rFonts w:ascii="Cambria Math" w:hAnsi="Cambria Math"/>
                <w:sz w:val="20"/>
                <w:szCs w:val="20"/>
              </w:rPr>
            </m:ctrlPr>
          </m:sSubPr>
          <m:e>
            <m:r>
              <w:rPr>
                <w:rFonts w:ascii="Cambria Math" w:hAnsi="Cambria Math"/>
                <w:sz w:val="20"/>
                <w:szCs w:val="20"/>
              </w:rPr>
              <m:t>O</m:t>
            </m:r>
          </m:e>
          <m:sub>
            <m:r>
              <w:rPr>
                <w:rFonts w:ascii="Cambria Math" w:hAnsi="Cambria Math"/>
                <w:sz w:val="20"/>
                <w:szCs w:val="20"/>
              </w:rPr>
              <m:t>2</m:t>
            </m:r>
          </m:sub>
        </m:sSub>
      </m:oMath>
      <w:r>
        <w:rPr>
          <w:sz w:val="20"/>
          <w:szCs w:val="20"/>
        </w:rPr>
        <w:t>e per stove-day) respectively.</w:t>
      </w:r>
    </w:p>
    <w:p w14:paraId="44F56508" w14:textId="77777777" w:rsidR="000E5CD4" w:rsidRDefault="00000000">
      <w:pPr>
        <w:spacing w:after="240"/>
      </w:pPr>
      <w:r>
        <w:br w:type="page"/>
      </w:r>
    </w:p>
    <w:p w14:paraId="1531CD09" w14:textId="77777777" w:rsidR="000E5CD4" w:rsidRDefault="000E5CD4">
      <w:pPr>
        <w:spacing w:after="240"/>
      </w:pPr>
    </w:p>
    <w:p w14:paraId="32937FAD" w14:textId="77777777" w:rsidR="000E5CD4" w:rsidRDefault="00000000">
      <w:pPr>
        <w:pStyle w:val="Heading2"/>
        <w:numPr>
          <w:ilvl w:val="0"/>
          <w:numId w:val="4"/>
        </w:numPr>
      </w:pPr>
      <w:bookmarkStart w:id="3" w:name="_uzfqkewzbq8e" w:colFirst="0" w:colLast="0"/>
      <w:bookmarkEnd w:id="3"/>
      <w:r>
        <w:t>Location Analysis </w:t>
      </w:r>
    </w:p>
    <w:p w14:paraId="5F95EC88" w14:textId="77777777" w:rsidR="000E5CD4" w:rsidRDefault="00000000">
      <w:pPr>
        <w:rPr>
          <w:rFonts w:ascii="Times New Roman" w:eastAsia="Times New Roman" w:hAnsi="Times New Roman" w:cs="Times New Roman"/>
        </w:rPr>
      </w:pPr>
      <w:r>
        <w:rPr>
          <w:rFonts w:ascii="Times New Roman" w:eastAsia="Times New Roman" w:hAnsi="Times New Roman" w:cs="Times New Roman"/>
          <w:noProof/>
        </w:rPr>
        <w:drawing>
          <wp:inline distT="114300" distB="114300" distL="114300" distR="114300" wp14:anchorId="6B2CF796" wp14:editId="37231DF1">
            <wp:extent cx="5943600" cy="71247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t="43" b="43"/>
                    <a:stretch>
                      <a:fillRect/>
                    </a:stretch>
                  </pic:blipFill>
                  <pic:spPr>
                    <a:xfrm>
                      <a:off x="0" y="0"/>
                      <a:ext cx="5943600" cy="7124700"/>
                    </a:xfrm>
                    <a:prstGeom prst="rect">
                      <a:avLst/>
                    </a:prstGeom>
                    <a:ln/>
                  </pic:spPr>
                </pic:pic>
              </a:graphicData>
            </a:graphic>
          </wp:inline>
        </w:drawing>
      </w:r>
    </w:p>
    <w:p w14:paraId="15A011B3" w14:textId="72FD9FA8" w:rsidR="000E5CD4" w:rsidRDefault="00000000">
      <w:pPr>
        <w:spacing w:after="200"/>
        <w:rPr>
          <w:rFonts w:ascii="Times New Roman" w:eastAsia="Times New Roman" w:hAnsi="Times New Roman" w:cs="Times New Roman"/>
        </w:rPr>
      </w:pPr>
      <w:r>
        <w:rPr>
          <w:b/>
          <w:i/>
          <w:color w:val="44546A"/>
          <w:sz w:val="18"/>
          <w:szCs w:val="18"/>
        </w:rPr>
        <w:t>Figure S3.</w:t>
      </w:r>
      <w:r w:rsidR="003C3E9E">
        <w:rPr>
          <w:b/>
          <w:i/>
          <w:color w:val="44546A"/>
          <w:sz w:val="18"/>
          <w:szCs w:val="18"/>
        </w:rPr>
        <w:t xml:space="preserve"> </w:t>
      </w:r>
      <w:r>
        <w:rPr>
          <w:i/>
          <w:color w:val="44546A"/>
          <w:sz w:val="18"/>
          <w:szCs w:val="18"/>
        </w:rPr>
        <w:t>The amount of over/under crediting after quantifying all factors and a specific set of factors by project location. The color indicates the average over- or under-crediting</w:t>
      </w:r>
    </w:p>
    <w:p w14:paraId="38D3AFE8" w14:textId="77777777" w:rsidR="000E5CD4" w:rsidRDefault="000E5CD4">
      <w:pPr>
        <w:ind w:left="720"/>
        <w:rPr>
          <w:b/>
          <w:sz w:val="20"/>
          <w:szCs w:val="20"/>
        </w:rPr>
      </w:pPr>
    </w:p>
    <w:p w14:paraId="2C1033BF" w14:textId="77777777" w:rsidR="000E5CD4" w:rsidRDefault="00000000">
      <w:pPr>
        <w:pStyle w:val="Heading2"/>
        <w:numPr>
          <w:ilvl w:val="0"/>
          <w:numId w:val="4"/>
        </w:numPr>
      </w:pPr>
      <w:bookmarkStart w:id="4" w:name="_uc9b4ihmmtx8" w:colFirst="0" w:colLast="0"/>
      <w:bookmarkEnd w:id="4"/>
      <w:r>
        <w:t>Methodology Surveys</w:t>
      </w:r>
    </w:p>
    <w:p w14:paraId="049DDF69" w14:textId="77777777" w:rsidR="000E5CD4" w:rsidRDefault="000E5CD4">
      <w:pPr>
        <w:pBdr>
          <w:top w:val="nil"/>
          <w:left w:val="nil"/>
          <w:bottom w:val="nil"/>
          <w:right w:val="nil"/>
          <w:between w:val="nil"/>
        </w:pBdr>
        <w:ind w:left="720"/>
        <w:jc w:val="center"/>
        <w:rPr>
          <w:i/>
          <w:sz w:val="20"/>
          <w:szCs w:val="20"/>
        </w:rPr>
      </w:pPr>
    </w:p>
    <w:p w14:paraId="37907B63" w14:textId="03DBA38C" w:rsidR="000E5CD4" w:rsidRDefault="00000000">
      <w:pPr>
        <w:pBdr>
          <w:top w:val="nil"/>
          <w:left w:val="nil"/>
          <w:bottom w:val="nil"/>
          <w:right w:val="nil"/>
          <w:between w:val="nil"/>
        </w:pBdr>
        <w:ind w:left="720"/>
        <w:jc w:val="center"/>
        <w:rPr>
          <w:i/>
          <w:sz w:val="20"/>
          <w:szCs w:val="20"/>
        </w:rPr>
      </w:pPr>
      <w:r>
        <w:rPr>
          <w:i/>
          <w:sz w:val="20"/>
          <w:szCs w:val="20"/>
        </w:rPr>
        <w:t xml:space="preserve">Please note that </w:t>
      </w:r>
      <w:r w:rsidR="00133FEA">
        <w:rPr>
          <w:i/>
          <w:sz w:val="20"/>
          <w:szCs w:val="20"/>
        </w:rPr>
        <w:t xml:space="preserve">in this section </w:t>
      </w:r>
      <w:r>
        <w:rPr>
          <w:i/>
          <w:sz w:val="20"/>
          <w:szCs w:val="20"/>
        </w:rPr>
        <w:t>we use the methodologies</w:t>
      </w:r>
      <w:r w:rsidR="00133FEA">
        <w:rPr>
          <w:i/>
          <w:sz w:val="20"/>
          <w:szCs w:val="20"/>
        </w:rPr>
        <w:t>’</w:t>
      </w:r>
      <w:r>
        <w:rPr>
          <w:i/>
          <w:sz w:val="20"/>
          <w:szCs w:val="20"/>
        </w:rPr>
        <w:t xml:space="preserve"> definitions of usage, not</w:t>
      </w:r>
      <w:r w:rsidR="00133FEA">
        <w:rPr>
          <w:i/>
          <w:sz w:val="20"/>
          <w:szCs w:val="20"/>
        </w:rPr>
        <w:t xml:space="preserve"> </w:t>
      </w:r>
      <w:r>
        <w:rPr>
          <w:i/>
          <w:sz w:val="20"/>
          <w:szCs w:val="20"/>
        </w:rPr>
        <w:t>ou</w:t>
      </w:r>
      <w:r w:rsidR="00133FEA">
        <w:rPr>
          <w:i/>
          <w:sz w:val="20"/>
          <w:szCs w:val="20"/>
        </w:rPr>
        <w:t xml:space="preserve">r definitions (see main text) </w:t>
      </w:r>
    </w:p>
    <w:p w14:paraId="3CDA604E" w14:textId="77777777" w:rsidR="000E5CD4" w:rsidRDefault="000E5CD4">
      <w:pPr>
        <w:rPr>
          <w:rFonts w:ascii="Times New Roman" w:eastAsia="Times New Roman" w:hAnsi="Times New Roman" w:cs="Times New Roman"/>
        </w:rPr>
      </w:pPr>
    </w:p>
    <w:p w14:paraId="2E4249AE" w14:textId="570A9694" w:rsidR="000E5CD4" w:rsidRDefault="00000000">
      <w:pPr>
        <w:rPr>
          <w:rFonts w:ascii="Times New Roman" w:eastAsia="Times New Roman" w:hAnsi="Times New Roman" w:cs="Times New Roman"/>
        </w:rPr>
      </w:pPr>
      <w:r>
        <w:rPr>
          <w:rFonts w:ascii="Times New Roman" w:eastAsia="Times New Roman" w:hAnsi="Times New Roman" w:cs="Times New Roman"/>
        </w:rPr>
        <w:br/>
      </w:r>
    </w:p>
    <w:p w14:paraId="40116A42" w14:textId="77777777" w:rsidR="000E5CD4" w:rsidRDefault="00000000">
      <w:pPr>
        <w:numPr>
          <w:ilvl w:val="0"/>
          <w:numId w:val="1"/>
        </w:numPr>
        <w:pBdr>
          <w:top w:val="nil"/>
          <w:left w:val="nil"/>
          <w:bottom w:val="nil"/>
          <w:right w:val="nil"/>
          <w:between w:val="nil"/>
        </w:pBdr>
        <w:rPr>
          <w:i/>
          <w:color w:val="000000"/>
          <w:sz w:val="20"/>
          <w:szCs w:val="20"/>
        </w:rPr>
      </w:pPr>
      <w:r>
        <w:rPr>
          <w:i/>
          <w:color w:val="000000"/>
          <w:sz w:val="20"/>
          <w:szCs w:val="20"/>
        </w:rPr>
        <w:t>CDM II G and CDM I E</w:t>
      </w:r>
    </w:p>
    <w:p w14:paraId="77263BD7" w14:textId="77777777" w:rsidR="000E5CD4" w:rsidRDefault="000E5CD4">
      <w:pPr>
        <w:rPr>
          <w:rFonts w:ascii="Times New Roman" w:eastAsia="Times New Roman" w:hAnsi="Times New Roman" w:cs="Times New Roman"/>
        </w:rPr>
      </w:pPr>
    </w:p>
    <w:p w14:paraId="10D2AD75" w14:textId="77777777" w:rsidR="000E5CD4" w:rsidRDefault="00000000">
      <w:pPr>
        <w:rPr>
          <w:rFonts w:ascii="Times New Roman" w:eastAsia="Times New Roman" w:hAnsi="Times New Roman" w:cs="Times New Roman"/>
        </w:rPr>
      </w:pPr>
      <w:r>
        <w:rPr>
          <w:color w:val="000000"/>
          <w:sz w:val="20"/>
          <w:szCs w:val="20"/>
        </w:rPr>
        <w:t>CDM II G and C</w:t>
      </w:r>
      <w:r>
        <w:rPr>
          <w:i/>
          <w:color w:val="000000"/>
          <w:sz w:val="20"/>
          <w:szCs w:val="20"/>
        </w:rPr>
        <w:t xml:space="preserve">DM I E </w:t>
      </w:r>
      <w:r>
        <w:rPr>
          <w:color w:val="000000"/>
          <w:sz w:val="20"/>
          <w:szCs w:val="20"/>
        </w:rPr>
        <w:t>provide a suggested project survey to track usage which relies on the questions: </w:t>
      </w:r>
    </w:p>
    <w:p w14:paraId="7D5508D6" w14:textId="77777777" w:rsidR="000E5CD4" w:rsidRDefault="00000000">
      <w:pPr>
        <w:numPr>
          <w:ilvl w:val="0"/>
          <w:numId w:val="3"/>
        </w:numPr>
        <w:rPr>
          <w:color w:val="000000"/>
          <w:sz w:val="20"/>
          <w:szCs w:val="20"/>
        </w:rPr>
      </w:pPr>
      <w:r>
        <w:rPr>
          <w:color w:val="000000"/>
          <w:sz w:val="20"/>
          <w:szCs w:val="20"/>
        </w:rPr>
        <w:t>Do you use the project cookstove? </w:t>
      </w:r>
    </w:p>
    <w:p w14:paraId="424107CE" w14:textId="77777777" w:rsidR="000E5CD4" w:rsidRDefault="00000000">
      <w:pPr>
        <w:numPr>
          <w:ilvl w:val="0"/>
          <w:numId w:val="3"/>
        </w:numPr>
        <w:rPr>
          <w:color w:val="000000"/>
          <w:sz w:val="20"/>
          <w:szCs w:val="20"/>
        </w:rPr>
      </w:pPr>
      <w:r>
        <w:rPr>
          <w:color w:val="000000"/>
          <w:sz w:val="20"/>
          <w:szCs w:val="20"/>
        </w:rPr>
        <w:t>If yes, have you used the stove regularly since you installed it?</w:t>
      </w:r>
    </w:p>
    <w:p w14:paraId="53D552A9" w14:textId="77777777" w:rsidR="000E5CD4" w:rsidRDefault="00000000">
      <w:pPr>
        <w:numPr>
          <w:ilvl w:val="0"/>
          <w:numId w:val="3"/>
        </w:numPr>
        <w:rPr>
          <w:color w:val="000000"/>
          <w:sz w:val="20"/>
          <w:szCs w:val="20"/>
        </w:rPr>
      </w:pPr>
      <w:r>
        <w:rPr>
          <w:color w:val="000000"/>
          <w:sz w:val="20"/>
          <w:szCs w:val="20"/>
        </w:rPr>
        <w:t>How many meals did you prepare using project cookstove last week or last month?</w:t>
      </w:r>
    </w:p>
    <w:p w14:paraId="39D0FBA8" w14:textId="77777777" w:rsidR="000E5CD4" w:rsidRDefault="00000000">
      <w:pPr>
        <w:numPr>
          <w:ilvl w:val="0"/>
          <w:numId w:val="3"/>
        </w:numPr>
        <w:rPr>
          <w:color w:val="000000"/>
          <w:sz w:val="20"/>
          <w:szCs w:val="20"/>
        </w:rPr>
      </w:pPr>
      <w:r>
        <w:rPr>
          <w:color w:val="000000"/>
          <w:sz w:val="20"/>
          <w:szCs w:val="20"/>
        </w:rPr>
        <w:t>Do you use your traditional baseline cookstove also?</w:t>
      </w:r>
    </w:p>
    <w:p w14:paraId="215322D7" w14:textId="77777777" w:rsidR="000E5CD4" w:rsidRDefault="00000000">
      <w:pPr>
        <w:numPr>
          <w:ilvl w:val="0"/>
          <w:numId w:val="3"/>
        </w:numPr>
        <w:rPr>
          <w:color w:val="000000"/>
          <w:sz w:val="20"/>
          <w:szCs w:val="20"/>
        </w:rPr>
      </w:pPr>
      <w:r>
        <w:rPr>
          <w:color w:val="000000"/>
          <w:sz w:val="20"/>
          <w:szCs w:val="20"/>
        </w:rPr>
        <w:t>If yes, how many meals did you prepare or last month?</w:t>
      </w:r>
    </w:p>
    <w:p w14:paraId="0D6C5E89" w14:textId="77777777" w:rsidR="000E5CD4" w:rsidRDefault="00000000">
      <w:pPr>
        <w:rPr>
          <w:rFonts w:ascii="Times New Roman" w:eastAsia="Times New Roman" w:hAnsi="Times New Roman" w:cs="Times New Roman"/>
        </w:rPr>
      </w:pPr>
      <w:r>
        <w:rPr>
          <w:color w:val="000000"/>
          <w:sz w:val="20"/>
          <w:szCs w:val="20"/>
        </w:rPr>
        <w:t>It encourages but does not require, physical checks such as feeling the stove, presence of ashes, etc. to verify usage. </w:t>
      </w:r>
    </w:p>
    <w:p w14:paraId="11736BBD" w14:textId="77777777" w:rsidR="000E5CD4" w:rsidRDefault="000E5CD4">
      <w:pPr>
        <w:rPr>
          <w:rFonts w:ascii="Times New Roman" w:eastAsia="Times New Roman" w:hAnsi="Times New Roman" w:cs="Times New Roman"/>
        </w:rPr>
      </w:pPr>
    </w:p>
    <w:p w14:paraId="13F8ED75" w14:textId="77777777" w:rsidR="000E5CD4" w:rsidRDefault="00000000">
      <w:pPr>
        <w:numPr>
          <w:ilvl w:val="0"/>
          <w:numId w:val="1"/>
        </w:numPr>
        <w:pBdr>
          <w:top w:val="nil"/>
          <w:left w:val="nil"/>
          <w:bottom w:val="nil"/>
          <w:right w:val="nil"/>
          <w:between w:val="nil"/>
        </w:pBdr>
        <w:rPr>
          <w:i/>
          <w:color w:val="000000"/>
          <w:sz w:val="20"/>
          <w:szCs w:val="20"/>
        </w:rPr>
      </w:pPr>
      <w:r>
        <w:rPr>
          <w:i/>
          <w:color w:val="000000"/>
          <w:sz w:val="20"/>
          <w:szCs w:val="20"/>
        </w:rPr>
        <w:t>GS TPDDTEC </w:t>
      </w:r>
    </w:p>
    <w:p w14:paraId="4FBA5308" w14:textId="77777777" w:rsidR="000E5CD4" w:rsidRDefault="000E5CD4">
      <w:pPr>
        <w:rPr>
          <w:rFonts w:ascii="Times New Roman" w:eastAsia="Times New Roman" w:hAnsi="Times New Roman" w:cs="Times New Roman"/>
        </w:rPr>
      </w:pPr>
    </w:p>
    <w:p w14:paraId="3A103638" w14:textId="2CC5A14D" w:rsidR="000E5CD4" w:rsidRDefault="00000000">
      <w:pPr>
        <w:rPr>
          <w:rFonts w:ascii="Times New Roman" w:eastAsia="Times New Roman" w:hAnsi="Times New Roman" w:cs="Times New Roman"/>
        </w:rPr>
      </w:pPr>
      <w:r>
        <w:rPr>
          <w:color w:val="000000"/>
          <w:sz w:val="20"/>
          <w:szCs w:val="20"/>
        </w:rPr>
        <w:t>In October of 2020, Gold Standard implemented new usage rate monitoring requirements which dictate three distinct levels of usage rate monitoring. Under the mandatory level, projects must define use and nonuse, conduct an in-person household usage survey, and verify the accuracy of the results. Under the good practice optional level, the project must a</w:t>
      </w:r>
      <w:r w:rsidR="00133FEA">
        <w:rPr>
          <w:color w:val="000000"/>
          <w:sz w:val="20"/>
          <w:szCs w:val="20"/>
        </w:rPr>
        <w:t xml:space="preserve">lso </w:t>
      </w:r>
      <w:r>
        <w:rPr>
          <w:color w:val="000000"/>
          <w:sz w:val="20"/>
          <w:szCs w:val="20"/>
        </w:rPr>
        <w:t>have field team training and supervision, end-user training and follow-ups, and an awareness campaign. Under the best practice optional level, the project must conduct continuous use monitoring. Under these levels, the projects can claim up to 75%, 90%, and 100% respectively. Additionally, the project has the option to define use such as time since last use or extent to which the traditional technology is displaced. The survey include</w:t>
      </w:r>
      <w:r w:rsidR="00133FEA">
        <w:rPr>
          <w:color w:val="000000"/>
          <w:sz w:val="20"/>
          <w:szCs w:val="20"/>
        </w:rPr>
        <w:t>s</w:t>
      </w:r>
      <w:r>
        <w:rPr>
          <w:color w:val="000000"/>
          <w:sz w:val="20"/>
          <w:szCs w:val="20"/>
        </w:rPr>
        <w:t xml:space="preserve"> kitchen observation, an interview with the primary cook, and photos of the kitchen area to confirm the house was visited. The interview with the primary cook should include data collection on the duration and frequency of use, as well as information on multiple stove use (‘stove stacking’) and seasonal trends. </w:t>
      </w:r>
    </w:p>
    <w:p w14:paraId="1AFCD3CB" w14:textId="77777777" w:rsidR="000E5CD4" w:rsidRDefault="000E5CD4">
      <w:pPr>
        <w:rPr>
          <w:rFonts w:ascii="Times New Roman" w:eastAsia="Times New Roman" w:hAnsi="Times New Roman" w:cs="Times New Roman"/>
        </w:rPr>
      </w:pPr>
    </w:p>
    <w:p w14:paraId="7055D73A" w14:textId="77777777" w:rsidR="000E5CD4" w:rsidRDefault="00000000">
      <w:pPr>
        <w:rPr>
          <w:rFonts w:ascii="Times New Roman" w:eastAsia="Times New Roman" w:hAnsi="Times New Roman" w:cs="Times New Roman"/>
        </w:rPr>
      </w:pPr>
      <w:r>
        <w:rPr>
          <w:color w:val="000000"/>
          <w:sz w:val="20"/>
          <w:szCs w:val="20"/>
        </w:rPr>
        <w:t xml:space="preserve">In May 2022, GS TPDDTEC released a new questionnaire tool to accompany their </w:t>
      </w:r>
      <w:r>
        <w:rPr>
          <w:sz w:val="20"/>
          <w:szCs w:val="20"/>
        </w:rPr>
        <w:t>methodology</w:t>
      </w:r>
      <w:r>
        <w:rPr>
          <w:color w:val="000000"/>
          <w:sz w:val="20"/>
          <w:szCs w:val="20"/>
        </w:rPr>
        <w:t>. The survey asks if the cookstoves used in the last seven days, by season. The survey asks the number of times per day or per week that the household utilizes a range of fuels, by season, but does not indicate if their firewood or charcoal use is in an unimproved (baseline) or an improved stove (project or other). </w:t>
      </w:r>
    </w:p>
    <w:p w14:paraId="282ECD06" w14:textId="77777777" w:rsidR="000E5CD4" w:rsidRDefault="000E5CD4">
      <w:pPr>
        <w:rPr>
          <w:rFonts w:ascii="Times New Roman" w:eastAsia="Times New Roman" w:hAnsi="Times New Roman" w:cs="Times New Roman"/>
        </w:rPr>
      </w:pPr>
    </w:p>
    <w:p w14:paraId="267C29E3" w14:textId="77777777" w:rsidR="000E5CD4" w:rsidRDefault="00000000">
      <w:pPr>
        <w:numPr>
          <w:ilvl w:val="0"/>
          <w:numId w:val="1"/>
        </w:numPr>
        <w:pBdr>
          <w:top w:val="nil"/>
          <w:left w:val="nil"/>
          <w:bottom w:val="nil"/>
          <w:right w:val="nil"/>
          <w:between w:val="nil"/>
        </w:pBdr>
        <w:rPr>
          <w:i/>
          <w:color w:val="000000"/>
          <w:sz w:val="20"/>
          <w:szCs w:val="20"/>
        </w:rPr>
      </w:pPr>
      <w:r>
        <w:rPr>
          <w:i/>
          <w:color w:val="000000"/>
          <w:sz w:val="20"/>
          <w:szCs w:val="20"/>
        </w:rPr>
        <w:t>GS Simplified </w:t>
      </w:r>
    </w:p>
    <w:p w14:paraId="045FA09E" w14:textId="77777777" w:rsidR="000E5CD4" w:rsidRDefault="000E5CD4">
      <w:pPr>
        <w:rPr>
          <w:rFonts w:ascii="Times New Roman" w:eastAsia="Times New Roman" w:hAnsi="Times New Roman" w:cs="Times New Roman"/>
        </w:rPr>
      </w:pPr>
    </w:p>
    <w:p w14:paraId="63A174E2" w14:textId="262D5829" w:rsidR="000E5CD4" w:rsidRDefault="00000000">
      <w:pPr>
        <w:rPr>
          <w:rFonts w:ascii="Times New Roman" w:eastAsia="Times New Roman" w:hAnsi="Times New Roman" w:cs="Times New Roman"/>
        </w:rPr>
      </w:pPr>
      <w:r>
        <w:rPr>
          <w:color w:val="000000"/>
          <w:sz w:val="20"/>
          <w:szCs w:val="20"/>
        </w:rPr>
        <w:t xml:space="preserve">GS Simplified is also subject to the Gold Standard’s new usage rate requirements. The sample survey provided determines the usage rate from the question: “Do you use the project cookstove?” The sample survey </w:t>
      </w:r>
      <w:r w:rsidR="00133FEA">
        <w:rPr>
          <w:color w:val="000000"/>
          <w:sz w:val="20"/>
          <w:szCs w:val="20"/>
        </w:rPr>
        <w:t>asks,</w:t>
      </w:r>
      <w:r>
        <w:rPr>
          <w:color w:val="000000"/>
          <w:sz w:val="20"/>
          <w:szCs w:val="20"/>
        </w:rPr>
        <w:t xml:space="preserve"> “when did you last use the project improved cookstove</w:t>
      </w:r>
      <w:r w:rsidR="00133FEA">
        <w:rPr>
          <w:color w:val="000000"/>
          <w:sz w:val="20"/>
          <w:szCs w:val="20"/>
        </w:rPr>
        <w:t xml:space="preserve">.” The </w:t>
      </w:r>
      <w:r>
        <w:rPr>
          <w:color w:val="000000"/>
          <w:sz w:val="20"/>
          <w:szCs w:val="20"/>
        </w:rPr>
        <w:t>survey doe</w:t>
      </w:r>
      <w:r w:rsidR="00133FEA">
        <w:rPr>
          <w:color w:val="000000"/>
          <w:sz w:val="20"/>
          <w:szCs w:val="20"/>
        </w:rPr>
        <w:t>s not</w:t>
      </w:r>
      <w:r>
        <w:rPr>
          <w:color w:val="000000"/>
          <w:sz w:val="20"/>
          <w:szCs w:val="20"/>
        </w:rPr>
        <w:t xml:space="preserve"> indicate that this second question is used to determine the usage rate. The discount factor is determined based on the number of meals cooked using the baseline stove</w:t>
      </w:r>
      <w:r w:rsidR="00133FEA">
        <w:rPr>
          <w:color w:val="000000"/>
          <w:sz w:val="20"/>
          <w:szCs w:val="20"/>
        </w:rPr>
        <w:t xml:space="preserve">, without asking total meals cooked over the </w:t>
      </w:r>
      <w:proofErr w:type="gramStart"/>
      <w:r w:rsidR="00133FEA">
        <w:rPr>
          <w:color w:val="000000"/>
          <w:sz w:val="20"/>
          <w:szCs w:val="20"/>
        </w:rPr>
        <w:t>time period</w:t>
      </w:r>
      <w:proofErr w:type="gramEnd"/>
      <w:r w:rsidR="00133FEA">
        <w:rPr>
          <w:color w:val="000000"/>
          <w:sz w:val="20"/>
          <w:szCs w:val="20"/>
        </w:rPr>
        <w:t>.</w:t>
      </w:r>
      <w:r>
        <w:rPr>
          <w:rFonts w:ascii="Times New Roman" w:eastAsia="Times New Roman" w:hAnsi="Times New Roman" w:cs="Times New Roman"/>
        </w:rPr>
        <w:br/>
      </w:r>
    </w:p>
    <w:p w14:paraId="440DF7BD" w14:textId="77777777" w:rsidR="000E5CD4" w:rsidRDefault="00000000">
      <w:pPr>
        <w:ind w:left="360"/>
        <w:rPr>
          <w:i/>
          <w:color w:val="000000"/>
          <w:sz w:val="20"/>
          <w:szCs w:val="20"/>
        </w:rPr>
      </w:pPr>
      <w:r>
        <w:rPr>
          <w:i/>
          <w:color w:val="000000"/>
          <w:sz w:val="20"/>
          <w:szCs w:val="20"/>
        </w:rPr>
        <w:t>D. GS Metered </w:t>
      </w:r>
    </w:p>
    <w:p w14:paraId="66E5EE3E" w14:textId="77777777" w:rsidR="000E5CD4" w:rsidRDefault="000E5CD4">
      <w:pPr>
        <w:rPr>
          <w:rFonts w:ascii="Times New Roman" w:eastAsia="Times New Roman" w:hAnsi="Times New Roman" w:cs="Times New Roman"/>
        </w:rPr>
      </w:pPr>
    </w:p>
    <w:p w14:paraId="1DF19F89" w14:textId="7A824CC9" w:rsidR="000E5CD4" w:rsidRDefault="00000000">
      <w:pPr>
        <w:rPr>
          <w:rFonts w:ascii="Times New Roman" w:eastAsia="Times New Roman" w:hAnsi="Times New Roman" w:cs="Times New Roman"/>
        </w:rPr>
      </w:pPr>
      <w:r>
        <w:rPr>
          <w:color w:val="000000"/>
          <w:sz w:val="20"/>
          <w:szCs w:val="20"/>
        </w:rPr>
        <w:t>In May 2022, GS Metered</w:t>
      </w:r>
      <w:r>
        <w:rPr>
          <w:sz w:val="20"/>
          <w:szCs w:val="20"/>
        </w:rPr>
        <w:t xml:space="preserve"> </w:t>
      </w:r>
      <w:r>
        <w:rPr>
          <w:color w:val="000000"/>
          <w:sz w:val="20"/>
          <w:szCs w:val="20"/>
        </w:rPr>
        <w:t xml:space="preserve">released a new questionnaire tool to accompany their </w:t>
      </w:r>
      <w:r>
        <w:rPr>
          <w:sz w:val="20"/>
          <w:szCs w:val="20"/>
        </w:rPr>
        <w:t>methodology; however, no survey is required (see methods)</w:t>
      </w:r>
      <w:r>
        <w:rPr>
          <w:color w:val="000000"/>
          <w:sz w:val="20"/>
          <w:szCs w:val="20"/>
        </w:rPr>
        <w:t xml:space="preserve">. They provide a cross-sectional survey that asks a few questions regarding the number of </w:t>
      </w:r>
      <w:r>
        <w:rPr>
          <w:color w:val="000000"/>
          <w:sz w:val="20"/>
          <w:szCs w:val="20"/>
        </w:rPr>
        <w:lastRenderedPageBreak/>
        <w:t>times each cookstove type was used in the past seven days; however, the questionnaire indicated that these questions are only used for the baseline survey. The usage rate is calculated from a single question, “Is the project improved cookstove (or technology) currently being used in your home? (If no, say thanks to HHs, stop the interview and record as non-usage</w:t>
      </w:r>
      <w:r w:rsidR="00133FEA">
        <w:rPr>
          <w:color w:val="000000"/>
          <w:sz w:val="20"/>
          <w:szCs w:val="20"/>
        </w:rPr>
        <w:t>.”</w:t>
      </w:r>
      <w:r>
        <w:rPr>
          <w:color w:val="000000"/>
          <w:sz w:val="20"/>
          <w:szCs w:val="20"/>
        </w:rPr>
        <w:t xml:space="preserve"> </w:t>
      </w:r>
    </w:p>
    <w:p w14:paraId="59820A88" w14:textId="77777777" w:rsidR="000E5CD4" w:rsidRDefault="000E5CD4">
      <w:pPr>
        <w:rPr>
          <w:rFonts w:ascii="Times New Roman" w:eastAsia="Times New Roman" w:hAnsi="Times New Roman" w:cs="Times New Roman"/>
        </w:rPr>
      </w:pPr>
    </w:p>
    <w:p w14:paraId="6CDAF359" w14:textId="77777777" w:rsidR="000E5CD4" w:rsidRDefault="00000000">
      <w:pPr>
        <w:rPr>
          <w:rFonts w:ascii="Times New Roman" w:eastAsia="Times New Roman" w:hAnsi="Times New Roman" w:cs="Times New Roman"/>
        </w:rPr>
      </w:pPr>
      <w:r>
        <w:rPr>
          <w:color w:val="000000"/>
          <w:sz w:val="20"/>
          <w:szCs w:val="20"/>
        </w:rPr>
        <w:t>No suggested questionnaire asks for the total number of cooking events. </w:t>
      </w:r>
    </w:p>
    <w:p w14:paraId="26B68569" w14:textId="77777777" w:rsidR="000E5CD4" w:rsidRDefault="00000000">
      <w:pPr>
        <w:spacing w:after="240"/>
        <w:rPr>
          <w:rFonts w:ascii="Times New Roman" w:eastAsia="Times New Roman" w:hAnsi="Times New Roman" w:cs="Times New Roman"/>
        </w:rPr>
      </w:pPr>
      <w:r>
        <w:br w:type="page"/>
      </w:r>
    </w:p>
    <w:p w14:paraId="4328CC29" w14:textId="77777777" w:rsidR="000E5CD4" w:rsidRDefault="000E5CD4">
      <w:pPr>
        <w:spacing w:after="240"/>
        <w:rPr>
          <w:rFonts w:ascii="Times New Roman" w:eastAsia="Times New Roman" w:hAnsi="Times New Roman" w:cs="Times New Roman"/>
        </w:rPr>
      </w:pPr>
    </w:p>
    <w:p w14:paraId="0F2D1185" w14:textId="77777777" w:rsidR="000E5CD4" w:rsidRDefault="00000000">
      <w:pPr>
        <w:pStyle w:val="Heading2"/>
        <w:numPr>
          <w:ilvl w:val="0"/>
          <w:numId w:val="4"/>
        </w:numPr>
      </w:pPr>
      <w:bookmarkStart w:id="5" w:name="_7vo8ry6rwv8r" w:colFirst="0" w:colLast="0"/>
      <w:bookmarkEnd w:id="5"/>
      <w:r>
        <w:t>Project Usage Rate Questions</w:t>
      </w:r>
    </w:p>
    <w:p w14:paraId="4F05DFE0" w14:textId="77777777" w:rsidR="000E5CD4" w:rsidRDefault="000E5CD4">
      <w:pPr>
        <w:rPr>
          <w:rFonts w:ascii="Times New Roman" w:eastAsia="Times New Roman" w:hAnsi="Times New Roman" w:cs="Times New Roman"/>
        </w:rPr>
      </w:pPr>
    </w:p>
    <w:p w14:paraId="2F6A75EF" w14:textId="77777777" w:rsidR="000E5CD4" w:rsidRDefault="00000000">
      <w:pPr>
        <w:rPr>
          <w:rFonts w:ascii="Times New Roman" w:eastAsia="Times New Roman" w:hAnsi="Times New Roman" w:cs="Times New Roman"/>
        </w:rPr>
      </w:pPr>
      <w:r>
        <w:rPr>
          <w:color w:val="000000"/>
          <w:sz w:val="20"/>
          <w:szCs w:val="20"/>
        </w:rPr>
        <w:t>We also evaluated how projects constructed their adoption and usage rates; however, only a portion of projects selected included their usage survey data in the excels which accompanied the monitoring reports. Although a small sample, we highlight the specific survey question or questions used to construct the project’s usage rate. Single and simple questions do not capture the complexity involved in determining the adoption of the project stove, the level of usage of the project stove, and the level of continued usage of the baseline fuel</w:t>
      </w:r>
      <w:r>
        <w:rPr>
          <w:sz w:val="20"/>
          <w:szCs w:val="20"/>
        </w:rPr>
        <w:t xml:space="preserve"> (see online methods). </w:t>
      </w:r>
    </w:p>
    <w:p w14:paraId="223B1855" w14:textId="77777777" w:rsidR="000E5CD4" w:rsidRDefault="000E5CD4">
      <w:pPr>
        <w:rPr>
          <w:rFonts w:ascii="Times New Roman" w:eastAsia="Times New Roman" w:hAnsi="Times New Roman" w:cs="Times New Roman"/>
        </w:rPr>
      </w:pPr>
    </w:p>
    <w:p w14:paraId="50214BCC" w14:textId="3920AB3C" w:rsidR="000E5CD4" w:rsidRDefault="00000000">
      <w:pPr>
        <w:keepNext/>
        <w:pBdr>
          <w:top w:val="nil"/>
          <w:left w:val="nil"/>
          <w:bottom w:val="nil"/>
          <w:right w:val="nil"/>
          <w:between w:val="nil"/>
        </w:pBdr>
        <w:spacing w:after="200"/>
        <w:rPr>
          <w:i/>
          <w:color w:val="44546A"/>
          <w:sz w:val="18"/>
          <w:szCs w:val="18"/>
        </w:rPr>
      </w:pPr>
      <w:r>
        <w:rPr>
          <w:i/>
          <w:color w:val="44546A"/>
          <w:sz w:val="18"/>
          <w:szCs w:val="18"/>
        </w:rPr>
        <w:t>Table S 4. Questions used to determine the usage rate from a few projects within our sample</w:t>
      </w:r>
    </w:p>
    <w:tbl>
      <w:tblPr>
        <w:tblStyle w:val="a0"/>
        <w:tblW w:w="9348" w:type="dxa"/>
        <w:tblInd w:w="-115" w:type="dxa"/>
        <w:tblLayout w:type="fixed"/>
        <w:tblLook w:val="0400" w:firstRow="0" w:lastRow="0" w:firstColumn="0" w:lastColumn="0" w:noHBand="0" w:noVBand="1"/>
      </w:tblPr>
      <w:tblGrid>
        <w:gridCol w:w="993"/>
        <w:gridCol w:w="1440"/>
        <w:gridCol w:w="6915"/>
      </w:tblGrid>
      <w:tr w:rsidR="000E5CD4" w14:paraId="62B0CB86" w14:textId="77777777">
        <w:tc>
          <w:tcPr>
            <w:tcW w:w="993"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8659F90" w14:textId="77777777" w:rsidR="000E5CD4" w:rsidRDefault="00000000">
            <w:pPr>
              <w:rPr>
                <w:rFonts w:ascii="Times New Roman" w:eastAsia="Times New Roman" w:hAnsi="Times New Roman" w:cs="Times New Roman"/>
              </w:rPr>
            </w:pPr>
            <w:r>
              <w:rPr>
                <w:b/>
                <w:color w:val="000000"/>
                <w:sz w:val="20"/>
                <w:szCs w:val="20"/>
              </w:rPr>
              <w:t>Pro</w:t>
            </w:r>
            <w:r>
              <w:rPr>
                <w:b/>
                <w:sz w:val="20"/>
                <w:szCs w:val="20"/>
              </w:rPr>
              <w:t>ject</w:t>
            </w:r>
            <w:r>
              <w:rPr>
                <w:b/>
                <w:color w:val="000000"/>
                <w:sz w:val="20"/>
                <w:szCs w:val="20"/>
              </w:rPr>
              <w:t xml:space="preserve"> ID</w:t>
            </w:r>
          </w:p>
        </w:tc>
        <w:tc>
          <w:tcPr>
            <w:tcW w:w="14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DA7119B" w14:textId="77777777" w:rsidR="000E5CD4" w:rsidRDefault="00000000">
            <w:pPr>
              <w:rPr>
                <w:rFonts w:ascii="Times New Roman" w:eastAsia="Times New Roman" w:hAnsi="Times New Roman" w:cs="Times New Roman"/>
              </w:rPr>
            </w:pPr>
            <w:r>
              <w:rPr>
                <w:b/>
                <w:sz w:val="20"/>
                <w:szCs w:val="20"/>
              </w:rPr>
              <w:t>Methodology</w:t>
            </w:r>
          </w:p>
        </w:tc>
        <w:tc>
          <w:tcPr>
            <w:tcW w:w="691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D5B4D49" w14:textId="77777777" w:rsidR="000E5CD4" w:rsidRDefault="00000000">
            <w:pPr>
              <w:rPr>
                <w:rFonts w:ascii="Times New Roman" w:eastAsia="Times New Roman" w:hAnsi="Times New Roman" w:cs="Times New Roman"/>
              </w:rPr>
            </w:pPr>
            <w:r>
              <w:rPr>
                <w:b/>
                <w:color w:val="000000"/>
                <w:sz w:val="20"/>
                <w:szCs w:val="20"/>
              </w:rPr>
              <w:t>Usage Rate</w:t>
            </w:r>
            <w:r>
              <w:rPr>
                <w:b/>
                <w:sz w:val="20"/>
                <w:szCs w:val="20"/>
              </w:rPr>
              <w:t xml:space="preserve"> Questions</w:t>
            </w:r>
          </w:p>
        </w:tc>
      </w:tr>
      <w:tr w:rsidR="000E5CD4" w14:paraId="028ADDFC" w14:textId="77777777">
        <w:tc>
          <w:tcPr>
            <w:tcW w:w="993"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37CC400" w14:textId="77777777" w:rsidR="000E5CD4" w:rsidRDefault="00000000">
            <w:pPr>
              <w:rPr>
                <w:rFonts w:ascii="Times New Roman" w:eastAsia="Times New Roman" w:hAnsi="Times New Roman" w:cs="Times New Roman"/>
              </w:rPr>
            </w:pPr>
            <w:r>
              <w:rPr>
                <w:color w:val="000000"/>
                <w:sz w:val="20"/>
                <w:szCs w:val="20"/>
              </w:rPr>
              <w:t>GS10974</w:t>
            </w:r>
          </w:p>
        </w:tc>
        <w:tc>
          <w:tcPr>
            <w:tcW w:w="14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477F231" w14:textId="77777777" w:rsidR="000E5CD4" w:rsidRDefault="00000000">
            <w:pPr>
              <w:rPr>
                <w:rFonts w:ascii="Times New Roman" w:eastAsia="Times New Roman" w:hAnsi="Times New Roman" w:cs="Times New Roman"/>
              </w:rPr>
            </w:pPr>
            <w:r>
              <w:rPr>
                <w:color w:val="000000"/>
                <w:sz w:val="20"/>
                <w:szCs w:val="20"/>
              </w:rPr>
              <w:t>CDM AMS II G</w:t>
            </w:r>
          </w:p>
        </w:tc>
        <w:tc>
          <w:tcPr>
            <w:tcW w:w="691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8931280" w14:textId="77777777" w:rsidR="000E5CD4" w:rsidRDefault="00000000">
            <w:pPr>
              <w:rPr>
                <w:rFonts w:ascii="Times New Roman" w:eastAsia="Times New Roman" w:hAnsi="Times New Roman" w:cs="Times New Roman"/>
              </w:rPr>
            </w:pPr>
            <w:r>
              <w:rPr>
                <w:color w:val="000000"/>
                <w:sz w:val="20"/>
                <w:szCs w:val="20"/>
              </w:rPr>
              <w:t>The usage rate is calculated from the single survey question, “Do you use Bondhu Chula for cooking?”</w:t>
            </w:r>
          </w:p>
          <w:p w14:paraId="5D398407" w14:textId="77777777" w:rsidR="000E5CD4" w:rsidRDefault="000E5CD4">
            <w:pPr>
              <w:rPr>
                <w:rFonts w:ascii="Times New Roman" w:eastAsia="Times New Roman" w:hAnsi="Times New Roman" w:cs="Times New Roman"/>
              </w:rPr>
            </w:pPr>
          </w:p>
        </w:tc>
      </w:tr>
      <w:tr w:rsidR="000E5CD4" w14:paraId="0068E0B8" w14:textId="77777777">
        <w:tc>
          <w:tcPr>
            <w:tcW w:w="993"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472AD11" w14:textId="77777777" w:rsidR="000E5CD4" w:rsidRDefault="00000000">
            <w:pPr>
              <w:rPr>
                <w:rFonts w:ascii="Times New Roman" w:eastAsia="Times New Roman" w:hAnsi="Times New Roman" w:cs="Times New Roman"/>
              </w:rPr>
            </w:pPr>
            <w:r>
              <w:rPr>
                <w:color w:val="000000"/>
                <w:sz w:val="20"/>
                <w:szCs w:val="20"/>
              </w:rPr>
              <w:t>GS10884</w:t>
            </w:r>
          </w:p>
        </w:tc>
        <w:tc>
          <w:tcPr>
            <w:tcW w:w="14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E663892" w14:textId="77777777" w:rsidR="000E5CD4" w:rsidRDefault="00000000">
            <w:pPr>
              <w:rPr>
                <w:rFonts w:ascii="Times New Roman" w:eastAsia="Times New Roman" w:hAnsi="Times New Roman" w:cs="Times New Roman"/>
              </w:rPr>
            </w:pPr>
            <w:r>
              <w:rPr>
                <w:color w:val="000000"/>
                <w:sz w:val="20"/>
                <w:szCs w:val="20"/>
              </w:rPr>
              <w:t>AMS I E</w:t>
            </w:r>
          </w:p>
        </w:tc>
        <w:tc>
          <w:tcPr>
            <w:tcW w:w="691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2953041" w14:textId="77777777" w:rsidR="000E5CD4" w:rsidRDefault="00000000">
            <w:pPr>
              <w:rPr>
                <w:rFonts w:ascii="Times New Roman" w:eastAsia="Times New Roman" w:hAnsi="Times New Roman" w:cs="Times New Roman"/>
              </w:rPr>
            </w:pPr>
            <w:r>
              <w:rPr>
                <w:color w:val="000000"/>
                <w:sz w:val="20"/>
                <w:szCs w:val="20"/>
              </w:rPr>
              <w:t>This project only relied on the % of operating stoves.</w:t>
            </w:r>
          </w:p>
        </w:tc>
      </w:tr>
      <w:tr w:rsidR="000E5CD4" w14:paraId="633357C5" w14:textId="77777777">
        <w:tc>
          <w:tcPr>
            <w:tcW w:w="993"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281A1AC" w14:textId="77777777" w:rsidR="000E5CD4" w:rsidRDefault="00000000">
            <w:pPr>
              <w:rPr>
                <w:rFonts w:ascii="Times New Roman" w:eastAsia="Times New Roman" w:hAnsi="Times New Roman" w:cs="Times New Roman"/>
              </w:rPr>
            </w:pPr>
            <w:r>
              <w:rPr>
                <w:color w:val="000000"/>
                <w:sz w:val="20"/>
                <w:szCs w:val="20"/>
              </w:rPr>
              <w:t>GS447</w:t>
            </w:r>
          </w:p>
        </w:tc>
        <w:tc>
          <w:tcPr>
            <w:tcW w:w="14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224317B" w14:textId="77777777" w:rsidR="000E5CD4" w:rsidRDefault="00000000">
            <w:pPr>
              <w:rPr>
                <w:rFonts w:ascii="Times New Roman" w:eastAsia="Times New Roman" w:hAnsi="Times New Roman" w:cs="Times New Roman"/>
              </w:rPr>
            </w:pPr>
            <w:r>
              <w:rPr>
                <w:color w:val="000000"/>
                <w:sz w:val="20"/>
                <w:szCs w:val="20"/>
              </w:rPr>
              <w:t>GS TPDDTEC</w:t>
            </w:r>
          </w:p>
          <w:p w14:paraId="518B166C" w14:textId="77777777" w:rsidR="000E5CD4" w:rsidRDefault="000E5CD4">
            <w:pPr>
              <w:rPr>
                <w:rFonts w:ascii="Times New Roman" w:eastAsia="Times New Roman" w:hAnsi="Times New Roman" w:cs="Times New Roman"/>
              </w:rPr>
            </w:pPr>
          </w:p>
        </w:tc>
        <w:tc>
          <w:tcPr>
            <w:tcW w:w="691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FE805CC" w14:textId="77777777" w:rsidR="000E5CD4" w:rsidRDefault="00000000">
            <w:pPr>
              <w:rPr>
                <w:rFonts w:ascii="Times New Roman" w:eastAsia="Times New Roman" w:hAnsi="Times New Roman" w:cs="Times New Roman"/>
              </w:rPr>
            </w:pPr>
            <w:r>
              <w:rPr>
                <w:color w:val="000000"/>
                <w:sz w:val="20"/>
                <w:szCs w:val="20"/>
              </w:rPr>
              <w:t>The usage rate was the exact percentage of surveyed households who responded yes to “Is the [Project] Stove in use?” However, this project’s survey did include further questions on how many meals per day were cooked with the stove, etc. but they do not include these survey questions to construct the usage rate. </w:t>
            </w:r>
          </w:p>
        </w:tc>
      </w:tr>
      <w:tr w:rsidR="000E5CD4" w14:paraId="5F7C0455" w14:textId="77777777">
        <w:tc>
          <w:tcPr>
            <w:tcW w:w="993"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3BB19A7" w14:textId="77777777" w:rsidR="000E5CD4" w:rsidRDefault="00000000">
            <w:pPr>
              <w:rPr>
                <w:rFonts w:ascii="Times New Roman" w:eastAsia="Times New Roman" w:hAnsi="Times New Roman" w:cs="Times New Roman"/>
              </w:rPr>
            </w:pPr>
            <w:r>
              <w:rPr>
                <w:color w:val="000000"/>
                <w:sz w:val="20"/>
                <w:szCs w:val="20"/>
              </w:rPr>
              <w:t>GS7312</w:t>
            </w:r>
          </w:p>
        </w:tc>
        <w:tc>
          <w:tcPr>
            <w:tcW w:w="14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BD3E385" w14:textId="77777777" w:rsidR="000E5CD4" w:rsidRDefault="00000000">
            <w:pPr>
              <w:rPr>
                <w:rFonts w:ascii="Times New Roman" w:eastAsia="Times New Roman" w:hAnsi="Times New Roman" w:cs="Times New Roman"/>
              </w:rPr>
            </w:pPr>
            <w:r>
              <w:rPr>
                <w:color w:val="000000"/>
                <w:sz w:val="20"/>
                <w:szCs w:val="20"/>
              </w:rPr>
              <w:t>GS TPDDTEC</w:t>
            </w:r>
          </w:p>
        </w:tc>
        <w:tc>
          <w:tcPr>
            <w:tcW w:w="691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ACC6CF1" w14:textId="77777777" w:rsidR="000E5CD4" w:rsidRDefault="00000000">
            <w:pPr>
              <w:rPr>
                <w:rFonts w:ascii="Times New Roman" w:eastAsia="Times New Roman" w:hAnsi="Times New Roman" w:cs="Times New Roman"/>
              </w:rPr>
            </w:pPr>
            <w:r>
              <w:rPr>
                <w:color w:val="000000"/>
                <w:sz w:val="20"/>
                <w:szCs w:val="20"/>
              </w:rPr>
              <w:t>The usage rate was the exact percentage of surveyed households who responded yes to “Is the [Project] Stove in use?”</w:t>
            </w:r>
          </w:p>
        </w:tc>
      </w:tr>
      <w:tr w:rsidR="000E5CD4" w14:paraId="5CC1EC03" w14:textId="77777777">
        <w:tc>
          <w:tcPr>
            <w:tcW w:w="993"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3BF2638" w14:textId="77777777" w:rsidR="000E5CD4" w:rsidRDefault="00000000">
            <w:pPr>
              <w:rPr>
                <w:rFonts w:ascii="Times New Roman" w:eastAsia="Times New Roman" w:hAnsi="Times New Roman" w:cs="Times New Roman"/>
              </w:rPr>
            </w:pPr>
            <w:r>
              <w:rPr>
                <w:color w:val="000000"/>
                <w:sz w:val="20"/>
                <w:szCs w:val="20"/>
              </w:rPr>
              <w:t>GS2564</w:t>
            </w:r>
          </w:p>
        </w:tc>
        <w:tc>
          <w:tcPr>
            <w:tcW w:w="14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729F70E" w14:textId="77777777" w:rsidR="000E5CD4" w:rsidRDefault="00000000">
            <w:pPr>
              <w:rPr>
                <w:rFonts w:ascii="Times New Roman" w:eastAsia="Times New Roman" w:hAnsi="Times New Roman" w:cs="Times New Roman"/>
              </w:rPr>
            </w:pPr>
            <w:r>
              <w:rPr>
                <w:color w:val="000000"/>
                <w:sz w:val="20"/>
                <w:szCs w:val="20"/>
              </w:rPr>
              <w:t>GS TPDDTEC</w:t>
            </w:r>
          </w:p>
          <w:p w14:paraId="2FF79D38" w14:textId="77777777" w:rsidR="000E5CD4" w:rsidRDefault="000E5CD4">
            <w:pPr>
              <w:rPr>
                <w:rFonts w:ascii="Times New Roman" w:eastAsia="Times New Roman" w:hAnsi="Times New Roman" w:cs="Times New Roman"/>
              </w:rPr>
            </w:pPr>
          </w:p>
        </w:tc>
        <w:tc>
          <w:tcPr>
            <w:tcW w:w="691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9572B9C" w14:textId="77777777" w:rsidR="000E5CD4" w:rsidRDefault="00000000">
            <w:pPr>
              <w:rPr>
                <w:rFonts w:ascii="Times New Roman" w:eastAsia="Times New Roman" w:hAnsi="Times New Roman" w:cs="Times New Roman"/>
              </w:rPr>
            </w:pPr>
            <w:r>
              <w:rPr>
                <w:color w:val="000000"/>
                <w:sz w:val="20"/>
                <w:szCs w:val="20"/>
              </w:rPr>
              <w:t>GS2564 monitors usage through the question, “Since you purchased your improved stove, how often do you use LPG for cooking?” And then, they assume the household only cooks two meals a day.  Interestingly, this project does include questions in their survey regarding baseline stove use. For example, they ask, “Since you purchased your improved stove, how often do you use firewood for cooking?” and “Since you purchased your improved stove, how often do you use charcoal for cooking?” However, we do note that they adjust their emission reductions only for households who used charcoal previously (</w:t>
            </w:r>
            <w:r>
              <w:rPr>
                <w:sz w:val="20"/>
                <w:szCs w:val="20"/>
              </w:rPr>
              <w:t>firewood</w:t>
            </w:r>
            <w:r>
              <w:rPr>
                <w:color w:val="000000"/>
                <w:sz w:val="20"/>
                <w:szCs w:val="20"/>
              </w:rPr>
              <w:t xml:space="preserve"> use is low in their project location).</w:t>
            </w:r>
            <w:r>
              <w:rPr>
                <w:b/>
                <w:color w:val="000000"/>
                <w:sz w:val="20"/>
                <w:szCs w:val="20"/>
              </w:rPr>
              <w:t>  </w:t>
            </w:r>
          </w:p>
          <w:p w14:paraId="3030D757" w14:textId="77777777" w:rsidR="000E5CD4" w:rsidRDefault="000E5CD4">
            <w:pPr>
              <w:rPr>
                <w:rFonts w:ascii="Times New Roman" w:eastAsia="Times New Roman" w:hAnsi="Times New Roman" w:cs="Times New Roman"/>
              </w:rPr>
            </w:pPr>
          </w:p>
        </w:tc>
      </w:tr>
      <w:tr w:rsidR="000E5CD4" w14:paraId="050DB14E" w14:textId="77777777">
        <w:tc>
          <w:tcPr>
            <w:tcW w:w="993"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6880CE7" w14:textId="77777777" w:rsidR="000E5CD4" w:rsidRDefault="00000000">
            <w:pPr>
              <w:rPr>
                <w:rFonts w:ascii="Times New Roman" w:eastAsia="Times New Roman" w:hAnsi="Times New Roman" w:cs="Times New Roman"/>
              </w:rPr>
            </w:pPr>
            <w:r>
              <w:rPr>
                <w:color w:val="000000"/>
                <w:sz w:val="20"/>
                <w:szCs w:val="20"/>
              </w:rPr>
              <w:t>GS2094</w:t>
            </w:r>
          </w:p>
        </w:tc>
        <w:tc>
          <w:tcPr>
            <w:tcW w:w="14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C63BD46" w14:textId="77777777" w:rsidR="000E5CD4" w:rsidRDefault="00000000">
            <w:pPr>
              <w:rPr>
                <w:rFonts w:ascii="Times New Roman" w:eastAsia="Times New Roman" w:hAnsi="Times New Roman" w:cs="Times New Roman"/>
              </w:rPr>
            </w:pPr>
            <w:r>
              <w:rPr>
                <w:color w:val="000000"/>
                <w:sz w:val="20"/>
                <w:szCs w:val="20"/>
              </w:rPr>
              <w:t>CDM AMS II G</w:t>
            </w:r>
          </w:p>
        </w:tc>
        <w:tc>
          <w:tcPr>
            <w:tcW w:w="691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96131F3" w14:textId="77777777" w:rsidR="000E5CD4" w:rsidRDefault="00000000">
            <w:pPr>
              <w:rPr>
                <w:rFonts w:ascii="Times New Roman" w:eastAsia="Times New Roman" w:hAnsi="Times New Roman" w:cs="Times New Roman"/>
              </w:rPr>
            </w:pPr>
            <w:r>
              <w:rPr>
                <w:color w:val="000000"/>
                <w:sz w:val="20"/>
                <w:szCs w:val="20"/>
              </w:rPr>
              <w:t>This project asks households for their total meals per day and if they use either the project or another stove. </w:t>
            </w:r>
          </w:p>
          <w:p w14:paraId="40C5F325" w14:textId="77777777" w:rsidR="000E5CD4" w:rsidRDefault="000E5CD4">
            <w:pPr>
              <w:rPr>
                <w:rFonts w:ascii="Times New Roman" w:eastAsia="Times New Roman" w:hAnsi="Times New Roman" w:cs="Times New Roman"/>
              </w:rPr>
            </w:pPr>
          </w:p>
        </w:tc>
      </w:tr>
      <w:tr w:rsidR="000E5CD4" w14:paraId="5DF9A5A0" w14:textId="77777777">
        <w:tc>
          <w:tcPr>
            <w:tcW w:w="993"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957AF29" w14:textId="77777777" w:rsidR="000E5CD4" w:rsidRDefault="00000000">
            <w:pPr>
              <w:rPr>
                <w:rFonts w:ascii="Times New Roman" w:eastAsia="Times New Roman" w:hAnsi="Times New Roman" w:cs="Times New Roman"/>
              </w:rPr>
            </w:pPr>
            <w:r>
              <w:rPr>
                <w:color w:val="000000"/>
                <w:sz w:val="20"/>
                <w:szCs w:val="20"/>
              </w:rPr>
              <w:t>GS1719</w:t>
            </w:r>
          </w:p>
        </w:tc>
        <w:tc>
          <w:tcPr>
            <w:tcW w:w="14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3E7B015" w14:textId="77777777" w:rsidR="000E5CD4" w:rsidRDefault="00000000">
            <w:pPr>
              <w:rPr>
                <w:rFonts w:ascii="Times New Roman" w:eastAsia="Times New Roman" w:hAnsi="Times New Roman" w:cs="Times New Roman"/>
              </w:rPr>
            </w:pPr>
            <w:r>
              <w:rPr>
                <w:color w:val="000000"/>
                <w:sz w:val="20"/>
                <w:szCs w:val="20"/>
              </w:rPr>
              <w:t>CDM AMS II G</w:t>
            </w:r>
          </w:p>
          <w:p w14:paraId="5A5AD697" w14:textId="77777777" w:rsidR="000E5CD4" w:rsidRDefault="000E5CD4">
            <w:pPr>
              <w:rPr>
                <w:rFonts w:ascii="Times New Roman" w:eastAsia="Times New Roman" w:hAnsi="Times New Roman" w:cs="Times New Roman"/>
              </w:rPr>
            </w:pPr>
          </w:p>
        </w:tc>
        <w:tc>
          <w:tcPr>
            <w:tcW w:w="691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9E74B33" w14:textId="77777777" w:rsidR="000E5CD4" w:rsidRDefault="00000000">
            <w:pPr>
              <w:rPr>
                <w:rFonts w:ascii="Times New Roman" w:eastAsia="Times New Roman" w:hAnsi="Times New Roman" w:cs="Times New Roman"/>
              </w:rPr>
            </w:pPr>
            <w:r>
              <w:rPr>
                <w:color w:val="000000"/>
                <w:sz w:val="20"/>
                <w:szCs w:val="20"/>
              </w:rPr>
              <w:t>This project simply calculates the % of stoves operating from the installation date and the end date of the monitoring period. </w:t>
            </w:r>
          </w:p>
          <w:p w14:paraId="693CD664" w14:textId="77777777" w:rsidR="000E5CD4" w:rsidRDefault="000E5CD4">
            <w:pPr>
              <w:rPr>
                <w:rFonts w:ascii="Times New Roman" w:eastAsia="Times New Roman" w:hAnsi="Times New Roman" w:cs="Times New Roman"/>
              </w:rPr>
            </w:pPr>
          </w:p>
        </w:tc>
      </w:tr>
    </w:tbl>
    <w:p w14:paraId="4D53C929" w14:textId="77777777" w:rsidR="000E5CD4" w:rsidRDefault="00000000">
      <w:pPr>
        <w:spacing w:after="240"/>
        <w:rPr>
          <w:rFonts w:ascii="Times New Roman" w:eastAsia="Times New Roman" w:hAnsi="Times New Roman" w:cs="Times New Roman"/>
        </w:rPr>
      </w:pPr>
      <w:r>
        <w:br w:type="page"/>
      </w:r>
    </w:p>
    <w:p w14:paraId="2259022A" w14:textId="77777777" w:rsidR="000E5CD4" w:rsidRDefault="000E5CD4">
      <w:pPr>
        <w:spacing w:after="240"/>
        <w:rPr>
          <w:rFonts w:ascii="Times New Roman" w:eastAsia="Times New Roman" w:hAnsi="Times New Roman" w:cs="Times New Roman"/>
        </w:rPr>
      </w:pPr>
    </w:p>
    <w:p w14:paraId="4BB4B7AF" w14:textId="77777777" w:rsidR="000E5CD4" w:rsidRDefault="00000000">
      <w:pPr>
        <w:pStyle w:val="Heading2"/>
        <w:numPr>
          <w:ilvl w:val="0"/>
          <w:numId w:val="4"/>
        </w:numPr>
      </w:pPr>
      <w:bookmarkStart w:id="6" w:name="_g02nqftd5swt" w:colFirst="0" w:colLast="0"/>
      <w:bookmarkEnd w:id="6"/>
      <w:r>
        <w:t>Adoption, Usage, and Stacking Rates</w:t>
      </w:r>
    </w:p>
    <w:p w14:paraId="6EF797C7" w14:textId="1E762186" w:rsidR="000E5CD4" w:rsidRDefault="00133FEA">
      <w:pPr>
        <w:pBdr>
          <w:top w:val="nil"/>
          <w:left w:val="nil"/>
          <w:bottom w:val="nil"/>
          <w:right w:val="nil"/>
          <w:between w:val="nil"/>
        </w:pBdr>
        <w:ind w:left="720"/>
        <w:rPr>
          <w:sz w:val="20"/>
          <w:szCs w:val="20"/>
          <w:highlight w:val="white"/>
        </w:rPr>
      </w:pPr>
      <w:r>
        <w:rPr>
          <w:sz w:val="20"/>
          <w:szCs w:val="20"/>
          <w:highlight w:val="white"/>
        </w:rPr>
        <w:t xml:space="preserve">We use project documentation to determine these values under our definitions (see main text). We exactly re-create the project’s verified credits using these values. </w:t>
      </w:r>
    </w:p>
    <w:p w14:paraId="34F0D258" w14:textId="77777777" w:rsidR="00133FEA" w:rsidRDefault="00133FEA">
      <w:pPr>
        <w:pBdr>
          <w:top w:val="nil"/>
          <w:left w:val="nil"/>
          <w:bottom w:val="nil"/>
          <w:right w:val="nil"/>
          <w:between w:val="nil"/>
        </w:pBdr>
        <w:ind w:left="720"/>
        <w:rPr>
          <w:sz w:val="20"/>
          <w:szCs w:val="20"/>
          <w:highlight w:val="white"/>
        </w:rPr>
      </w:pPr>
    </w:p>
    <w:tbl>
      <w:tblPr>
        <w:tblStyle w:val="a1"/>
        <w:tblW w:w="935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23"/>
        <w:gridCol w:w="1845"/>
        <w:gridCol w:w="1125"/>
        <w:gridCol w:w="1916"/>
        <w:gridCol w:w="1126"/>
        <w:gridCol w:w="2524"/>
      </w:tblGrid>
      <w:tr w:rsidR="000E5CD4" w14:paraId="773F4478" w14:textId="77777777">
        <w:trPr>
          <w:trHeight w:val="445"/>
        </w:trPr>
        <w:tc>
          <w:tcPr>
            <w:tcW w:w="822"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2B869A04"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ID</w:t>
            </w:r>
          </w:p>
        </w:tc>
        <w:tc>
          <w:tcPr>
            <w:tcW w:w="184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65CF5482"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Monitoring Period/Stove Delineation</w:t>
            </w:r>
          </w:p>
        </w:tc>
        <w:tc>
          <w:tcPr>
            <w:tcW w:w="112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5DE9DCE3"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Adoption</w:t>
            </w:r>
          </w:p>
        </w:tc>
        <w:tc>
          <w:tcPr>
            <w:tcW w:w="191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6FCBCC4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Usage</w:t>
            </w:r>
          </w:p>
        </w:tc>
        <w:tc>
          <w:tcPr>
            <w:tcW w:w="112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7867A0A4"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Stacking</w:t>
            </w:r>
          </w:p>
        </w:tc>
        <w:tc>
          <w:tcPr>
            <w:tcW w:w="2523"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3A8ABB46"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Notes</w:t>
            </w:r>
          </w:p>
        </w:tc>
      </w:tr>
      <w:tr w:rsidR="000E5CD4" w14:paraId="4DEAF59D" w14:textId="77777777">
        <w:trPr>
          <w:trHeight w:val="415"/>
        </w:trPr>
        <w:tc>
          <w:tcPr>
            <w:tcW w:w="822"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513299D7"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10974</w:t>
            </w:r>
          </w:p>
        </w:tc>
        <w:tc>
          <w:tcPr>
            <w:tcW w:w="184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D44BCD3"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MR 2</w:t>
            </w:r>
          </w:p>
        </w:tc>
        <w:tc>
          <w:tcPr>
            <w:tcW w:w="112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710CBDD2"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89%</w:t>
            </w:r>
          </w:p>
        </w:tc>
        <w:tc>
          <w:tcPr>
            <w:tcW w:w="191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0DB12F5"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12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3F73099C"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0%</w:t>
            </w:r>
          </w:p>
        </w:tc>
        <w:tc>
          <w:tcPr>
            <w:tcW w:w="2523"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3B447FE3"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2B10FACD" w14:textId="77777777">
        <w:trPr>
          <w:trHeight w:val="415"/>
        </w:trPr>
        <w:tc>
          <w:tcPr>
            <w:tcW w:w="822"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49DD732F"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10974</w:t>
            </w:r>
          </w:p>
        </w:tc>
        <w:tc>
          <w:tcPr>
            <w:tcW w:w="184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4F98A22C"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MR 3</w:t>
            </w:r>
          </w:p>
        </w:tc>
        <w:tc>
          <w:tcPr>
            <w:tcW w:w="112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2D92527E"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87%</w:t>
            </w:r>
          </w:p>
        </w:tc>
        <w:tc>
          <w:tcPr>
            <w:tcW w:w="191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617383D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12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2794ACD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0%</w:t>
            </w:r>
          </w:p>
        </w:tc>
        <w:tc>
          <w:tcPr>
            <w:tcW w:w="2523"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0DB670C5"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6040C715" w14:textId="77777777">
        <w:trPr>
          <w:trHeight w:val="415"/>
        </w:trPr>
        <w:tc>
          <w:tcPr>
            <w:tcW w:w="822"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45725E05"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 xml:space="preserve">VCS 1216 </w:t>
            </w:r>
          </w:p>
        </w:tc>
        <w:tc>
          <w:tcPr>
            <w:tcW w:w="184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4F8DAD99"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2019-2020</w:t>
            </w:r>
          </w:p>
        </w:tc>
        <w:tc>
          <w:tcPr>
            <w:tcW w:w="112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0949A0E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93%</w:t>
            </w:r>
          </w:p>
        </w:tc>
        <w:tc>
          <w:tcPr>
            <w:tcW w:w="191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68AD6021"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12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5E4DB903"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7%</w:t>
            </w:r>
          </w:p>
        </w:tc>
        <w:tc>
          <w:tcPr>
            <w:tcW w:w="2523"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66BF9EED"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7449AEDC" w14:textId="77777777">
        <w:trPr>
          <w:trHeight w:val="415"/>
        </w:trPr>
        <w:tc>
          <w:tcPr>
            <w:tcW w:w="822"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30225A6E"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 xml:space="preserve">VCS 1216 </w:t>
            </w:r>
          </w:p>
        </w:tc>
        <w:tc>
          <w:tcPr>
            <w:tcW w:w="184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30F3F3B8"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2017-2018</w:t>
            </w:r>
          </w:p>
        </w:tc>
        <w:tc>
          <w:tcPr>
            <w:tcW w:w="112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9D9B7CE"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59%</w:t>
            </w:r>
          </w:p>
        </w:tc>
        <w:tc>
          <w:tcPr>
            <w:tcW w:w="191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506D2B22"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12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071C9444"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5%</w:t>
            </w:r>
          </w:p>
        </w:tc>
        <w:tc>
          <w:tcPr>
            <w:tcW w:w="2523"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6E70B12B"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28574C9C" w14:textId="77777777">
        <w:trPr>
          <w:trHeight w:val="1465"/>
        </w:trPr>
        <w:tc>
          <w:tcPr>
            <w:tcW w:w="822"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49C63205"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2094</w:t>
            </w:r>
          </w:p>
        </w:tc>
        <w:tc>
          <w:tcPr>
            <w:tcW w:w="184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5379CCA5"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2020-2021</w:t>
            </w:r>
          </w:p>
        </w:tc>
        <w:tc>
          <w:tcPr>
            <w:tcW w:w="112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02ACC63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90%</w:t>
            </w:r>
          </w:p>
        </w:tc>
        <w:tc>
          <w:tcPr>
            <w:tcW w:w="191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393BD6A9"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0.8818</w:t>
            </w:r>
          </w:p>
        </w:tc>
        <w:tc>
          <w:tcPr>
            <w:tcW w:w="112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47A6E637"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44%</w:t>
            </w:r>
          </w:p>
        </w:tc>
        <w:tc>
          <w:tcPr>
            <w:tcW w:w="2523"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68DAAE22"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The project tracked stacking, but then did not include it in their ER calculation.</w:t>
            </w:r>
          </w:p>
        </w:tc>
      </w:tr>
      <w:tr w:rsidR="000E5CD4" w14:paraId="7FBFE120" w14:textId="77777777">
        <w:trPr>
          <w:trHeight w:val="415"/>
        </w:trPr>
        <w:tc>
          <w:tcPr>
            <w:tcW w:w="822"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3822B29F"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VCS 1719</w:t>
            </w:r>
          </w:p>
        </w:tc>
        <w:tc>
          <w:tcPr>
            <w:tcW w:w="184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262B4F36"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2016/2017</w:t>
            </w:r>
          </w:p>
        </w:tc>
        <w:tc>
          <w:tcPr>
            <w:tcW w:w="112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668A8F1A"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99%</w:t>
            </w:r>
          </w:p>
        </w:tc>
        <w:tc>
          <w:tcPr>
            <w:tcW w:w="191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6CA0B308"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12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6C012AE5"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13%</w:t>
            </w:r>
          </w:p>
        </w:tc>
        <w:tc>
          <w:tcPr>
            <w:tcW w:w="2523"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03D7901A"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452B1931" w14:textId="77777777">
        <w:trPr>
          <w:trHeight w:val="415"/>
        </w:trPr>
        <w:tc>
          <w:tcPr>
            <w:tcW w:w="822"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7F2C84DA"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VCS 1721</w:t>
            </w:r>
          </w:p>
        </w:tc>
        <w:tc>
          <w:tcPr>
            <w:tcW w:w="184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69F1A5B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2016/2018</w:t>
            </w:r>
          </w:p>
        </w:tc>
        <w:tc>
          <w:tcPr>
            <w:tcW w:w="112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766E52EF"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81%</w:t>
            </w:r>
          </w:p>
        </w:tc>
        <w:tc>
          <w:tcPr>
            <w:tcW w:w="191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0170A0A6"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12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58CFC3AA"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22%</w:t>
            </w:r>
          </w:p>
        </w:tc>
        <w:tc>
          <w:tcPr>
            <w:tcW w:w="2523"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359235EA"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04438B5C" w14:textId="77777777">
        <w:trPr>
          <w:trHeight w:val="415"/>
        </w:trPr>
        <w:tc>
          <w:tcPr>
            <w:tcW w:w="822"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217235B5"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7312</w:t>
            </w:r>
          </w:p>
        </w:tc>
        <w:tc>
          <w:tcPr>
            <w:tcW w:w="184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3583307B"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3rd MR</w:t>
            </w:r>
          </w:p>
        </w:tc>
        <w:tc>
          <w:tcPr>
            <w:tcW w:w="112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04E79C5A"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82%</w:t>
            </w:r>
          </w:p>
        </w:tc>
        <w:tc>
          <w:tcPr>
            <w:tcW w:w="191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4465EEFA"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12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158DD533"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0%</w:t>
            </w:r>
          </w:p>
        </w:tc>
        <w:tc>
          <w:tcPr>
            <w:tcW w:w="2523"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7D38B9F9"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32F56195" w14:textId="77777777">
        <w:trPr>
          <w:trHeight w:val="415"/>
        </w:trPr>
        <w:tc>
          <w:tcPr>
            <w:tcW w:w="822"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2E45EC5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GS500</w:t>
            </w:r>
          </w:p>
        </w:tc>
        <w:tc>
          <w:tcPr>
            <w:tcW w:w="184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4B87932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8th MR</w:t>
            </w:r>
          </w:p>
        </w:tc>
        <w:tc>
          <w:tcPr>
            <w:tcW w:w="1125"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2B241934"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99%</w:t>
            </w:r>
          </w:p>
        </w:tc>
        <w:tc>
          <w:tcPr>
            <w:tcW w:w="1916" w:type="dxa"/>
            <w:tcBorders>
              <w:top w:val="single" w:sz="8" w:space="0" w:color="000000"/>
              <w:left w:val="single" w:sz="8" w:space="0" w:color="000000"/>
              <w:bottom w:val="single" w:sz="8" w:space="0" w:color="000000"/>
              <w:right w:val="single" w:sz="8" w:space="0" w:color="000000"/>
            </w:tcBorders>
            <w:tcMar>
              <w:top w:w="20" w:type="dxa"/>
              <w:left w:w="20" w:type="dxa"/>
              <w:bottom w:w="100" w:type="dxa"/>
              <w:right w:w="20" w:type="dxa"/>
            </w:tcMar>
            <w:vAlign w:val="bottom"/>
          </w:tcPr>
          <w:p w14:paraId="22E7ACEB"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N/A because based on sales data</w:t>
            </w:r>
          </w:p>
        </w:tc>
        <w:tc>
          <w:tcPr>
            <w:tcW w:w="1126" w:type="dxa"/>
            <w:tcBorders>
              <w:top w:val="single" w:sz="8" w:space="0" w:color="000000"/>
              <w:left w:val="single" w:sz="8" w:space="0" w:color="000000"/>
              <w:bottom w:val="single" w:sz="8" w:space="0" w:color="000000"/>
            </w:tcBorders>
            <w:tcMar>
              <w:top w:w="20" w:type="dxa"/>
              <w:left w:w="20" w:type="dxa"/>
              <w:bottom w:w="100" w:type="dxa"/>
              <w:right w:w="20" w:type="dxa"/>
            </w:tcMar>
            <w:vAlign w:val="bottom"/>
          </w:tcPr>
          <w:p w14:paraId="2CE182B9"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2523" w:type="dxa"/>
            <w:tcBorders>
              <w:bottom w:val="single" w:sz="8" w:space="0" w:color="000000"/>
              <w:right w:val="single" w:sz="8" w:space="0" w:color="000000"/>
            </w:tcBorders>
            <w:shd w:val="clear" w:color="auto" w:fill="auto"/>
            <w:tcMar>
              <w:top w:w="100" w:type="dxa"/>
              <w:left w:w="100" w:type="dxa"/>
              <w:bottom w:w="100" w:type="dxa"/>
              <w:right w:w="100" w:type="dxa"/>
            </w:tcMar>
          </w:tcPr>
          <w:p w14:paraId="6260B465"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67B6857C"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AAD5145"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10884</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6138A2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PDD</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6A6C119"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N/A PDD</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64A9CE5"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N/A PDD</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771DB9A"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N/A PDD</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60277B0"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4F18CC95"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02BCB2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447</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B1C65BE"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2020</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B77D8B4"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77%</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FC15173"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65E7D5F"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58%</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1FC8221"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3DA43ED3"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56D4A8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447</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CCFB6DD"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2021</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7A7162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78%</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0089B4C"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53A8C0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58%</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219AA39"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422365FA"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10AF0A1"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2564</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BBE315E"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2019/2021</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A78DE08"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85%</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9EAAE8D"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0.88</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B37224D"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78%</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D2BBDF6"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5CC14FB4"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30BF8F7"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7438</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D5B1111"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2019</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9AAA44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90%</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26BF461"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1126" w:type="dxa"/>
            <w:tcBorders>
              <w:top w:val="single" w:sz="8" w:space="0" w:color="000000"/>
              <w:left w:val="single" w:sz="8" w:space="0" w:color="000000"/>
              <w:bottom w:val="single" w:sz="8" w:space="0" w:color="000000"/>
            </w:tcBorders>
            <w:shd w:val="clear" w:color="auto" w:fill="auto"/>
            <w:tcMar>
              <w:top w:w="20" w:type="dxa"/>
              <w:left w:w="20" w:type="dxa"/>
              <w:bottom w:w="100" w:type="dxa"/>
              <w:right w:w="20" w:type="dxa"/>
            </w:tcMar>
            <w:vAlign w:val="bottom"/>
          </w:tcPr>
          <w:p w14:paraId="328B11DE"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2523" w:type="dxa"/>
            <w:tcBorders>
              <w:bottom w:val="single" w:sz="8" w:space="0" w:color="000000"/>
              <w:right w:val="single" w:sz="8" w:space="0" w:color="000000"/>
            </w:tcBorders>
            <w:shd w:val="clear" w:color="auto" w:fill="auto"/>
            <w:tcMar>
              <w:top w:w="100" w:type="dxa"/>
              <w:left w:w="100" w:type="dxa"/>
              <w:bottom w:w="100" w:type="dxa"/>
              <w:right w:w="100" w:type="dxa"/>
            </w:tcMar>
          </w:tcPr>
          <w:p w14:paraId="1C394964" w14:textId="77777777" w:rsidR="000E5CD4" w:rsidRDefault="000E5CD4">
            <w:pPr>
              <w:widowControl w:val="0"/>
              <w:pBdr>
                <w:top w:val="nil"/>
                <w:left w:val="nil"/>
                <w:bottom w:val="nil"/>
                <w:right w:val="nil"/>
                <w:between w:val="nil"/>
              </w:pBdr>
              <w:rPr>
                <w:sz w:val="20"/>
                <w:szCs w:val="20"/>
                <w:highlight w:val="white"/>
              </w:rPr>
            </w:pPr>
          </w:p>
        </w:tc>
      </w:tr>
      <w:tr w:rsidR="000E5CD4" w14:paraId="3D1093B3"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F1B8614"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lastRenderedPageBreak/>
              <w:t>GS 913</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DF3975D"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9th MR</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502AC6A"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88%</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29D5259"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0.9557</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86CF32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80%</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6B807D0"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120D877A"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FFF0B66"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6212</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6652BEF"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5th MR</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2534E88"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97%</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tcPr>
          <w:p w14:paraId="30F8A806" w14:textId="77777777" w:rsidR="000E5CD4" w:rsidRDefault="00000000">
            <w:pPr>
              <w:widowControl w:val="0"/>
              <w:pBdr>
                <w:top w:val="nil"/>
                <w:left w:val="nil"/>
                <w:bottom w:val="nil"/>
                <w:right w:val="nil"/>
                <w:between w:val="nil"/>
              </w:pBdr>
              <w:spacing w:line="276" w:lineRule="auto"/>
              <w:rPr>
                <w:sz w:val="20"/>
                <w:szCs w:val="20"/>
                <w:highlight w:val="white"/>
              </w:rPr>
            </w:pPr>
            <w:r>
              <w:rPr>
                <w:rFonts w:ascii="Arial" w:eastAsia="Arial" w:hAnsi="Arial" w:cs="Arial"/>
                <w:sz w:val="20"/>
                <w:szCs w:val="20"/>
                <w:highlight w:val="white"/>
              </w:rPr>
              <w:t>0.9726</w:t>
            </w:r>
          </w:p>
        </w:tc>
        <w:tc>
          <w:tcPr>
            <w:tcW w:w="1126" w:type="dxa"/>
            <w:tcBorders>
              <w:top w:val="single" w:sz="8" w:space="0" w:color="000000"/>
              <w:left w:val="single" w:sz="8" w:space="0" w:color="000000"/>
              <w:bottom w:val="single" w:sz="8" w:space="0" w:color="000000"/>
            </w:tcBorders>
            <w:shd w:val="clear" w:color="auto" w:fill="auto"/>
            <w:tcMar>
              <w:top w:w="20" w:type="dxa"/>
              <w:left w:w="20" w:type="dxa"/>
              <w:bottom w:w="100" w:type="dxa"/>
              <w:right w:w="20" w:type="dxa"/>
            </w:tcMar>
            <w:vAlign w:val="bottom"/>
          </w:tcPr>
          <w:p w14:paraId="4E52C83E"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w:t>
            </w:r>
          </w:p>
        </w:tc>
        <w:tc>
          <w:tcPr>
            <w:tcW w:w="2523" w:type="dxa"/>
            <w:tcBorders>
              <w:bottom w:val="single" w:sz="8" w:space="0" w:color="000000"/>
              <w:right w:val="single" w:sz="8" w:space="0" w:color="000000"/>
            </w:tcBorders>
            <w:shd w:val="clear" w:color="auto" w:fill="auto"/>
            <w:tcMar>
              <w:top w:w="100" w:type="dxa"/>
              <w:left w:w="100" w:type="dxa"/>
              <w:bottom w:w="100" w:type="dxa"/>
              <w:right w:w="100" w:type="dxa"/>
            </w:tcMar>
          </w:tcPr>
          <w:p w14:paraId="58D8D919" w14:textId="77777777" w:rsidR="000E5CD4" w:rsidRDefault="000E5CD4">
            <w:pPr>
              <w:widowControl w:val="0"/>
              <w:pBdr>
                <w:top w:val="nil"/>
                <w:left w:val="nil"/>
                <w:bottom w:val="nil"/>
                <w:right w:val="nil"/>
                <w:between w:val="nil"/>
              </w:pBdr>
              <w:rPr>
                <w:sz w:val="20"/>
                <w:szCs w:val="20"/>
                <w:highlight w:val="white"/>
              </w:rPr>
            </w:pPr>
          </w:p>
        </w:tc>
      </w:tr>
      <w:tr w:rsidR="000E5CD4" w14:paraId="3B23ACC0"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C12FC4F"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 xml:space="preserve">GS2758* </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F6623E2"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12th MR</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C7B965A"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99%</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C43E145"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3260776"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4F8E2DA" w14:textId="77777777" w:rsidR="000E5CD4" w:rsidRDefault="00000000">
            <w:pPr>
              <w:widowControl w:val="0"/>
              <w:pBdr>
                <w:top w:val="nil"/>
                <w:left w:val="nil"/>
                <w:bottom w:val="nil"/>
                <w:right w:val="nil"/>
                <w:between w:val="nil"/>
              </w:pBdr>
              <w:spacing w:line="276" w:lineRule="auto"/>
              <w:ind w:left="720"/>
              <w:rPr>
                <w:sz w:val="20"/>
                <w:szCs w:val="20"/>
                <w:highlight w:val="white"/>
              </w:rPr>
            </w:pPr>
            <w:r>
              <w:rPr>
                <w:sz w:val="20"/>
                <w:szCs w:val="20"/>
                <w:highlight w:val="white"/>
              </w:rPr>
              <w:t>*Also includes stacking with other ICS as double counting which we removed from our analysis when we adjusted stacking rates</w:t>
            </w:r>
          </w:p>
        </w:tc>
      </w:tr>
      <w:tr w:rsidR="000E5CD4" w14:paraId="57CD7661"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2A70D47"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 xml:space="preserve">GS2758 </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DB53A3B"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11th MR</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C87B05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99%</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C83E6D3"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B3AE692"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12%</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DAC5889"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w:t>
            </w:r>
          </w:p>
        </w:tc>
      </w:tr>
      <w:tr w:rsidR="000E5CD4" w14:paraId="4243F4C3"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04355C3"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 xml:space="preserve">GS2758 </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23DCA3F"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10th MR</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7849368"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99%</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417A758"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A7B950A"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17%</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21171B5"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w:t>
            </w:r>
          </w:p>
        </w:tc>
      </w:tr>
      <w:tr w:rsidR="000E5CD4" w14:paraId="29937CA8"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411A5AC"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 xml:space="preserve">GS2758 </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40D803D"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9th MR</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4FD8C4F"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99.5%</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DFC9F1F"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F713BBB"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17%</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60D5C1C"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w:t>
            </w:r>
          </w:p>
        </w:tc>
      </w:tr>
      <w:tr w:rsidR="000E5CD4" w14:paraId="6F5DD3E2"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A2214BF"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GS2758</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882A374"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8th MR</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6C5583B"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99%</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BD6A706"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4D277FC"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17%</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951BA1E"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w:t>
            </w:r>
          </w:p>
        </w:tc>
      </w:tr>
      <w:tr w:rsidR="000E5CD4" w14:paraId="7CEED6A3"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D966DC6"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 xml:space="preserve">GS2758 </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EFE3BB2"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7th MR</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A44CB65"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99.7%</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C3BB037"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8E4159C"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16%</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11DBD2A"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w:t>
            </w:r>
          </w:p>
        </w:tc>
      </w:tr>
      <w:tr w:rsidR="000E5CD4" w14:paraId="4C3CA50F"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1AD1802"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407</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87EFB0B"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2017-2019</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A718147"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83%</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F79680B"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1126" w:type="dxa"/>
            <w:tcBorders>
              <w:top w:val="single" w:sz="8" w:space="0" w:color="000000"/>
              <w:left w:val="single" w:sz="8" w:space="0" w:color="000000"/>
              <w:bottom w:val="single" w:sz="8" w:space="0" w:color="000000"/>
            </w:tcBorders>
            <w:shd w:val="clear" w:color="auto" w:fill="auto"/>
            <w:tcMar>
              <w:top w:w="20" w:type="dxa"/>
              <w:left w:w="20" w:type="dxa"/>
              <w:bottom w:w="100" w:type="dxa"/>
              <w:right w:w="20" w:type="dxa"/>
            </w:tcMar>
            <w:vAlign w:val="bottom"/>
          </w:tcPr>
          <w:p w14:paraId="7F99535F"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2523" w:type="dxa"/>
            <w:tcBorders>
              <w:bottom w:val="single" w:sz="8" w:space="0" w:color="000000"/>
              <w:right w:val="single" w:sz="8" w:space="0" w:color="000000"/>
            </w:tcBorders>
            <w:shd w:val="clear" w:color="auto" w:fill="auto"/>
            <w:tcMar>
              <w:top w:w="100" w:type="dxa"/>
              <w:left w:w="100" w:type="dxa"/>
              <w:bottom w:w="100" w:type="dxa"/>
              <w:right w:w="100" w:type="dxa"/>
            </w:tcMar>
          </w:tcPr>
          <w:p w14:paraId="38205A80" w14:textId="77777777" w:rsidR="000E5CD4" w:rsidRDefault="000E5CD4">
            <w:pPr>
              <w:widowControl w:val="0"/>
              <w:pBdr>
                <w:top w:val="nil"/>
                <w:left w:val="nil"/>
                <w:bottom w:val="nil"/>
                <w:right w:val="nil"/>
                <w:between w:val="nil"/>
              </w:pBdr>
              <w:rPr>
                <w:sz w:val="20"/>
                <w:szCs w:val="20"/>
                <w:highlight w:val="white"/>
              </w:rPr>
            </w:pPr>
          </w:p>
        </w:tc>
      </w:tr>
      <w:tr w:rsidR="000E5CD4" w14:paraId="2D887975"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D951201"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407</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AE09D3B"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2017-2019</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5FCDDB7"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85%</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0D283EF"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1126" w:type="dxa"/>
            <w:tcBorders>
              <w:top w:val="single" w:sz="8" w:space="0" w:color="000000"/>
              <w:left w:val="single" w:sz="8" w:space="0" w:color="000000"/>
              <w:bottom w:val="single" w:sz="8" w:space="0" w:color="000000"/>
            </w:tcBorders>
            <w:shd w:val="clear" w:color="auto" w:fill="auto"/>
            <w:tcMar>
              <w:top w:w="20" w:type="dxa"/>
              <w:left w:w="20" w:type="dxa"/>
              <w:bottom w:w="100" w:type="dxa"/>
              <w:right w:w="20" w:type="dxa"/>
            </w:tcMar>
            <w:vAlign w:val="bottom"/>
          </w:tcPr>
          <w:p w14:paraId="771C221E"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2523" w:type="dxa"/>
            <w:tcBorders>
              <w:bottom w:val="single" w:sz="8" w:space="0" w:color="000000"/>
              <w:right w:val="single" w:sz="8" w:space="0" w:color="000000"/>
            </w:tcBorders>
            <w:shd w:val="clear" w:color="auto" w:fill="auto"/>
            <w:tcMar>
              <w:top w:w="100" w:type="dxa"/>
              <w:left w:w="100" w:type="dxa"/>
              <w:bottom w:w="100" w:type="dxa"/>
              <w:right w:w="100" w:type="dxa"/>
            </w:tcMar>
          </w:tcPr>
          <w:p w14:paraId="0D55BEE1" w14:textId="77777777" w:rsidR="000E5CD4" w:rsidRDefault="000E5CD4">
            <w:pPr>
              <w:widowControl w:val="0"/>
              <w:pBdr>
                <w:top w:val="nil"/>
                <w:left w:val="nil"/>
                <w:bottom w:val="nil"/>
                <w:right w:val="nil"/>
                <w:between w:val="nil"/>
              </w:pBdr>
              <w:rPr>
                <w:sz w:val="20"/>
                <w:szCs w:val="20"/>
                <w:highlight w:val="white"/>
              </w:rPr>
            </w:pPr>
          </w:p>
        </w:tc>
      </w:tr>
      <w:tr w:rsidR="000E5CD4" w14:paraId="5C4DBD75"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7A84E6D"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407</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ED58C08"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2017-2019</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169DFFB"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83%</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5C2683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1126" w:type="dxa"/>
            <w:tcBorders>
              <w:top w:val="single" w:sz="8" w:space="0" w:color="000000"/>
              <w:left w:val="single" w:sz="8" w:space="0" w:color="000000"/>
              <w:bottom w:val="single" w:sz="8" w:space="0" w:color="000000"/>
            </w:tcBorders>
            <w:shd w:val="clear" w:color="auto" w:fill="auto"/>
            <w:tcMar>
              <w:top w:w="20" w:type="dxa"/>
              <w:left w:w="20" w:type="dxa"/>
              <w:bottom w:w="100" w:type="dxa"/>
              <w:right w:w="20" w:type="dxa"/>
            </w:tcMar>
            <w:vAlign w:val="bottom"/>
          </w:tcPr>
          <w:p w14:paraId="3E23E8A2"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2523" w:type="dxa"/>
            <w:tcBorders>
              <w:bottom w:val="single" w:sz="8" w:space="0" w:color="000000"/>
              <w:right w:val="single" w:sz="8" w:space="0" w:color="000000"/>
            </w:tcBorders>
            <w:shd w:val="clear" w:color="auto" w:fill="auto"/>
            <w:tcMar>
              <w:top w:w="100" w:type="dxa"/>
              <w:left w:w="100" w:type="dxa"/>
              <w:bottom w:w="100" w:type="dxa"/>
              <w:right w:w="100" w:type="dxa"/>
            </w:tcMar>
          </w:tcPr>
          <w:p w14:paraId="02A0579C" w14:textId="77777777" w:rsidR="000E5CD4" w:rsidRDefault="000E5CD4">
            <w:pPr>
              <w:widowControl w:val="0"/>
              <w:pBdr>
                <w:top w:val="nil"/>
                <w:left w:val="nil"/>
                <w:bottom w:val="nil"/>
                <w:right w:val="nil"/>
                <w:between w:val="nil"/>
              </w:pBdr>
              <w:rPr>
                <w:sz w:val="20"/>
                <w:szCs w:val="20"/>
                <w:highlight w:val="white"/>
              </w:rPr>
            </w:pPr>
          </w:p>
        </w:tc>
      </w:tr>
      <w:tr w:rsidR="000E5CD4" w14:paraId="4FF9CFE0"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D6A1DC7"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407</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B0537D4"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2017-2019</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23BA65D"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80%</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56A42A1"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1126" w:type="dxa"/>
            <w:tcBorders>
              <w:top w:val="single" w:sz="8" w:space="0" w:color="000000"/>
              <w:left w:val="single" w:sz="8" w:space="0" w:color="000000"/>
              <w:bottom w:val="single" w:sz="8" w:space="0" w:color="000000"/>
            </w:tcBorders>
            <w:shd w:val="clear" w:color="auto" w:fill="auto"/>
            <w:tcMar>
              <w:top w:w="20" w:type="dxa"/>
              <w:left w:w="20" w:type="dxa"/>
              <w:bottom w:w="100" w:type="dxa"/>
              <w:right w:w="20" w:type="dxa"/>
            </w:tcMar>
            <w:vAlign w:val="bottom"/>
          </w:tcPr>
          <w:p w14:paraId="088B1CA4"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2523" w:type="dxa"/>
            <w:tcBorders>
              <w:bottom w:val="single" w:sz="8" w:space="0" w:color="000000"/>
              <w:right w:val="single" w:sz="8" w:space="0" w:color="000000"/>
            </w:tcBorders>
            <w:shd w:val="clear" w:color="auto" w:fill="auto"/>
            <w:tcMar>
              <w:top w:w="100" w:type="dxa"/>
              <w:left w:w="100" w:type="dxa"/>
              <w:bottom w:w="100" w:type="dxa"/>
              <w:right w:w="100" w:type="dxa"/>
            </w:tcMar>
          </w:tcPr>
          <w:p w14:paraId="5BD686AF" w14:textId="77777777" w:rsidR="000E5CD4" w:rsidRDefault="000E5CD4">
            <w:pPr>
              <w:widowControl w:val="0"/>
              <w:pBdr>
                <w:top w:val="nil"/>
                <w:left w:val="nil"/>
                <w:bottom w:val="nil"/>
                <w:right w:val="nil"/>
                <w:between w:val="nil"/>
              </w:pBdr>
              <w:rPr>
                <w:sz w:val="20"/>
                <w:szCs w:val="20"/>
                <w:highlight w:val="white"/>
              </w:rPr>
            </w:pPr>
          </w:p>
        </w:tc>
      </w:tr>
      <w:tr w:rsidR="000E5CD4" w14:paraId="41EE1F43"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DA89838"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11352</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7E48001"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PDD</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40F49CD"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PDD: 1</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98F3A74"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PDD: 1</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6C24D15"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PDD: 0</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713E969"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2406DA88"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7321711"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11507</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7ABDD31"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PDD</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751577F"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PDD: 1</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69693E8"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PDD: 1</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9B4ECEB"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PDD: 0</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CF1D1B5"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5ECE3F41"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5FA5BB7"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GS11509</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09D39D2"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PDD</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AC00BED"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PDD: 1</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4964663"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PDD: 1</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416FBCA"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PDD: 0</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0C63439"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1FA7926D" w14:textId="77777777">
        <w:trPr>
          <w:trHeight w:val="179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95D8492"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lastRenderedPageBreak/>
              <w:t>GS1146</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3B3945C"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4th MR</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B4F2D32"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74%</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7858B3D"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0.95</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93B8637"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N/A</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B98CAC4"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The project builds out their emission reductions based on scenarios: only one scenario is exclusive LPG use</w:t>
            </w:r>
          </w:p>
        </w:tc>
      </w:tr>
      <w:tr w:rsidR="000E5CD4" w14:paraId="493F4AE4"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AA9358A"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GS11330</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877D616"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PDD</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85CD3A6"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PDD: 1</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C304FFC"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PDD: 0.75</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47957BB"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PDD: 0</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E276AF6"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23CF63C3"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C28D97B"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GS6129 (1st)</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62C168D"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1st MR</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46A1B61"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97%</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5A93141"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6D35C5C"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8%</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58B15C7"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523CFDF9"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632FBF7"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GS6129 (2nd)</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CF9218D"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2nd MR</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C88EA81"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98%</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B9906E4"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8AA433A"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12%</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6E1DF35"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12D09F8D"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8E80DE8"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GS6129 (3rd)</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96A2598"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3rd MR</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831076C"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99%</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BF66D7C"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7D3112E"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12%</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746D11A"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35966B5C" w14:textId="77777777">
        <w:trPr>
          <w:trHeight w:val="1120"/>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885942D"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GS5003</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79265C7"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1st MR</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6575E8D"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90%</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0D35092"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5C6A292"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0%</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05770FE" w14:textId="3CB2EA99"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 xml:space="preserve">The project tracks stacking in </w:t>
            </w:r>
            <w:r w:rsidR="003C3E9E">
              <w:rPr>
                <w:sz w:val="20"/>
                <w:szCs w:val="20"/>
                <w:highlight w:val="white"/>
              </w:rPr>
              <w:t>leakage but</w:t>
            </w:r>
            <w:r>
              <w:rPr>
                <w:sz w:val="20"/>
                <w:szCs w:val="20"/>
                <w:highlight w:val="white"/>
              </w:rPr>
              <w:t xml:space="preserve"> found 0 leakage. </w:t>
            </w:r>
          </w:p>
        </w:tc>
      </w:tr>
      <w:tr w:rsidR="000E5CD4" w14:paraId="42D672CE" w14:textId="77777777">
        <w:trPr>
          <w:trHeight w:val="28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6A16CE8"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GS2441</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9DBE941"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Ecocina 2013</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4904ECF"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72%</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F2C4022"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FA4FF2A"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62%</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7DDCB8B" w14:textId="6A8349D2"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 xml:space="preserve">Adoption is the combination of how they define usage (but is our definition of adoption), and </w:t>
            </w:r>
            <w:r w:rsidR="003C3E9E">
              <w:rPr>
                <w:sz w:val="20"/>
                <w:szCs w:val="20"/>
                <w:highlight w:val="white"/>
              </w:rPr>
              <w:t>eligibility</w:t>
            </w:r>
            <w:r>
              <w:rPr>
                <w:sz w:val="20"/>
                <w:szCs w:val="20"/>
                <w:highlight w:val="white"/>
              </w:rPr>
              <w:t xml:space="preserve"> rate. Stacking is recorded, but then not included in the ER calculations</w:t>
            </w:r>
          </w:p>
        </w:tc>
      </w:tr>
      <w:tr w:rsidR="000E5CD4" w14:paraId="59BCFED9" w14:textId="77777777">
        <w:trPr>
          <w:trHeight w:val="28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7FF2479"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GS2441</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227156A"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Ecocina 2014</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06D6D15"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77%</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0FE95D9"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1C769CC"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62%</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A3260EB" w14:textId="184A2F4B"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 xml:space="preserve">Adoption is the combination of how they define usage (but is our definition of adoption), and </w:t>
            </w:r>
            <w:r w:rsidR="003C3E9E">
              <w:rPr>
                <w:sz w:val="20"/>
                <w:szCs w:val="20"/>
                <w:highlight w:val="white"/>
              </w:rPr>
              <w:t>eligibility</w:t>
            </w:r>
            <w:r>
              <w:rPr>
                <w:sz w:val="20"/>
                <w:szCs w:val="20"/>
                <w:highlight w:val="white"/>
              </w:rPr>
              <w:t xml:space="preserve"> rate. Stacking is recorded, but then not included in the ER calculations</w:t>
            </w:r>
          </w:p>
        </w:tc>
      </w:tr>
      <w:tr w:rsidR="000E5CD4" w14:paraId="3CE70042" w14:textId="77777777">
        <w:trPr>
          <w:trHeight w:val="28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289B5C1"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lastRenderedPageBreak/>
              <w:t>GS2441</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80E8EAC"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Plancha 2011</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18422FE"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53F413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6B4C34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34%</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FB34EE9" w14:textId="191C1BEE"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 xml:space="preserve">Adoption is the combination of how they define usage (but is our definition of adoption), and </w:t>
            </w:r>
            <w:r w:rsidR="003C3E9E">
              <w:rPr>
                <w:sz w:val="20"/>
                <w:szCs w:val="20"/>
                <w:highlight w:val="white"/>
              </w:rPr>
              <w:t>eligibility</w:t>
            </w:r>
            <w:r>
              <w:rPr>
                <w:sz w:val="20"/>
                <w:szCs w:val="20"/>
                <w:highlight w:val="white"/>
              </w:rPr>
              <w:t xml:space="preserve"> rate. Stacking is recorded, but then not included in the ER calculations</w:t>
            </w:r>
          </w:p>
        </w:tc>
      </w:tr>
      <w:tr w:rsidR="000E5CD4" w14:paraId="24A33292" w14:textId="77777777">
        <w:trPr>
          <w:trHeight w:val="28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501C5FD"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GS2441</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0151E81"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Plancha 2012</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53FF90E"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99.8%</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2425EC8"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73B108B"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34%</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FF6A84C" w14:textId="48C6DFDF"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 xml:space="preserve">Adoption is the combination of how they define usage (but is our definition of adoption), and </w:t>
            </w:r>
            <w:r w:rsidR="003C3E9E">
              <w:rPr>
                <w:sz w:val="20"/>
                <w:szCs w:val="20"/>
                <w:highlight w:val="white"/>
              </w:rPr>
              <w:t>eligibility</w:t>
            </w:r>
            <w:r>
              <w:rPr>
                <w:sz w:val="20"/>
                <w:szCs w:val="20"/>
                <w:highlight w:val="white"/>
              </w:rPr>
              <w:t xml:space="preserve"> rate. Stacking is recorded, but then not included in the ER calculations</w:t>
            </w:r>
          </w:p>
        </w:tc>
      </w:tr>
      <w:tr w:rsidR="000E5CD4" w14:paraId="6D1B8E1B" w14:textId="77777777">
        <w:trPr>
          <w:trHeight w:val="28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3D7BF0B"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GS2441</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6C8BEB9"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ONIL 2011</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E497BBF"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97%</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41D4599"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203D81F"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63%</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886F96C" w14:textId="32633648"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 xml:space="preserve">Adoption is the combination of how they define usage (but is our definition of adoption), and </w:t>
            </w:r>
            <w:r w:rsidR="003C3E9E">
              <w:rPr>
                <w:sz w:val="20"/>
                <w:szCs w:val="20"/>
                <w:highlight w:val="white"/>
              </w:rPr>
              <w:t>eligibility</w:t>
            </w:r>
            <w:r>
              <w:rPr>
                <w:sz w:val="20"/>
                <w:szCs w:val="20"/>
                <w:highlight w:val="white"/>
              </w:rPr>
              <w:t xml:space="preserve"> rate. Stacking is recorded, but then not included in the ER calculations</w:t>
            </w:r>
          </w:p>
        </w:tc>
      </w:tr>
      <w:tr w:rsidR="000E5CD4" w14:paraId="4E755C76" w14:textId="77777777">
        <w:trPr>
          <w:trHeight w:val="28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52794F9"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GS2441</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A8AF556"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ONIL 2012</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FF2DF1F"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97%</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366A444"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3B8B639"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63%</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033634E" w14:textId="0A2C8E70"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 xml:space="preserve">Adoption is the combination of how they define usage (but is our definition of adoption), and </w:t>
            </w:r>
            <w:r w:rsidR="003C3E9E">
              <w:rPr>
                <w:sz w:val="20"/>
                <w:szCs w:val="20"/>
                <w:highlight w:val="white"/>
              </w:rPr>
              <w:t>eligibility</w:t>
            </w:r>
            <w:r>
              <w:rPr>
                <w:sz w:val="20"/>
                <w:szCs w:val="20"/>
                <w:highlight w:val="white"/>
              </w:rPr>
              <w:t xml:space="preserve"> rate. Stacking is recorded, but then not included in the ER calculations</w:t>
            </w:r>
          </w:p>
        </w:tc>
      </w:tr>
      <w:tr w:rsidR="000E5CD4" w14:paraId="66EB2493" w14:textId="77777777">
        <w:trPr>
          <w:trHeight w:val="28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768EC65"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lastRenderedPageBreak/>
              <w:t>GS2441</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F41922A"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ONIL 2013</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1914D4A"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97%</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E4F0FA2"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A17AE83"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63%</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98ED0C0" w14:textId="29DD1D1A"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 xml:space="preserve">Adoption is the combination of how they define usage (but is our definition of adoption), and </w:t>
            </w:r>
            <w:r w:rsidR="003C3E9E">
              <w:rPr>
                <w:sz w:val="20"/>
                <w:szCs w:val="20"/>
                <w:highlight w:val="white"/>
              </w:rPr>
              <w:t>eligibility</w:t>
            </w:r>
            <w:r>
              <w:rPr>
                <w:sz w:val="20"/>
                <w:szCs w:val="20"/>
                <w:highlight w:val="white"/>
              </w:rPr>
              <w:t xml:space="preserve"> rate. Stacking is recorded, but then not included in the ER calculations</w:t>
            </w:r>
          </w:p>
        </w:tc>
      </w:tr>
      <w:tr w:rsidR="000E5CD4" w14:paraId="3F6A623F" w14:textId="77777777">
        <w:trPr>
          <w:trHeight w:val="28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5E6F889"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GS2441</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8D99781"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ONIL 2013</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E9613BD"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97%</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E803EBB"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8F37C8C"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63%</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FFE074A" w14:textId="2B8935D5"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 xml:space="preserve">Adoption is the combination of how they define usage (but is our definition of adoption), and </w:t>
            </w:r>
            <w:r w:rsidR="003C3E9E">
              <w:rPr>
                <w:sz w:val="20"/>
                <w:szCs w:val="20"/>
                <w:highlight w:val="white"/>
              </w:rPr>
              <w:t>eligibility</w:t>
            </w:r>
            <w:r>
              <w:rPr>
                <w:sz w:val="20"/>
                <w:szCs w:val="20"/>
                <w:highlight w:val="white"/>
              </w:rPr>
              <w:t xml:space="preserve"> rate. Stacking is recorded, but then not included in the ER calculations</w:t>
            </w:r>
          </w:p>
        </w:tc>
      </w:tr>
      <w:tr w:rsidR="000E5CD4" w14:paraId="3D299819"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F47E5D9"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GS4677</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449A34E"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PDD</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80AA95A"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PDD: 1</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C0F9626"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PDD: .85</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CFFE8FA"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PDD:0</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0998900"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33FC9A55"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FBCBB6A"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2513</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66EC487"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PDD</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2761BA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PDD: 1</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80EA5E2"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PDD: 1</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4FECA5D"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PDD:0</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DA5FD8C"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3402B7D9"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CB98ABD"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GS7578</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50C6905"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PDD</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825E876"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PDD: 1</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153FC9D"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PDD: 1</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E0EF5B7"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PDD:0</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EF54FC9"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7343A809"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753D3E6"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2445</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5F5171E"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1st MR</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6849756"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63.5%</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7AEBC58"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1126" w:type="dxa"/>
            <w:tcBorders>
              <w:top w:val="single" w:sz="8" w:space="0" w:color="000000"/>
              <w:left w:val="single" w:sz="8" w:space="0" w:color="000000"/>
              <w:bottom w:val="single" w:sz="8" w:space="0" w:color="000000"/>
            </w:tcBorders>
            <w:shd w:val="clear" w:color="auto" w:fill="auto"/>
            <w:tcMar>
              <w:top w:w="20" w:type="dxa"/>
              <w:left w:w="20" w:type="dxa"/>
              <w:bottom w:w="100" w:type="dxa"/>
              <w:right w:w="20" w:type="dxa"/>
            </w:tcMar>
            <w:vAlign w:val="bottom"/>
          </w:tcPr>
          <w:p w14:paraId="657C70C8"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Stacking is recorded in leakage, but actual percentage not given</w:t>
            </w:r>
          </w:p>
        </w:tc>
        <w:tc>
          <w:tcPr>
            <w:tcW w:w="2523" w:type="dxa"/>
            <w:tcBorders>
              <w:bottom w:val="single" w:sz="8" w:space="0" w:color="000000"/>
              <w:right w:val="single" w:sz="8" w:space="0" w:color="000000"/>
            </w:tcBorders>
            <w:shd w:val="clear" w:color="auto" w:fill="auto"/>
            <w:tcMar>
              <w:top w:w="100" w:type="dxa"/>
              <w:left w:w="100" w:type="dxa"/>
              <w:bottom w:w="100" w:type="dxa"/>
              <w:right w:w="100" w:type="dxa"/>
            </w:tcMar>
          </w:tcPr>
          <w:p w14:paraId="71FF8950" w14:textId="77777777" w:rsidR="000E5CD4" w:rsidRDefault="000E5CD4">
            <w:pPr>
              <w:widowControl w:val="0"/>
              <w:pBdr>
                <w:top w:val="nil"/>
                <w:left w:val="nil"/>
                <w:bottom w:val="nil"/>
                <w:right w:val="nil"/>
                <w:between w:val="nil"/>
              </w:pBdr>
              <w:rPr>
                <w:sz w:val="20"/>
                <w:szCs w:val="20"/>
                <w:highlight w:val="white"/>
              </w:rPr>
            </w:pPr>
          </w:p>
        </w:tc>
      </w:tr>
      <w:tr w:rsidR="000E5CD4" w14:paraId="617EB0F5" w14:textId="77777777">
        <w:trPr>
          <w:trHeight w:val="28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59269B8"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2439</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CEE627A"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2013 ecocina</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044C9B9"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97%</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9FB8B29"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2166C47"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92%</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144A51B" w14:textId="23787AC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 xml:space="preserve">Adoption is the combination of how they define usage (but is our definition of adoption), and </w:t>
            </w:r>
            <w:r w:rsidR="003C3E9E">
              <w:rPr>
                <w:sz w:val="20"/>
                <w:szCs w:val="20"/>
                <w:highlight w:val="white"/>
              </w:rPr>
              <w:t>eligibility</w:t>
            </w:r>
            <w:r>
              <w:rPr>
                <w:sz w:val="20"/>
                <w:szCs w:val="20"/>
                <w:highlight w:val="white"/>
              </w:rPr>
              <w:t xml:space="preserve"> rate. Stacking is recorded, but then not included in the ER calculations</w:t>
            </w:r>
          </w:p>
        </w:tc>
      </w:tr>
      <w:tr w:rsidR="000E5CD4" w14:paraId="6ACB1E92" w14:textId="77777777">
        <w:trPr>
          <w:trHeight w:val="28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4579107"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lastRenderedPageBreak/>
              <w:t>GS 2439</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E639435"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2014 ecocina</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D3986DB"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97%</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2F72B9D"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F511EBF"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92%</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61550D7" w14:textId="2170FE86"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 xml:space="preserve">Adoption is the combination of how they define usage (but is our definition of adoption), and </w:t>
            </w:r>
            <w:r w:rsidR="003C3E9E">
              <w:rPr>
                <w:sz w:val="20"/>
                <w:szCs w:val="20"/>
                <w:highlight w:val="white"/>
              </w:rPr>
              <w:t>eligibility</w:t>
            </w:r>
            <w:r>
              <w:rPr>
                <w:sz w:val="20"/>
                <w:szCs w:val="20"/>
                <w:highlight w:val="white"/>
              </w:rPr>
              <w:t xml:space="preserve"> rate. Stacking is recorded, but then not included in the ER calculations</w:t>
            </w:r>
          </w:p>
        </w:tc>
      </w:tr>
      <w:tr w:rsidR="000E5CD4" w14:paraId="1DB881A0" w14:textId="77777777">
        <w:trPr>
          <w:trHeight w:val="28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D60B869"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2439</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28F40E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2012 ecocina</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CB8BC12"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98.5%</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613F18E"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626A775"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92%</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3F3094D" w14:textId="042AD7B9"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 xml:space="preserve">Adoption is the combination of how they define usage (but is our definition of adoption), and </w:t>
            </w:r>
            <w:r w:rsidR="003C3E9E">
              <w:rPr>
                <w:sz w:val="20"/>
                <w:szCs w:val="20"/>
                <w:highlight w:val="white"/>
              </w:rPr>
              <w:t>eligibility</w:t>
            </w:r>
            <w:r>
              <w:rPr>
                <w:sz w:val="20"/>
                <w:szCs w:val="20"/>
                <w:highlight w:val="white"/>
              </w:rPr>
              <w:t xml:space="preserve"> rate. Stacking is recorded, but then not included in the ER calculations</w:t>
            </w:r>
          </w:p>
        </w:tc>
      </w:tr>
      <w:tr w:rsidR="000E5CD4" w14:paraId="2527EFB0" w14:textId="77777777">
        <w:trPr>
          <w:trHeight w:val="28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A51A8DF"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2439</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9C8535F"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2012 ecoplancha</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5332D9D"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88%</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769D287"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1BE4D8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36%</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CAFF3C8" w14:textId="47FCD91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 xml:space="preserve">Adoption is the combination of how they define usage (but is our definition of adoption), and </w:t>
            </w:r>
            <w:r w:rsidR="003C3E9E">
              <w:rPr>
                <w:sz w:val="20"/>
                <w:szCs w:val="20"/>
                <w:highlight w:val="white"/>
              </w:rPr>
              <w:t>eligibility</w:t>
            </w:r>
            <w:r>
              <w:rPr>
                <w:sz w:val="20"/>
                <w:szCs w:val="20"/>
                <w:highlight w:val="white"/>
              </w:rPr>
              <w:t xml:space="preserve"> rate. Stacking is recorded, but then not included in the ER calculations</w:t>
            </w:r>
          </w:p>
        </w:tc>
      </w:tr>
      <w:tr w:rsidR="000E5CD4" w14:paraId="406D8ACF" w14:textId="77777777">
        <w:trPr>
          <w:trHeight w:val="28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822F6FA"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2439</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0698599"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2013 ecoplancha</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B3721F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89%</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D1DC87A"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AA0FDC8"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36%</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D34DF77" w14:textId="7608B58E"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 xml:space="preserve">Adoption is the combination of how they define usage (but is our definition of adoption), and </w:t>
            </w:r>
            <w:r w:rsidR="003C3E9E">
              <w:rPr>
                <w:sz w:val="20"/>
                <w:szCs w:val="20"/>
                <w:highlight w:val="white"/>
              </w:rPr>
              <w:t>eligibility</w:t>
            </w:r>
            <w:r>
              <w:rPr>
                <w:sz w:val="20"/>
                <w:szCs w:val="20"/>
                <w:highlight w:val="white"/>
              </w:rPr>
              <w:t xml:space="preserve"> rate. Stacking is recorded, but then not included in the ER calculations</w:t>
            </w:r>
          </w:p>
        </w:tc>
      </w:tr>
      <w:tr w:rsidR="000E5CD4" w14:paraId="43CD6340" w14:textId="77777777">
        <w:trPr>
          <w:trHeight w:val="28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572F1FA"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lastRenderedPageBreak/>
              <w:t>GS 2439</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5B9E84C"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2014 ecoplancha</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8119BB4"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90%</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68F180A"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A9A14B1"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36%</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418BB12" w14:textId="30A0562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 xml:space="preserve">Adoption is the combination of how they define usage (but is our definition of adoption), and </w:t>
            </w:r>
            <w:r w:rsidR="003C3E9E">
              <w:rPr>
                <w:sz w:val="20"/>
                <w:szCs w:val="20"/>
                <w:highlight w:val="white"/>
              </w:rPr>
              <w:t>eligibility</w:t>
            </w:r>
            <w:r>
              <w:rPr>
                <w:sz w:val="20"/>
                <w:szCs w:val="20"/>
                <w:highlight w:val="white"/>
              </w:rPr>
              <w:t xml:space="preserve"> rate. Stacking is recorded, but then not included in the ER calculations</w:t>
            </w:r>
          </w:p>
        </w:tc>
      </w:tr>
      <w:tr w:rsidR="000E5CD4" w14:paraId="22A6BA33"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965738E"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1267</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40ED83F"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1st MR</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88A8B34"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100%</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60B2B14"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1126" w:type="dxa"/>
            <w:tcBorders>
              <w:top w:val="single" w:sz="8" w:space="0" w:color="000000"/>
              <w:left w:val="single" w:sz="8" w:space="0" w:color="000000"/>
              <w:bottom w:val="single" w:sz="8" w:space="0" w:color="000000"/>
            </w:tcBorders>
            <w:shd w:val="clear" w:color="auto" w:fill="auto"/>
            <w:tcMar>
              <w:top w:w="20" w:type="dxa"/>
              <w:left w:w="20" w:type="dxa"/>
              <w:bottom w:w="100" w:type="dxa"/>
              <w:right w:w="20" w:type="dxa"/>
            </w:tcMar>
            <w:vAlign w:val="bottom"/>
          </w:tcPr>
          <w:p w14:paraId="758041EE"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2523" w:type="dxa"/>
            <w:tcBorders>
              <w:bottom w:val="single" w:sz="8" w:space="0" w:color="000000"/>
              <w:right w:val="single" w:sz="8" w:space="0" w:color="000000"/>
            </w:tcBorders>
            <w:shd w:val="clear" w:color="auto" w:fill="auto"/>
            <w:tcMar>
              <w:top w:w="100" w:type="dxa"/>
              <w:left w:w="100" w:type="dxa"/>
              <w:bottom w:w="100" w:type="dxa"/>
              <w:right w:w="100" w:type="dxa"/>
            </w:tcMar>
          </w:tcPr>
          <w:p w14:paraId="546E32FB" w14:textId="77777777" w:rsidR="000E5CD4" w:rsidRDefault="000E5CD4">
            <w:pPr>
              <w:widowControl w:val="0"/>
              <w:pBdr>
                <w:top w:val="nil"/>
                <w:left w:val="nil"/>
                <w:bottom w:val="nil"/>
                <w:right w:val="nil"/>
                <w:between w:val="nil"/>
              </w:pBdr>
              <w:rPr>
                <w:sz w:val="20"/>
                <w:szCs w:val="20"/>
                <w:highlight w:val="white"/>
              </w:rPr>
            </w:pPr>
          </w:p>
        </w:tc>
      </w:tr>
      <w:tr w:rsidR="000E5CD4" w14:paraId="21800A6F"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1420965"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1267</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D6F63DA"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2nd MR</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55654ED"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100%</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C04BA73"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1126" w:type="dxa"/>
            <w:tcBorders>
              <w:top w:val="single" w:sz="8" w:space="0" w:color="000000"/>
              <w:left w:val="single" w:sz="8" w:space="0" w:color="000000"/>
              <w:bottom w:val="single" w:sz="8" w:space="0" w:color="000000"/>
            </w:tcBorders>
            <w:shd w:val="clear" w:color="auto" w:fill="auto"/>
            <w:tcMar>
              <w:top w:w="20" w:type="dxa"/>
              <w:left w:w="20" w:type="dxa"/>
              <w:bottom w:w="100" w:type="dxa"/>
              <w:right w:w="20" w:type="dxa"/>
            </w:tcMar>
            <w:vAlign w:val="bottom"/>
          </w:tcPr>
          <w:p w14:paraId="3C71AA04"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2523" w:type="dxa"/>
            <w:tcBorders>
              <w:bottom w:val="single" w:sz="8" w:space="0" w:color="000000"/>
              <w:right w:val="single" w:sz="8" w:space="0" w:color="000000"/>
            </w:tcBorders>
            <w:shd w:val="clear" w:color="auto" w:fill="auto"/>
            <w:tcMar>
              <w:top w:w="100" w:type="dxa"/>
              <w:left w:w="100" w:type="dxa"/>
              <w:bottom w:w="100" w:type="dxa"/>
              <w:right w:w="100" w:type="dxa"/>
            </w:tcMar>
          </w:tcPr>
          <w:p w14:paraId="6F9425EE" w14:textId="77777777" w:rsidR="000E5CD4" w:rsidRDefault="000E5CD4">
            <w:pPr>
              <w:widowControl w:val="0"/>
              <w:pBdr>
                <w:top w:val="nil"/>
                <w:left w:val="nil"/>
                <w:bottom w:val="nil"/>
                <w:right w:val="nil"/>
                <w:between w:val="nil"/>
              </w:pBdr>
              <w:rPr>
                <w:sz w:val="20"/>
                <w:szCs w:val="20"/>
                <w:highlight w:val="white"/>
              </w:rPr>
            </w:pPr>
          </w:p>
        </w:tc>
      </w:tr>
      <w:tr w:rsidR="000E5CD4" w14:paraId="3BFB4C31"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81CF84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1267</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A6C845F"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3rd MR</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01EF12D"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96.7%</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E171BD2"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1126" w:type="dxa"/>
            <w:tcBorders>
              <w:top w:val="single" w:sz="8" w:space="0" w:color="000000"/>
              <w:left w:val="single" w:sz="8" w:space="0" w:color="000000"/>
              <w:bottom w:val="single" w:sz="8" w:space="0" w:color="000000"/>
            </w:tcBorders>
            <w:shd w:val="clear" w:color="auto" w:fill="auto"/>
            <w:tcMar>
              <w:top w:w="20" w:type="dxa"/>
              <w:left w:w="20" w:type="dxa"/>
              <w:bottom w:w="100" w:type="dxa"/>
              <w:right w:w="20" w:type="dxa"/>
            </w:tcMar>
            <w:vAlign w:val="bottom"/>
          </w:tcPr>
          <w:p w14:paraId="67932446"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2523" w:type="dxa"/>
            <w:tcBorders>
              <w:bottom w:val="single" w:sz="8" w:space="0" w:color="000000"/>
              <w:right w:val="single" w:sz="8" w:space="0" w:color="000000"/>
            </w:tcBorders>
            <w:shd w:val="clear" w:color="auto" w:fill="auto"/>
            <w:tcMar>
              <w:top w:w="100" w:type="dxa"/>
              <w:left w:w="100" w:type="dxa"/>
              <w:bottom w:w="100" w:type="dxa"/>
              <w:right w:w="100" w:type="dxa"/>
            </w:tcMar>
          </w:tcPr>
          <w:p w14:paraId="12E37B3B" w14:textId="77777777" w:rsidR="000E5CD4" w:rsidRDefault="000E5CD4">
            <w:pPr>
              <w:widowControl w:val="0"/>
              <w:pBdr>
                <w:top w:val="nil"/>
                <w:left w:val="nil"/>
                <w:bottom w:val="nil"/>
                <w:right w:val="nil"/>
                <w:between w:val="nil"/>
              </w:pBdr>
              <w:rPr>
                <w:sz w:val="20"/>
                <w:szCs w:val="20"/>
                <w:highlight w:val="white"/>
              </w:rPr>
            </w:pPr>
          </w:p>
        </w:tc>
      </w:tr>
      <w:tr w:rsidR="000E5CD4" w14:paraId="1CDBA5C2"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2A6D1C3"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1267</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4C9F723"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4th MR</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31AD6A1"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90%</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7A89AF6"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1126" w:type="dxa"/>
            <w:tcBorders>
              <w:top w:val="single" w:sz="8" w:space="0" w:color="000000"/>
              <w:left w:val="single" w:sz="8" w:space="0" w:color="000000"/>
              <w:bottom w:val="single" w:sz="8" w:space="0" w:color="000000"/>
            </w:tcBorders>
            <w:shd w:val="clear" w:color="auto" w:fill="auto"/>
            <w:tcMar>
              <w:top w:w="20" w:type="dxa"/>
              <w:left w:w="20" w:type="dxa"/>
              <w:bottom w:w="100" w:type="dxa"/>
              <w:right w:w="20" w:type="dxa"/>
            </w:tcMar>
            <w:vAlign w:val="bottom"/>
          </w:tcPr>
          <w:p w14:paraId="6A4D72E2"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2523" w:type="dxa"/>
            <w:tcBorders>
              <w:bottom w:val="single" w:sz="8" w:space="0" w:color="000000"/>
              <w:right w:val="single" w:sz="8" w:space="0" w:color="000000"/>
            </w:tcBorders>
            <w:shd w:val="clear" w:color="auto" w:fill="auto"/>
            <w:tcMar>
              <w:top w:w="100" w:type="dxa"/>
              <w:left w:w="100" w:type="dxa"/>
              <w:bottom w:w="100" w:type="dxa"/>
              <w:right w:w="100" w:type="dxa"/>
            </w:tcMar>
          </w:tcPr>
          <w:p w14:paraId="383D25B0" w14:textId="77777777" w:rsidR="000E5CD4" w:rsidRDefault="000E5CD4">
            <w:pPr>
              <w:widowControl w:val="0"/>
              <w:pBdr>
                <w:top w:val="nil"/>
                <w:left w:val="nil"/>
                <w:bottom w:val="nil"/>
                <w:right w:val="nil"/>
                <w:between w:val="nil"/>
              </w:pBdr>
              <w:rPr>
                <w:sz w:val="20"/>
                <w:szCs w:val="20"/>
                <w:highlight w:val="white"/>
              </w:rPr>
            </w:pPr>
          </w:p>
        </w:tc>
      </w:tr>
      <w:tr w:rsidR="000E5CD4" w14:paraId="1F0E56E2"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172CEA1"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1267</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C6DD773"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5th MR</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CEF0BE7"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90%</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9A86E71"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1126" w:type="dxa"/>
            <w:tcBorders>
              <w:top w:val="single" w:sz="8" w:space="0" w:color="000000"/>
              <w:left w:val="single" w:sz="8" w:space="0" w:color="000000"/>
              <w:bottom w:val="single" w:sz="8" w:space="0" w:color="000000"/>
            </w:tcBorders>
            <w:shd w:val="clear" w:color="auto" w:fill="auto"/>
            <w:tcMar>
              <w:top w:w="20" w:type="dxa"/>
              <w:left w:w="20" w:type="dxa"/>
              <w:bottom w:w="100" w:type="dxa"/>
              <w:right w:w="20" w:type="dxa"/>
            </w:tcMar>
            <w:vAlign w:val="bottom"/>
          </w:tcPr>
          <w:p w14:paraId="0DA1B082"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2523" w:type="dxa"/>
            <w:tcBorders>
              <w:bottom w:val="single" w:sz="8" w:space="0" w:color="000000"/>
              <w:right w:val="single" w:sz="8" w:space="0" w:color="000000"/>
            </w:tcBorders>
            <w:shd w:val="clear" w:color="auto" w:fill="auto"/>
            <w:tcMar>
              <w:top w:w="100" w:type="dxa"/>
              <w:left w:w="100" w:type="dxa"/>
              <w:bottom w:w="100" w:type="dxa"/>
              <w:right w:w="100" w:type="dxa"/>
            </w:tcMar>
          </w:tcPr>
          <w:p w14:paraId="0EFD1B55" w14:textId="77777777" w:rsidR="000E5CD4" w:rsidRDefault="000E5CD4">
            <w:pPr>
              <w:widowControl w:val="0"/>
              <w:pBdr>
                <w:top w:val="nil"/>
                <w:left w:val="nil"/>
                <w:bottom w:val="nil"/>
                <w:right w:val="nil"/>
                <w:between w:val="nil"/>
              </w:pBdr>
              <w:rPr>
                <w:sz w:val="20"/>
                <w:szCs w:val="20"/>
                <w:highlight w:val="white"/>
              </w:rPr>
            </w:pPr>
          </w:p>
        </w:tc>
      </w:tr>
      <w:tr w:rsidR="000E5CD4" w14:paraId="1D628EBA"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427EF2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1267</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B0D5BFF"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6th MR</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A8EF00C"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28%</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89BCEDA"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1126" w:type="dxa"/>
            <w:tcBorders>
              <w:top w:val="single" w:sz="8" w:space="0" w:color="000000"/>
              <w:left w:val="single" w:sz="8" w:space="0" w:color="000000"/>
              <w:bottom w:val="single" w:sz="8" w:space="0" w:color="000000"/>
            </w:tcBorders>
            <w:shd w:val="clear" w:color="auto" w:fill="auto"/>
            <w:tcMar>
              <w:top w:w="20" w:type="dxa"/>
              <w:left w:w="20" w:type="dxa"/>
              <w:bottom w:w="100" w:type="dxa"/>
              <w:right w:w="20" w:type="dxa"/>
            </w:tcMar>
            <w:vAlign w:val="bottom"/>
          </w:tcPr>
          <w:p w14:paraId="0C5B80E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Not reported as use KPTs</w:t>
            </w:r>
          </w:p>
        </w:tc>
        <w:tc>
          <w:tcPr>
            <w:tcW w:w="2523" w:type="dxa"/>
            <w:tcBorders>
              <w:bottom w:val="single" w:sz="8" w:space="0" w:color="000000"/>
              <w:right w:val="single" w:sz="8" w:space="0" w:color="000000"/>
            </w:tcBorders>
            <w:shd w:val="clear" w:color="auto" w:fill="auto"/>
            <w:tcMar>
              <w:top w:w="100" w:type="dxa"/>
              <w:left w:w="100" w:type="dxa"/>
              <w:bottom w:w="100" w:type="dxa"/>
              <w:right w:w="100" w:type="dxa"/>
            </w:tcMar>
          </w:tcPr>
          <w:p w14:paraId="2D6BD8A2" w14:textId="77777777" w:rsidR="000E5CD4" w:rsidRDefault="000E5CD4">
            <w:pPr>
              <w:widowControl w:val="0"/>
              <w:pBdr>
                <w:top w:val="nil"/>
                <w:left w:val="nil"/>
                <w:bottom w:val="nil"/>
                <w:right w:val="nil"/>
                <w:between w:val="nil"/>
              </w:pBdr>
              <w:rPr>
                <w:sz w:val="20"/>
                <w:szCs w:val="20"/>
                <w:highlight w:val="white"/>
              </w:rPr>
            </w:pPr>
          </w:p>
        </w:tc>
      </w:tr>
      <w:tr w:rsidR="000E5CD4" w14:paraId="62807C27"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90A412C"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6604</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9731963"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1st MR July -September 2017</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FA1D416"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90%</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E524A2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5F28A5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0%</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4B0ECFE"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2CE3A36C"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627C0A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6604</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E15BFDF"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1st MR October 2017- September 2018</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36EB0B1"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90%</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87D58AE"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BBFF801"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2%</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E9A34AC"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578278C3" w14:textId="77777777">
        <w:trPr>
          <w:trHeight w:val="146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401204E"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4291</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A412169"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MR 3</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FAB8127"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79.6%</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1867E0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F9C8EC1"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6%</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41D6A43"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The project tracked stacking, but then did not include it in their ER calculation.</w:t>
            </w:r>
          </w:p>
        </w:tc>
      </w:tr>
      <w:tr w:rsidR="000E5CD4" w14:paraId="5FA0AFFF"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35FA44F"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1094</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72F51E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MR 1</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D64DCC8"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96%</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176DFC4"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8732676"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0%</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49768EA"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527C2521"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28CC56B"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1094</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D7E7668"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MR 2</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7915A22"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94.3%</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E3BA8D5"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1C8F574"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0%</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57D4992"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427BB451"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FA93A93"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1094</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A392692"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MR 3</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D896A9C"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BCBA5A9"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E9F06B6"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0%</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5D11E15"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25C4AA70"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EC1531B"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1094</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99DF7D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 xml:space="preserve">MR 4 </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C38F1EE"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FA60B9A"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0181279"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0%</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6898BCA"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285FD98D"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4CB4D4D"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lastRenderedPageBreak/>
              <w:t>GS 1094</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66148CF"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 xml:space="preserve">MR 5 </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D32EBC3"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58B8B62"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56EE586"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0%</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A6824FE"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60157D3D"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029AF52"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1094</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A37A00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MR 6</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301F738"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D75F1B1"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0C5DEAE"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0%</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1FC88B6"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2A6A375F"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372862C"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2744</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B9206DF"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CPA 27 May 2022</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C1E7E64"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92.5%</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8E392F3"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D895F33"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0%</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A160929"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38744B84" w14:textId="77777777">
        <w:trPr>
          <w:trHeight w:val="146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7DB0A4F"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1060</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9274786"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MP8/9</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2EFBCD1"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87%</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22B6F4D"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7599A7D"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N/A</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3888C1E"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 xml:space="preserve">Do not report stacking, but states if pre-project devices found in use, they will be removed from baseline fuel consumption </w:t>
            </w:r>
          </w:p>
        </w:tc>
      </w:tr>
      <w:tr w:rsidR="000E5CD4" w14:paraId="0C22966D"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081E104"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3112</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1A23D07"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MR 1: 1-2 years</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80C28EE"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98%</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58B282D"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691079C"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4DDCD87"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1289902F"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5F19A08"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3112</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0AEF4DB"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MR 1: 2-3 years</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2F44822"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97%</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07FFA45"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8B11292"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2%</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C2214ED"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45FCBF85"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26D0482"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3112</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B52DA39"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MR2: 2-3 years</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48AA53B"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97%</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5F1B142"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42A0F3D"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2%</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C975DF8"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60E74D12"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C4C35A6"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3112</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2B2DD18"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MR 2: 3-4 years</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2D8DFFA"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96%</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5152FC5"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8D66A04"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2%</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4ADF6F1"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5A78104B" w14:textId="77777777">
        <w:trPr>
          <w:trHeight w:val="350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4849D5B"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5642</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0E958287"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3rd MR</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8BD400D"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68%</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F4EDF62"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N/A</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FDC6FF7"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N/A</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6C04DDE"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Those cases where the baseline stove was found to be still in use along the project stove were treated, a discount factor was applied for usage. However, we are unable to distinguish based on the information provided by the project</w:t>
            </w:r>
          </w:p>
        </w:tc>
      </w:tr>
      <w:tr w:rsidR="000E5CD4" w14:paraId="72A8D50A" w14:textId="77777777">
        <w:trPr>
          <w:trHeight w:val="415"/>
        </w:trPr>
        <w:tc>
          <w:tcPr>
            <w:tcW w:w="822"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4B15F47F"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GS 5642</w:t>
            </w:r>
          </w:p>
        </w:tc>
        <w:tc>
          <w:tcPr>
            <w:tcW w:w="184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24519184"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2nd MR</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68484593"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75%</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7A20353"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1</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D6668B5"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0%</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CCBD4A0" w14:textId="77777777" w:rsidR="000E5CD4" w:rsidRDefault="000E5CD4">
            <w:pPr>
              <w:widowControl w:val="0"/>
              <w:pBdr>
                <w:top w:val="nil"/>
                <w:left w:val="nil"/>
                <w:bottom w:val="nil"/>
                <w:right w:val="nil"/>
                <w:between w:val="nil"/>
              </w:pBdr>
              <w:spacing w:line="276" w:lineRule="auto"/>
              <w:rPr>
                <w:sz w:val="20"/>
                <w:szCs w:val="20"/>
                <w:highlight w:val="white"/>
              </w:rPr>
            </w:pPr>
          </w:p>
        </w:tc>
      </w:tr>
      <w:tr w:rsidR="000E5CD4" w14:paraId="3FF208A6" w14:textId="77777777">
        <w:trPr>
          <w:trHeight w:val="1015"/>
        </w:trPr>
        <w:tc>
          <w:tcPr>
            <w:tcW w:w="2667" w:type="dxa"/>
            <w:gridSpan w:val="2"/>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center"/>
          </w:tcPr>
          <w:p w14:paraId="5201D572" w14:textId="77777777" w:rsidR="000E5CD4" w:rsidRDefault="00000000">
            <w:pPr>
              <w:jc w:val="center"/>
              <w:rPr>
                <w:b/>
                <w:sz w:val="20"/>
                <w:szCs w:val="20"/>
                <w:highlight w:val="white"/>
              </w:rPr>
            </w:pPr>
            <w:r>
              <w:rPr>
                <w:b/>
                <w:sz w:val="20"/>
                <w:szCs w:val="20"/>
                <w:highlight w:val="white"/>
              </w:rPr>
              <w:t xml:space="preserve">Average of those reported in a Monitoring Period </w:t>
            </w:r>
          </w:p>
          <w:p w14:paraId="2B665726" w14:textId="77BEDEE8" w:rsidR="000E5CD4" w:rsidRDefault="00000000">
            <w:pPr>
              <w:jc w:val="center"/>
              <w:rPr>
                <w:b/>
                <w:sz w:val="20"/>
                <w:szCs w:val="20"/>
                <w:highlight w:val="white"/>
              </w:rPr>
            </w:pPr>
            <w:r>
              <w:rPr>
                <w:b/>
                <w:sz w:val="20"/>
                <w:szCs w:val="20"/>
                <w:highlight w:val="white"/>
              </w:rPr>
              <w:t>(</w:t>
            </w:r>
            <w:r w:rsidR="003C3E9E">
              <w:rPr>
                <w:b/>
                <w:sz w:val="20"/>
                <w:szCs w:val="20"/>
                <w:highlight w:val="white"/>
              </w:rPr>
              <w:t>And</w:t>
            </w:r>
            <w:r>
              <w:rPr>
                <w:b/>
                <w:sz w:val="20"/>
                <w:szCs w:val="20"/>
                <w:highlight w:val="white"/>
              </w:rPr>
              <w:t xml:space="preserve"> not in a PDD)</w:t>
            </w:r>
          </w:p>
        </w:tc>
        <w:tc>
          <w:tcPr>
            <w:tcW w:w="1125"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102A1364"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90%</w:t>
            </w:r>
          </w:p>
        </w:tc>
        <w:tc>
          <w:tcPr>
            <w:tcW w:w="191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39369ADA"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99%</w:t>
            </w:r>
          </w:p>
        </w:tc>
        <w:tc>
          <w:tcPr>
            <w:tcW w:w="1126"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7EDF6785"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26%</w:t>
            </w:r>
          </w:p>
        </w:tc>
        <w:tc>
          <w:tcPr>
            <w:tcW w:w="2523" w:type="dxa"/>
            <w:tcBorders>
              <w:top w:val="single" w:sz="8" w:space="0" w:color="000000"/>
              <w:left w:val="single" w:sz="8" w:space="0" w:color="000000"/>
              <w:bottom w:val="single" w:sz="8" w:space="0" w:color="000000"/>
              <w:right w:val="single" w:sz="8" w:space="0" w:color="000000"/>
            </w:tcBorders>
            <w:shd w:val="clear" w:color="auto" w:fill="auto"/>
            <w:tcMar>
              <w:top w:w="20" w:type="dxa"/>
              <w:left w:w="20" w:type="dxa"/>
              <w:bottom w:w="100" w:type="dxa"/>
              <w:right w:w="20" w:type="dxa"/>
            </w:tcMar>
            <w:vAlign w:val="bottom"/>
          </w:tcPr>
          <w:p w14:paraId="5B9360B6" w14:textId="77777777" w:rsidR="000E5CD4" w:rsidRDefault="000E5CD4">
            <w:pPr>
              <w:widowControl w:val="0"/>
              <w:pBdr>
                <w:top w:val="nil"/>
                <w:left w:val="nil"/>
                <w:bottom w:val="nil"/>
                <w:right w:val="nil"/>
                <w:between w:val="nil"/>
              </w:pBdr>
              <w:spacing w:line="276" w:lineRule="auto"/>
              <w:rPr>
                <w:sz w:val="20"/>
                <w:szCs w:val="20"/>
                <w:highlight w:val="white"/>
              </w:rPr>
            </w:pPr>
          </w:p>
        </w:tc>
      </w:tr>
    </w:tbl>
    <w:p w14:paraId="43429CAD" w14:textId="77777777" w:rsidR="000E5CD4" w:rsidRDefault="00000000">
      <w:pPr>
        <w:pBdr>
          <w:top w:val="nil"/>
          <w:left w:val="nil"/>
          <w:bottom w:val="nil"/>
          <w:right w:val="nil"/>
          <w:between w:val="nil"/>
        </w:pBdr>
        <w:ind w:left="720"/>
        <w:rPr>
          <w:sz w:val="20"/>
          <w:szCs w:val="20"/>
          <w:highlight w:val="white"/>
        </w:rPr>
      </w:pPr>
      <w:r>
        <w:br w:type="page"/>
      </w:r>
    </w:p>
    <w:p w14:paraId="6D81608D" w14:textId="77777777" w:rsidR="000E5CD4" w:rsidRDefault="000E5CD4">
      <w:pPr>
        <w:pBdr>
          <w:top w:val="nil"/>
          <w:left w:val="nil"/>
          <w:bottom w:val="nil"/>
          <w:right w:val="nil"/>
          <w:between w:val="nil"/>
        </w:pBdr>
        <w:ind w:left="720"/>
        <w:rPr>
          <w:sz w:val="20"/>
          <w:szCs w:val="20"/>
          <w:highlight w:val="white"/>
        </w:rPr>
      </w:pPr>
    </w:p>
    <w:p w14:paraId="1761FAE9" w14:textId="77777777" w:rsidR="000E5CD4" w:rsidRDefault="00000000">
      <w:pPr>
        <w:pStyle w:val="Heading2"/>
        <w:numPr>
          <w:ilvl w:val="0"/>
          <w:numId w:val="4"/>
        </w:numPr>
      </w:pPr>
      <w:bookmarkStart w:id="7" w:name="_c8ymbedtjeq8" w:colFirst="0" w:colLast="0"/>
      <w:bookmarkEnd w:id="7"/>
      <w:r>
        <w:t xml:space="preserve">Adoption Review </w:t>
      </w:r>
    </w:p>
    <w:p w14:paraId="24E36F86" w14:textId="77777777" w:rsidR="000E5CD4" w:rsidRDefault="000E5CD4">
      <w:pPr>
        <w:pBdr>
          <w:top w:val="nil"/>
          <w:left w:val="nil"/>
          <w:bottom w:val="nil"/>
          <w:right w:val="nil"/>
          <w:between w:val="nil"/>
        </w:pBdr>
        <w:ind w:left="720"/>
        <w:rPr>
          <w:b/>
          <w:sz w:val="20"/>
          <w:szCs w:val="20"/>
          <w:highlight w:val="white"/>
        </w:rPr>
      </w:pPr>
    </w:p>
    <w:tbl>
      <w:tblPr>
        <w:tblStyle w:val="a2"/>
        <w:tblW w:w="9360" w:type="dxa"/>
        <w:tblBorders>
          <w:top w:val="nil"/>
          <w:left w:val="nil"/>
          <w:bottom w:val="nil"/>
          <w:right w:val="nil"/>
          <w:insideH w:val="nil"/>
          <w:insideV w:val="nil"/>
        </w:tblBorders>
        <w:tblLayout w:type="fixed"/>
        <w:tblLook w:val="0600" w:firstRow="0" w:lastRow="0" w:firstColumn="0" w:lastColumn="0" w:noHBand="1" w:noVBand="1"/>
      </w:tblPr>
      <w:tblGrid>
        <w:gridCol w:w="4485"/>
        <w:gridCol w:w="2250"/>
        <w:gridCol w:w="1155"/>
        <w:gridCol w:w="1470"/>
      </w:tblGrid>
      <w:tr w:rsidR="000E5CD4" w14:paraId="5B216E74" w14:textId="77777777">
        <w:trPr>
          <w:trHeight w:val="415"/>
        </w:trPr>
        <w:tc>
          <w:tcPr>
            <w:tcW w:w="448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443A27F8" w14:textId="77777777" w:rsidR="000E5CD4" w:rsidRDefault="00000000">
            <w:pPr>
              <w:widowControl w:val="0"/>
              <w:pBdr>
                <w:top w:val="nil"/>
                <w:left w:val="nil"/>
                <w:bottom w:val="nil"/>
                <w:right w:val="nil"/>
                <w:between w:val="nil"/>
              </w:pBdr>
              <w:spacing w:line="276" w:lineRule="auto"/>
              <w:rPr>
                <w:b/>
                <w:sz w:val="20"/>
                <w:szCs w:val="20"/>
                <w:highlight w:val="white"/>
              </w:rPr>
            </w:pPr>
            <w:r>
              <w:rPr>
                <w:b/>
                <w:sz w:val="20"/>
                <w:szCs w:val="20"/>
                <w:highlight w:val="white"/>
              </w:rPr>
              <w:t>Study Title</w:t>
            </w:r>
          </w:p>
        </w:tc>
        <w:tc>
          <w:tcPr>
            <w:tcW w:w="22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61C2918" w14:textId="77777777" w:rsidR="000E5CD4" w:rsidRDefault="00000000">
            <w:pPr>
              <w:widowControl w:val="0"/>
              <w:pBdr>
                <w:top w:val="nil"/>
                <w:left w:val="nil"/>
                <w:bottom w:val="nil"/>
                <w:right w:val="nil"/>
                <w:between w:val="nil"/>
              </w:pBdr>
              <w:spacing w:line="276" w:lineRule="auto"/>
              <w:rPr>
                <w:b/>
                <w:sz w:val="20"/>
                <w:szCs w:val="20"/>
                <w:highlight w:val="white"/>
              </w:rPr>
            </w:pPr>
            <w:r>
              <w:rPr>
                <w:b/>
                <w:sz w:val="20"/>
                <w:szCs w:val="20"/>
                <w:highlight w:val="white"/>
              </w:rPr>
              <w:t>Country</w:t>
            </w:r>
          </w:p>
        </w:tc>
        <w:tc>
          <w:tcPr>
            <w:tcW w:w="115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1612296" w14:textId="77777777" w:rsidR="000E5CD4" w:rsidRDefault="00000000">
            <w:pPr>
              <w:widowControl w:val="0"/>
              <w:pBdr>
                <w:top w:val="nil"/>
                <w:left w:val="nil"/>
                <w:bottom w:val="nil"/>
                <w:right w:val="nil"/>
                <w:between w:val="nil"/>
              </w:pBdr>
              <w:spacing w:line="276" w:lineRule="auto"/>
              <w:rPr>
                <w:b/>
                <w:sz w:val="20"/>
                <w:szCs w:val="20"/>
                <w:highlight w:val="white"/>
              </w:rPr>
            </w:pPr>
            <w:r>
              <w:rPr>
                <w:b/>
                <w:sz w:val="20"/>
                <w:szCs w:val="20"/>
                <w:highlight w:val="white"/>
              </w:rPr>
              <w:t>Time period (years)</w:t>
            </w:r>
          </w:p>
        </w:tc>
        <w:tc>
          <w:tcPr>
            <w:tcW w:w="147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678960F" w14:textId="77777777" w:rsidR="000E5CD4" w:rsidRDefault="00000000">
            <w:pPr>
              <w:widowControl w:val="0"/>
              <w:pBdr>
                <w:top w:val="nil"/>
                <w:left w:val="nil"/>
                <w:bottom w:val="nil"/>
                <w:right w:val="nil"/>
                <w:between w:val="nil"/>
              </w:pBdr>
              <w:spacing w:line="276" w:lineRule="auto"/>
              <w:rPr>
                <w:b/>
                <w:sz w:val="20"/>
                <w:szCs w:val="20"/>
                <w:highlight w:val="white"/>
              </w:rPr>
            </w:pPr>
            <w:r>
              <w:rPr>
                <w:b/>
                <w:sz w:val="20"/>
                <w:szCs w:val="20"/>
                <w:highlight w:val="white"/>
              </w:rPr>
              <w:t>Adoption Rate</w:t>
            </w:r>
          </w:p>
        </w:tc>
      </w:tr>
      <w:tr w:rsidR="000E5CD4" w14:paraId="3535DB3F" w14:textId="77777777">
        <w:trPr>
          <w:trHeight w:val="415"/>
        </w:trPr>
        <w:tc>
          <w:tcPr>
            <w:tcW w:w="448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C973589" w14:textId="4C255D19" w:rsidR="000E5CD4" w:rsidRPr="003C3E9E" w:rsidRDefault="003C3E9E">
            <w:pPr>
              <w:widowControl w:val="0"/>
              <w:pBdr>
                <w:top w:val="nil"/>
                <w:left w:val="nil"/>
                <w:bottom w:val="nil"/>
                <w:right w:val="nil"/>
                <w:between w:val="nil"/>
              </w:pBdr>
              <w:spacing w:line="276" w:lineRule="auto"/>
              <w:rPr>
                <w:sz w:val="20"/>
                <w:szCs w:val="20"/>
                <w:highlight w:val="white"/>
              </w:rPr>
            </w:pPr>
            <w:r w:rsidRPr="003C3E9E">
              <w:rPr>
                <w:sz w:val="20"/>
                <w:szCs w:val="20"/>
              </w:rPr>
              <w:t>Up in smoke: The influence of household behavior on the long-run impact of improved cooking stoves</w:t>
            </w:r>
            <w:r w:rsidRPr="003C3E9E">
              <w:rPr>
                <w:sz w:val="20"/>
                <w:szCs w:val="20"/>
              </w:rPr>
              <w:fldChar w:fldCharType="begin"/>
            </w:r>
            <w:r w:rsidRPr="003C3E9E">
              <w:rPr>
                <w:sz w:val="20"/>
                <w:szCs w:val="20"/>
              </w:rPr>
              <w:instrText xml:space="preserve"> ADDIN ZOTERO_ITEM CSL_CITATION {"citationID":"HjPRxZ7K","properties":{"formattedCitation":"\\super 1\\nosupersub{}","plainCitation":"1","noteIndex":0},"citationItems":[{"id":2527,"uris":["http://zotero.org/users/9292969/items/VVBWMBZK"],"itemData":{"id":2527,"type":"article-journal","abstract":"Laboratory studies suggest that improved cooking stoves can reduce indoor air pollution, improve health, and decrease greenhouse gas emissions in developing countries. We provide evidence, from a large-scale randomized trial in India, on the benefits of a common, laboratory-validated stove with a four-year follow-up. While smoke inhalation initially falls, this effect disappears by year two. We find no changes across health outcomes or greenhouse gas emissions. Households used the stoves irregularly and inappropriately, failed to maintain them, and usage declined over time. This study underscores the need to test environmental technologies in real-world settings where behavior may undermine potential impacts.","container-title":"American Economic Journal: Economic Policy","DOI":"10.1257/pol.20140008","ISSN":"1945774X","issue":"1","note":"publisher: American Economic Association","page":"80-114","title":"Up in smoke: The influence of household behavior on the long-run impact of improved cooking stoves","volume":"8","author":[{"family":"Hanna","given":"Rema"},{"family":"Duflo","given":"Esther"},{"family":"Greenstone","given":"Michael"}],"issued":{"date-parts":[["2016"]]}}}],"schema":"https://github.com/citation-style-language/schema/raw/master/csl-citation.json"} </w:instrText>
            </w:r>
            <w:r w:rsidRPr="003C3E9E">
              <w:rPr>
                <w:sz w:val="20"/>
                <w:szCs w:val="20"/>
              </w:rPr>
              <w:fldChar w:fldCharType="separate"/>
            </w:r>
            <w:r w:rsidRPr="003C3E9E">
              <w:rPr>
                <w:sz w:val="20"/>
                <w:szCs w:val="20"/>
                <w:vertAlign w:val="superscript"/>
              </w:rPr>
              <w:t>1</w:t>
            </w:r>
            <w:r w:rsidRPr="003C3E9E">
              <w:rPr>
                <w:sz w:val="20"/>
                <w:szCs w:val="20"/>
              </w:rPr>
              <w:fldChar w:fldCharType="end"/>
            </w:r>
          </w:p>
        </w:tc>
        <w:tc>
          <w:tcPr>
            <w:tcW w:w="22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FED97BF"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India</w:t>
            </w:r>
          </w:p>
        </w:tc>
        <w:tc>
          <w:tcPr>
            <w:tcW w:w="115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8E33F19"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2</w:t>
            </w:r>
          </w:p>
        </w:tc>
        <w:tc>
          <w:tcPr>
            <w:tcW w:w="147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0F86B36"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0.4</w:t>
            </w:r>
          </w:p>
        </w:tc>
      </w:tr>
      <w:tr w:rsidR="000E5CD4" w14:paraId="5F34DA1D" w14:textId="77777777">
        <w:trPr>
          <w:trHeight w:val="1120"/>
        </w:trPr>
        <w:tc>
          <w:tcPr>
            <w:tcW w:w="448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E28D78D"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A rapid assessment randomized-controlled trial of improved cookstoves</w:t>
            </w:r>
          </w:p>
          <w:p w14:paraId="2FE229FE"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in rural Ghana</w:t>
            </w:r>
          </w:p>
        </w:tc>
        <w:tc>
          <w:tcPr>
            <w:tcW w:w="22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271D329"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Ghana</w:t>
            </w:r>
          </w:p>
        </w:tc>
        <w:tc>
          <w:tcPr>
            <w:tcW w:w="115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3BE9639"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0.67</w:t>
            </w:r>
          </w:p>
        </w:tc>
        <w:tc>
          <w:tcPr>
            <w:tcW w:w="147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195E9BE"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0.49</w:t>
            </w:r>
          </w:p>
        </w:tc>
      </w:tr>
      <w:tr w:rsidR="000E5CD4" w14:paraId="360ED69E" w14:textId="77777777">
        <w:trPr>
          <w:trHeight w:val="415"/>
        </w:trPr>
        <w:tc>
          <w:tcPr>
            <w:tcW w:w="448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9A07E4E"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Assessing the Effects of Stove Use Patterns and Kitchen Chimneys on Indoor Air Quality during a Multiyear Cookstove Randomized Control Trial in Rural India</w:t>
            </w:r>
          </w:p>
        </w:tc>
        <w:tc>
          <w:tcPr>
            <w:tcW w:w="22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D1A1BCC"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India</w:t>
            </w:r>
          </w:p>
        </w:tc>
        <w:tc>
          <w:tcPr>
            <w:tcW w:w="115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DA95A6C"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3.5</w:t>
            </w:r>
          </w:p>
        </w:tc>
        <w:tc>
          <w:tcPr>
            <w:tcW w:w="147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4FE97B6"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0.619</w:t>
            </w:r>
          </w:p>
        </w:tc>
      </w:tr>
      <w:tr w:rsidR="000E5CD4" w14:paraId="7C6FF926" w14:textId="77777777">
        <w:trPr>
          <w:trHeight w:val="1120"/>
        </w:trPr>
        <w:tc>
          <w:tcPr>
            <w:tcW w:w="448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24C3965"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The Effects of Fuel-Efficient Cookstoves on Fuel Use,</w:t>
            </w:r>
          </w:p>
          <w:p w14:paraId="7142DB43"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Particulate Matter, and Cooking Practices: Results from a Randomized Trial in Rural Uganda</w:t>
            </w:r>
          </w:p>
        </w:tc>
        <w:tc>
          <w:tcPr>
            <w:tcW w:w="22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CE2980C"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Uganda</w:t>
            </w:r>
          </w:p>
        </w:tc>
        <w:tc>
          <w:tcPr>
            <w:tcW w:w="115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BEFBDD5"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3.5</w:t>
            </w:r>
          </w:p>
        </w:tc>
        <w:tc>
          <w:tcPr>
            <w:tcW w:w="147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07525412"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0.65</w:t>
            </w:r>
          </w:p>
        </w:tc>
      </w:tr>
      <w:tr w:rsidR="000E5CD4" w14:paraId="6281BFB3" w14:textId="77777777">
        <w:trPr>
          <w:trHeight w:val="415"/>
        </w:trPr>
        <w:tc>
          <w:tcPr>
            <w:tcW w:w="448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EB61300" w14:textId="6A91DD5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 xml:space="preserve">Assessing the Impact of Water Filters and Improved Cook Stoves on Drinking Water Quality and Household Air Pollution: A </w:t>
            </w:r>
            <w:r w:rsidR="003C3E9E">
              <w:rPr>
                <w:sz w:val="20"/>
                <w:szCs w:val="20"/>
                <w:highlight w:val="white"/>
              </w:rPr>
              <w:t>Randomized</w:t>
            </w:r>
            <w:r>
              <w:rPr>
                <w:sz w:val="20"/>
                <w:szCs w:val="20"/>
                <w:highlight w:val="white"/>
              </w:rPr>
              <w:t xml:space="preserve"> Controlled Trial in Rwanda </w:t>
            </w:r>
          </w:p>
        </w:tc>
        <w:tc>
          <w:tcPr>
            <w:tcW w:w="22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A03CBED"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Rwanda</w:t>
            </w:r>
          </w:p>
        </w:tc>
        <w:tc>
          <w:tcPr>
            <w:tcW w:w="115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EB336B6"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0.5</w:t>
            </w:r>
          </w:p>
        </w:tc>
        <w:tc>
          <w:tcPr>
            <w:tcW w:w="147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C46C86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0.475</w:t>
            </w:r>
          </w:p>
        </w:tc>
      </w:tr>
      <w:tr w:rsidR="000E5CD4" w14:paraId="29A5BA75" w14:textId="77777777">
        <w:trPr>
          <w:trHeight w:val="415"/>
        </w:trPr>
        <w:tc>
          <w:tcPr>
            <w:tcW w:w="448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6A4120B"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 xml:space="preserve">Adoption and sustained use of improved cookstoves </w:t>
            </w:r>
          </w:p>
        </w:tc>
        <w:tc>
          <w:tcPr>
            <w:tcW w:w="22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F54E591"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Guatemala</w:t>
            </w:r>
          </w:p>
        </w:tc>
        <w:tc>
          <w:tcPr>
            <w:tcW w:w="115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6F7E701"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0.83</w:t>
            </w:r>
          </w:p>
        </w:tc>
        <w:tc>
          <w:tcPr>
            <w:tcW w:w="147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F6610F8"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0.5</w:t>
            </w:r>
          </w:p>
        </w:tc>
      </w:tr>
      <w:tr w:rsidR="000E5CD4" w14:paraId="4725D114" w14:textId="77777777">
        <w:trPr>
          <w:trHeight w:val="415"/>
        </w:trPr>
        <w:tc>
          <w:tcPr>
            <w:tcW w:w="448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5EEF577"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Beyond fuelwood savings: Valuing the economic benefits of introducing improved biomass cookstoves in the Purépecha region of Mexico</w:t>
            </w:r>
          </w:p>
        </w:tc>
        <w:tc>
          <w:tcPr>
            <w:tcW w:w="22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4B4BC3B3"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Mexico</w:t>
            </w:r>
          </w:p>
        </w:tc>
        <w:tc>
          <w:tcPr>
            <w:tcW w:w="115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349F9254"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2-7 years</w:t>
            </w:r>
          </w:p>
        </w:tc>
        <w:tc>
          <w:tcPr>
            <w:tcW w:w="147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8BD745C"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0.6</w:t>
            </w:r>
          </w:p>
        </w:tc>
      </w:tr>
      <w:tr w:rsidR="000E5CD4" w14:paraId="788BBEA5" w14:textId="77777777">
        <w:trPr>
          <w:trHeight w:val="415"/>
        </w:trPr>
        <w:tc>
          <w:tcPr>
            <w:tcW w:w="448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0D2B613" w14:textId="0507D823"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Social Capital and Improved Stoves Usage Decisions in the Northern Peruvian Andes</w:t>
            </w:r>
            <w:r>
              <w:fldChar w:fldCharType="begin"/>
            </w:r>
            <w:r w:rsidR="003C3E9E">
              <w:instrText xml:space="preserve"> ADDIN ZOTERO_ITEM CSL_CITATION {"citationID":"1wbod2dK","properties":{"formattedCitation":"\\super 2\\nosupersub{}","plainCitation":"2","noteIndex":0},"citationItems":[{"id":5339,"uris":["http://zotero.org/users/9292969/items/LWIC8YST"],"itemData":{"id":5339,"type":"article-journal","abstract":"Summary\nThis paper explores how village level technology usage patterns and bonding social capital (the strength of intra-communal links) mutually influence the individual usage decision of an improved stove in the Peruvian Andes. It shows that the individual usage likelihood is more responsive to village usage patterns if communal bonding links are relatively strong, and that bonding social capital discourages individual usage if the proportion of beneficiaries experiencing usage problems is relatively high. Usage problems were mainly related to faulty stove’s materials, which were likely exogenous to households’ characteristics. Social capital was measured before the intervention, which alleviates reverse causality issues.","container-title":"World Development","DOI":"10.1016/j.worlddev.2013.07.004","ISSN":"0305-750X","journalAbbreviation":"World Development","page":"1-17","title":"Social Capital and Improved Stoves Usage Decisions in the Northern Peruvian Andes","URL":"https://www.sciencedirect.com/science/article/pii/S0305750X13001733","volume":"54","author":[{"family":"Agurto Adrianzén","given":"Marcos"}],"issued":{"date-parts":[["2014",2,1]]}}}],"schema":"https://github.com/citation-style-language/schema/raw/master/csl-citation.json"} </w:instrText>
            </w:r>
            <w:r>
              <w:fldChar w:fldCharType="separate"/>
            </w:r>
            <w:r w:rsidR="003C3E9E" w:rsidRPr="003C3E9E">
              <w:rPr>
                <w:vertAlign w:val="superscript"/>
              </w:rPr>
              <w:t>2</w:t>
            </w:r>
            <w:r>
              <w:rPr>
                <w:sz w:val="20"/>
                <w:szCs w:val="20"/>
                <w:highlight w:val="white"/>
              </w:rPr>
              <w:fldChar w:fldCharType="end"/>
            </w:r>
          </w:p>
        </w:tc>
        <w:tc>
          <w:tcPr>
            <w:tcW w:w="22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7E9FA727"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Peru</w:t>
            </w:r>
          </w:p>
        </w:tc>
        <w:tc>
          <w:tcPr>
            <w:tcW w:w="115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4DDC8278"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0.83</w:t>
            </w:r>
          </w:p>
        </w:tc>
        <w:tc>
          <w:tcPr>
            <w:tcW w:w="147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1F8626D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0.55</w:t>
            </w:r>
          </w:p>
        </w:tc>
      </w:tr>
      <w:tr w:rsidR="000E5CD4" w14:paraId="29B63A8E" w14:textId="77777777">
        <w:trPr>
          <w:trHeight w:val="415"/>
        </w:trPr>
        <w:tc>
          <w:tcPr>
            <w:tcW w:w="448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41DABEA" w14:textId="1F68B74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The intensive margin of technology adoption-Experimental evidence on improved cooking stoves in rural Senegal</w:t>
            </w:r>
            <w:r>
              <w:fldChar w:fldCharType="begin"/>
            </w:r>
            <w:r w:rsidR="003C3E9E">
              <w:instrText xml:space="preserve"> ADDIN ZOTERO_ITEM CSL_CITATION {"citationID":"XNtkvT33","properties":{"formattedCitation":"\\super 3\\nosupersub{}","plainCitation":"3","noteIndex":0},"citationItems":[{"id":412,"uris":["http://zotero.org/users/9292969/items/DDS5Z2LG"],"itemData":{"id":412,"type":"article-journal","abstract":"Today, almost 3 billion people in developing countries rely on biomass as primary cooking fuel, with profound negative implications for their well-being. Improved biomass cooking stoves are alleged to counteract these adverse effects. This paper evaluates take-up and impacts of low-cost improved stoves through a randomized controlled trial. The randomized stove is primarily designed to curb firewood consumption, but not smoke emissions. Nonetheless, we find considerable effects not only on firewood consumption, but also on smoke exposure and, consequently, smoke-related disease symptoms. The reduced smoke exposure results from behavioural changes in terms of increased outside cooking and a reduction in cooking time. We conclude that in order to assess the effectiveness of a technology-oriented intervention, it is critical to not only account for the incidence of technology adoption – the extensive margin – but also for the way the new technology is used – the intensive margin.","container-title":"Journal of Health Economics","DOI":"https://doi.org/10.1016/j.jhealeco.2015.03.006","ISSN":"0167-6296","page":"44-63","title":"The intensive margin of technology adoption – Experimental evidence on improved cooking stoves in rural Senegal","URL":"http://www.sciencedirect.com/science/article/pii/S016762961500034X","volume":"42","author":[{"family":"Bensch","given":"Gunther"},{"family":"Peters","given":"Jörg"}],"issued":{"date-parts":[["2015"]]}}}],"schema":"https://github.com/citation-style-language/schema/raw/master/csl-citation.json"} </w:instrText>
            </w:r>
            <w:r>
              <w:fldChar w:fldCharType="separate"/>
            </w:r>
            <w:r w:rsidR="003C3E9E" w:rsidRPr="003C3E9E">
              <w:rPr>
                <w:vertAlign w:val="superscript"/>
              </w:rPr>
              <w:t>3</w:t>
            </w:r>
            <w:r>
              <w:rPr>
                <w:sz w:val="20"/>
                <w:szCs w:val="20"/>
                <w:highlight w:val="white"/>
              </w:rPr>
              <w:fldChar w:fldCharType="end"/>
            </w:r>
          </w:p>
        </w:tc>
        <w:tc>
          <w:tcPr>
            <w:tcW w:w="225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2159001C"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Senegal</w:t>
            </w:r>
          </w:p>
        </w:tc>
        <w:tc>
          <w:tcPr>
            <w:tcW w:w="1155"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6E65EC50"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3.5</w:t>
            </w:r>
          </w:p>
        </w:tc>
        <w:tc>
          <w:tcPr>
            <w:tcW w:w="1470" w:type="dxa"/>
            <w:tcBorders>
              <w:top w:val="single" w:sz="4" w:space="0" w:color="000000"/>
              <w:left w:val="single" w:sz="4" w:space="0" w:color="000000"/>
              <w:bottom w:val="single" w:sz="4" w:space="0" w:color="000000"/>
              <w:right w:val="single" w:sz="4" w:space="0" w:color="000000"/>
            </w:tcBorders>
            <w:tcMar>
              <w:top w:w="20" w:type="dxa"/>
              <w:left w:w="20" w:type="dxa"/>
              <w:bottom w:w="100" w:type="dxa"/>
              <w:right w:w="20" w:type="dxa"/>
            </w:tcMar>
            <w:vAlign w:val="bottom"/>
          </w:tcPr>
          <w:p w14:paraId="5727B777" w14:textId="77777777" w:rsidR="000E5CD4" w:rsidRDefault="00000000">
            <w:pPr>
              <w:widowControl w:val="0"/>
              <w:pBdr>
                <w:top w:val="nil"/>
                <w:left w:val="nil"/>
                <w:bottom w:val="nil"/>
                <w:right w:val="nil"/>
                <w:between w:val="nil"/>
              </w:pBdr>
              <w:spacing w:line="276" w:lineRule="auto"/>
              <w:rPr>
                <w:sz w:val="20"/>
                <w:szCs w:val="20"/>
                <w:highlight w:val="white"/>
              </w:rPr>
            </w:pPr>
            <w:r>
              <w:rPr>
                <w:sz w:val="20"/>
                <w:szCs w:val="20"/>
                <w:highlight w:val="white"/>
              </w:rPr>
              <w:t>0.51</w:t>
            </w:r>
          </w:p>
        </w:tc>
      </w:tr>
    </w:tbl>
    <w:p w14:paraId="4EF129C2" w14:textId="77777777" w:rsidR="000E5CD4" w:rsidRDefault="00000000">
      <w:pPr>
        <w:pBdr>
          <w:top w:val="nil"/>
          <w:left w:val="nil"/>
          <w:bottom w:val="nil"/>
          <w:right w:val="nil"/>
          <w:between w:val="nil"/>
        </w:pBdr>
        <w:ind w:left="720"/>
        <w:rPr>
          <w:b/>
          <w:sz w:val="20"/>
          <w:szCs w:val="20"/>
          <w:highlight w:val="white"/>
        </w:rPr>
      </w:pPr>
      <w:r>
        <w:br w:type="page"/>
      </w:r>
    </w:p>
    <w:p w14:paraId="14DBDEF5" w14:textId="77777777" w:rsidR="000E5CD4" w:rsidRDefault="000E5CD4">
      <w:pPr>
        <w:pBdr>
          <w:top w:val="nil"/>
          <w:left w:val="nil"/>
          <w:bottom w:val="nil"/>
          <w:right w:val="nil"/>
          <w:between w:val="nil"/>
        </w:pBdr>
        <w:ind w:left="720"/>
        <w:rPr>
          <w:b/>
          <w:sz w:val="20"/>
          <w:szCs w:val="20"/>
          <w:highlight w:val="white"/>
        </w:rPr>
      </w:pPr>
    </w:p>
    <w:p w14:paraId="52050A8F" w14:textId="77777777" w:rsidR="000E5CD4" w:rsidRDefault="00000000">
      <w:pPr>
        <w:pStyle w:val="Heading2"/>
        <w:numPr>
          <w:ilvl w:val="0"/>
          <w:numId w:val="4"/>
        </w:numPr>
      </w:pPr>
      <w:bookmarkStart w:id="8" w:name="_w1yiqy39iwgl" w:colFirst="0" w:colLast="0"/>
      <w:bookmarkEnd w:id="8"/>
      <w:r>
        <w:t>Additionality Investigation</w:t>
      </w:r>
    </w:p>
    <w:p w14:paraId="2672FA93" w14:textId="77777777" w:rsidR="000E5CD4" w:rsidRDefault="000E5CD4">
      <w:pPr>
        <w:pBdr>
          <w:top w:val="nil"/>
          <w:left w:val="nil"/>
          <w:bottom w:val="nil"/>
          <w:right w:val="nil"/>
          <w:between w:val="nil"/>
        </w:pBdr>
        <w:rPr>
          <w:rFonts w:ascii="Times New Roman" w:eastAsia="Times New Roman" w:hAnsi="Times New Roman" w:cs="Times New Roman"/>
          <w:color w:val="000000"/>
        </w:rPr>
      </w:pPr>
    </w:p>
    <w:p w14:paraId="24039F16" w14:textId="77777777" w:rsidR="000E5CD4" w:rsidRDefault="000E5CD4">
      <w:pPr>
        <w:rPr>
          <w:rFonts w:ascii="Times New Roman" w:eastAsia="Times New Roman" w:hAnsi="Times New Roman" w:cs="Times New Roman"/>
        </w:rPr>
      </w:pPr>
    </w:p>
    <w:p w14:paraId="39FAE5FC" w14:textId="77777777" w:rsidR="000E5CD4" w:rsidRDefault="00000000">
      <w:pPr>
        <w:keepNext/>
        <w:pBdr>
          <w:top w:val="nil"/>
          <w:left w:val="nil"/>
          <w:bottom w:val="nil"/>
          <w:right w:val="nil"/>
          <w:between w:val="nil"/>
        </w:pBdr>
        <w:spacing w:after="200"/>
        <w:rPr>
          <w:i/>
          <w:color w:val="44546A"/>
          <w:sz w:val="18"/>
          <w:szCs w:val="18"/>
        </w:rPr>
      </w:pPr>
      <w:r>
        <w:rPr>
          <w:i/>
          <w:color w:val="44546A"/>
          <w:sz w:val="18"/>
          <w:szCs w:val="18"/>
        </w:rPr>
        <w:t>Table S 5. Literature sources reviewed to evaluate additionality</w:t>
      </w:r>
    </w:p>
    <w:tbl>
      <w:tblPr>
        <w:tblStyle w:val="a3"/>
        <w:tblW w:w="9350" w:type="dxa"/>
        <w:tblInd w:w="-115" w:type="dxa"/>
        <w:tblLayout w:type="fixed"/>
        <w:tblLook w:val="0400" w:firstRow="0" w:lastRow="0" w:firstColumn="0" w:lastColumn="0" w:noHBand="0" w:noVBand="1"/>
      </w:tblPr>
      <w:tblGrid>
        <w:gridCol w:w="1919"/>
        <w:gridCol w:w="1197"/>
        <w:gridCol w:w="774"/>
        <w:gridCol w:w="934"/>
        <w:gridCol w:w="776"/>
        <w:gridCol w:w="855"/>
        <w:gridCol w:w="842"/>
        <w:gridCol w:w="2053"/>
      </w:tblGrid>
      <w:tr w:rsidR="000E5CD4" w14:paraId="332722B1" w14:textId="77777777">
        <w:trPr>
          <w:trHeight w:val="320"/>
        </w:trPr>
        <w:tc>
          <w:tcPr>
            <w:tcW w:w="1919"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955C9F7" w14:textId="77777777" w:rsidR="000E5CD4" w:rsidRDefault="00000000">
            <w:pPr>
              <w:rPr>
                <w:rFonts w:ascii="Times New Roman" w:eastAsia="Times New Roman" w:hAnsi="Times New Roman" w:cs="Times New Roman"/>
              </w:rPr>
            </w:pPr>
            <w:r>
              <w:rPr>
                <w:b/>
                <w:color w:val="000000"/>
                <w:sz w:val="20"/>
                <w:szCs w:val="20"/>
              </w:rPr>
              <w:t>Source Title</w:t>
            </w:r>
          </w:p>
        </w:tc>
        <w:tc>
          <w:tcPr>
            <w:tcW w:w="1197"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B31E545" w14:textId="77777777" w:rsidR="000E5CD4" w:rsidRDefault="00000000">
            <w:pPr>
              <w:rPr>
                <w:rFonts w:ascii="Times New Roman" w:eastAsia="Times New Roman" w:hAnsi="Times New Roman" w:cs="Times New Roman"/>
              </w:rPr>
            </w:pPr>
            <w:r>
              <w:rPr>
                <w:b/>
                <w:color w:val="000000"/>
                <w:sz w:val="20"/>
                <w:szCs w:val="20"/>
                <w:highlight w:val="white"/>
              </w:rPr>
              <w:t>Location</w:t>
            </w:r>
          </w:p>
        </w:tc>
        <w:tc>
          <w:tcPr>
            <w:tcW w:w="774"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435480E" w14:textId="77777777" w:rsidR="000E5CD4" w:rsidRDefault="00000000">
            <w:pPr>
              <w:rPr>
                <w:rFonts w:ascii="Times New Roman" w:eastAsia="Times New Roman" w:hAnsi="Times New Roman" w:cs="Times New Roman"/>
              </w:rPr>
            </w:pPr>
            <w:r>
              <w:rPr>
                <w:b/>
                <w:color w:val="000000"/>
                <w:sz w:val="20"/>
                <w:szCs w:val="20"/>
                <w:highlight w:val="white"/>
              </w:rPr>
              <w:t>Lower Range</w:t>
            </w:r>
          </w:p>
        </w:tc>
        <w:tc>
          <w:tcPr>
            <w:tcW w:w="934"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B1A1F91" w14:textId="77777777" w:rsidR="000E5CD4" w:rsidRDefault="00000000">
            <w:pPr>
              <w:rPr>
                <w:rFonts w:ascii="Times New Roman" w:eastAsia="Times New Roman" w:hAnsi="Times New Roman" w:cs="Times New Roman"/>
              </w:rPr>
            </w:pPr>
            <w:r>
              <w:rPr>
                <w:b/>
                <w:color w:val="000000"/>
                <w:sz w:val="20"/>
                <w:szCs w:val="20"/>
                <w:highlight w:val="white"/>
              </w:rPr>
              <w:t>Median (or only value)</w:t>
            </w:r>
          </w:p>
        </w:tc>
        <w:tc>
          <w:tcPr>
            <w:tcW w:w="776"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439FFC0" w14:textId="77777777" w:rsidR="000E5CD4" w:rsidRDefault="00000000">
            <w:pPr>
              <w:rPr>
                <w:rFonts w:ascii="Times New Roman" w:eastAsia="Times New Roman" w:hAnsi="Times New Roman" w:cs="Times New Roman"/>
              </w:rPr>
            </w:pPr>
            <w:r>
              <w:rPr>
                <w:b/>
                <w:color w:val="000000"/>
                <w:sz w:val="20"/>
                <w:szCs w:val="20"/>
                <w:highlight w:val="white"/>
              </w:rPr>
              <w:t>Upper Range</w:t>
            </w:r>
          </w:p>
        </w:tc>
        <w:tc>
          <w:tcPr>
            <w:tcW w:w="85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0154F2E" w14:textId="77777777" w:rsidR="000E5CD4" w:rsidRDefault="00000000">
            <w:pPr>
              <w:rPr>
                <w:rFonts w:ascii="Times New Roman" w:eastAsia="Times New Roman" w:hAnsi="Times New Roman" w:cs="Times New Roman"/>
              </w:rPr>
            </w:pPr>
            <w:r>
              <w:rPr>
                <w:b/>
                <w:color w:val="000000"/>
                <w:sz w:val="20"/>
                <w:szCs w:val="20"/>
                <w:highlight w:val="white"/>
              </w:rPr>
              <w:t>Time period (years)</w:t>
            </w:r>
          </w:p>
        </w:tc>
        <w:tc>
          <w:tcPr>
            <w:tcW w:w="842"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C8B56CC" w14:textId="77777777" w:rsidR="000E5CD4" w:rsidRDefault="00000000">
            <w:pPr>
              <w:rPr>
                <w:rFonts w:ascii="Times New Roman" w:eastAsia="Times New Roman" w:hAnsi="Times New Roman" w:cs="Times New Roman"/>
              </w:rPr>
            </w:pPr>
            <w:r>
              <w:rPr>
                <w:b/>
                <w:color w:val="000000"/>
                <w:sz w:val="20"/>
                <w:szCs w:val="20"/>
                <w:highlight w:val="white"/>
              </w:rPr>
              <w:t>Annual rate</w:t>
            </w:r>
          </w:p>
        </w:tc>
        <w:tc>
          <w:tcPr>
            <w:tcW w:w="2053"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88DCE11" w14:textId="77777777" w:rsidR="000E5CD4" w:rsidRDefault="00000000">
            <w:pPr>
              <w:rPr>
                <w:rFonts w:ascii="Times New Roman" w:eastAsia="Times New Roman" w:hAnsi="Times New Roman" w:cs="Times New Roman"/>
              </w:rPr>
            </w:pPr>
            <w:r>
              <w:rPr>
                <w:b/>
                <w:color w:val="000000"/>
                <w:sz w:val="20"/>
                <w:szCs w:val="20"/>
                <w:highlight w:val="white"/>
              </w:rPr>
              <w:t>Notes</w:t>
            </w:r>
          </w:p>
        </w:tc>
      </w:tr>
      <w:tr w:rsidR="000E5CD4" w14:paraId="11F8A9F8" w14:textId="77777777">
        <w:trPr>
          <w:trHeight w:val="320"/>
        </w:trPr>
        <w:tc>
          <w:tcPr>
            <w:tcW w:w="1919"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F6AA2D5" w14:textId="4BE845A5" w:rsidR="000E5CD4" w:rsidRDefault="00000000">
            <w:pPr>
              <w:rPr>
                <w:rFonts w:ascii="Times New Roman" w:eastAsia="Times New Roman" w:hAnsi="Times New Roman" w:cs="Times New Roman"/>
              </w:rPr>
            </w:pPr>
            <w:r>
              <w:rPr>
                <w:color w:val="000000"/>
                <w:sz w:val="20"/>
                <w:szCs w:val="20"/>
              </w:rPr>
              <w:t>Household cooking fuel estimates at global and country level for 1990 to 2030</w:t>
            </w:r>
            <w:r>
              <w:fldChar w:fldCharType="begin"/>
            </w:r>
            <w:r w:rsidR="003C3E9E">
              <w:instrText xml:space="preserve"> ADDIN ZOTERO_ITEM CSL_CITATION {"citationID":"9Gsuz89Z","properties":{"formattedCitation":"\\super 4\\nosupersub{}","plainCitation":"4","noteIndex":0},"citationItems":[{"id":1284,"uris":["http://zotero.org/users/9292969/items/XWDRP22V"],"itemData":{"id":1284,"type":"article-journal","abstract":"Household air pollution generated from the use of polluting cooking fuels and technologies is a major source of disease and environmental degradation in low- and middle-income countries. Using a novel modelling approach, we provide detailed global, regional and country estimates of the percentages and populations mainly using 6 fuel categories (electricity, gaseous fuels, kerosene, biomass, charcoal, coal) and overall polluting/clean fuel use – from 1990-2020 and with urban/rural disaggregation. Here we show that 53% of the global population mainly used polluting cooking fuels in 1990, dropping to 36% in 2020. In urban areas, gaseous fuels currently dominate, with a growing reliance on electricity; in rural populations, high levels of biomass use persist alongside increasing use of gaseous fuels. Future projections of observed trends suggest 31% will still mainly use polluting fuels in 2030, including over 1 billion people in Sub-Saharan African by 2025.","container-title":"Nature Communications","DOI":"10.1038/s41467-021-26036-x","ISSN":"2041-1723","issue":"1","journalAbbreviation":"Nature Communications","page":"5793","title":"Household cooking fuel estimates at global and country level for 1990 to 2030","URL":"https://doi.org/10.1038/s41467-021-26036-x","volume":"12","author":[{"family":"Stoner","given":"Oliver"},{"family":"Lewis","given":"Jessica"},{"family":"Martínez","given":"Itzel Lucio"},{"family":"Gumy","given":"Sophie"},{"family":"Economou","given":"Theo"},{"family":"Adair-Rohani","given":"Heather"}],"issued":{"date-parts":[["2021",10,4]]}}}],"schema":"https://github.com/citation-style-language/schema/raw/master/csl-citation.json"} </w:instrText>
            </w:r>
            <w:r>
              <w:fldChar w:fldCharType="separate"/>
            </w:r>
            <w:r w:rsidR="003C3E9E" w:rsidRPr="003C3E9E">
              <w:rPr>
                <w:vertAlign w:val="superscript"/>
              </w:rPr>
              <w:t>4</w:t>
            </w:r>
            <w:r>
              <w:rPr>
                <w:color w:val="000000"/>
                <w:sz w:val="20"/>
                <w:szCs w:val="20"/>
              </w:rPr>
              <w:fldChar w:fldCharType="end"/>
            </w:r>
          </w:p>
        </w:tc>
        <w:tc>
          <w:tcPr>
            <w:tcW w:w="1197"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8F5D0F9" w14:textId="77777777" w:rsidR="000E5CD4" w:rsidRDefault="00000000">
            <w:pPr>
              <w:rPr>
                <w:rFonts w:ascii="Times New Roman" w:eastAsia="Times New Roman" w:hAnsi="Times New Roman" w:cs="Times New Roman"/>
              </w:rPr>
            </w:pPr>
            <w:r>
              <w:rPr>
                <w:color w:val="000000"/>
                <w:sz w:val="20"/>
                <w:szCs w:val="20"/>
                <w:highlight w:val="white"/>
              </w:rPr>
              <w:t>Only countries in our sample</w:t>
            </w:r>
          </w:p>
        </w:tc>
        <w:tc>
          <w:tcPr>
            <w:tcW w:w="774"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95EA338" w14:textId="77777777" w:rsidR="000E5CD4" w:rsidRDefault="00000000">
            <w:pPr>
              <w:rPr>
                <w:rFonts w:ascii="Times New Roman" w:eastAsia="Times New Roman" w:hAnsi="Times New Roman" w:cs="Times New Roman"/>
              </w:rPr>
            </w:pPr>
            <w:r>
              <w:rPr>
                <w:color w:val="000000"/>
                <w:sz w:val="20"/>
                <w:szCs w:val="20"/>
                <w:highlight w:val="white"/>
              </w:rPr>
              <w:t>-2.6%</w:t>
            </w:r>
          </w:p>
        </w:tc>
        <w:tc>
          <w:tcPr>
            <w:tcW w:w="934"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EA86F1D" w14:textId="77777777" w:rsidR="000E5CD4" w:rsidRDefault="00000000">
            <w:pPr>
              <w:rPr>
                <w:rFonts w:ascii="Times New Roman" w:eastAsia="Times New Roman" w:hAnsi="Times New Roman" w:cs="Times New Roman"/>
              </w:rPr>
            </w:pPr>
            <w:r>
              <w:rPr>
                <w:color w:val="000000"/>
                <w:sz w:val="20"/>
                <w:szCs w:val="20"/>
                <w:highlight w:val="white"/>
              </w:rPr>
              <w:t>7.6%</w:t>
            </w:r>
          </w:p>
        </w:tc>
        <w:tc>
          <w:tcPr>
            <w:tcW w:w="776"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EBB8839" w14:textId="77777777" w:rsidR="000E5CD4" w:rsidRDefault="00000000">
            <w:pPr>
              <w:rPr>
                <w:rFonts w:ascii="Times New Roman" w:eastAsia="Times New Roman" w:hAnsi="Times New Roman" w:cs="Times New Roman"/>
              </w:rPr>
            </w:pPr>
            <w:r>
              <w:rPr>
                <w:color w:val="000000"/>
                <w:sz w:val="20"/>
                <w:szCs w:val="20"/>
                <w:highlight w:val="white"/>
              </w:rPr>
              <w:t>17.6%</w:t>
            </w:r>
          </w:p>
        </w:tc>
        <w:tc>
          <w:tcPr>
            <w:tcW w:w="85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B65C0A1" w14:textId="77777777" w:rsidR="000E5CD4" w:rsidRDefault="00000000">
            <w:pPr>
              <w:rPr>
                <w:rFonts w:ascii="Times New Roman" w:eastAsia="Times New Roman" w:hAnsi="Times New Roman" w:cs="Times New Roman"/>
              </w:rPr>
            </w:pPr>
            <w:r>
              <w:rPr>
                <w:color w:val="000000"/>
                <w:sz w:val="20"/>
                <w:szCs w:val="20"/>
                <w:highlight w:val="white"/>
              </w:rPr>
              <w:t>10</w:t>
            </w:r>
          </w:p>
        </w:tc>
        <w:tc>
          <w:tcPr>
            <w:tcW w:w="842"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99BDD18" w14:textId="77777777" w:rsidR="000E5CD4" w:rsidRDefault="00000000">
            <w:pPr>
              <w:rPr>
                <w:rFonts w:ascii="Times New Roman" w:eastAsia="Times New Roman" w:hAnsi="Times New Roman" w:cs="Times New Roman"/>
              </w:rPr>
            </w:pPr>
            <w:r>
              <w:rPr>
                <w:color w:val="000000"/>
                <w:sz w:val="20"/>
                <w:szCs w:val="20"/>
                <w:highlight w:val="white"/>
              </w:rPr>
              <w:t>0.8%</w:t>
            </w:r>
          </w:p>
        </w:tc>
        <w:tc>
          <w:tcPr>
            <w:tcW w:w="2053"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B7DBE42" w14:textId="77777777" w:rsidR="000E5CD4" w:rsidRDefault="000E5CD4">
            <w:pPr>
              <w:rPr>
                <w:rFonts w:ascii="Times New Roman" w:eastAsia="Times New Roman" w:hAnsi="Times New Roman" w:cs="Times New Roman"/>
              </w:rPr>
            </w:pPr>
          </w:p>
        </w:tc>
      </w:tr>
      <w:tr w:rsidR="000E5CD4" w14:paraId="28AAC9EA" w14:textId="77777777">
        <w:trPr>
          <w:trHeight w:val="320"/>
        </w:trPr>
        <w:tc>
          <w:tcPr>
            <w:tcW w:w="1919"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B9D4738" w14:textId="5A92768D" w:rsidR="000E5CD4" w:rsidRDefault="00000000">
            <w:pPr>
              <w:rPr>
                <w:rFonts w:ascii="Times New Roman" w:eastAsia="Times New Roman" w:hAnsi="Times New Roman" w:cs="Times New Roman"/>
              </w:rPr>
            </w:pPr>
            <w:r>
              <w:rPr>
                <w:color w:val="000000"/>
                <w:sz w:val="20"/>
                <w:szCs w:val="20"/>
              </w:rPr>
              <w:t>Household cooking fuel estimates at global and country level for 1990 to 2030</w:t>
            </w:r>
            <w:r>
              <w:fldChar w:fldCharType="begin"/>
            </w:r>
            <w:r w:rsidR="003C3E9E">
              <w:instrText xml:space="preserve"> ADDIN ZOTERO_ITEM CSL_CITATION {"citationID":"ianIGUGk","properties":{"formattedCitation":"\\super 4\\nosupersub{}","plainCitation":"4","noteIndex":0},"citationItems":[{"id":1284,"uris":["http://zotero.org/users/9292969/items/XWDRP22V"],"itemData":{"id":1284,"type":"article-journal","abstract":"Household air pollution generated from the use of polluting cooking fuels and technologies is a major source of disease and environmental degradation in low- and middle-income countries. Using a novel modelling approach, we provide detailed global, regional and country estimates of the percentages and populations mainly using 6 fuel categories (electricity, gaseous fuels, kerosene, biomass, charcoal, coal) and overall polluting/clean fuel use – from 1990-2020 and with urban/rural disaggregation. Here we show that 53% of the global population mainly used polluting cooking fuels in 1990, dropping to 36% in 2020. In urban areas, gaseous fuels currently dominate, with a growing reliance on electricity; in rural populations, high levels of biomass use persist alongside increasing use of gaseous fuels. Future projections of observed trends suggest 31% will still mainly use polluting fuels in 2030, including over 1 billion people in Sub-Saharan African by 2025.","container-title":"Nature Communications","DOI":"10.1038/s41467-021-26036-x","ISSN":"2041-1723","issue":"1","journalAbbreviation":"Nature Communications","page":"5793","title":"Household cooking fuel estimates at global and country level for 1990 to 2030","URL":"https://doi.org/10.1038/s41467-021-26036-x","volume":"12","author":[{"family":"Stoner","given":"Oliver"},{"family":"Lewis","given":"Jessica"},{"family":"Martínez","given":"Itzel Lucio"},{"family":"Gumy","given":"Sophie"},{"family":"Economou","given":"Theo"},{"family":"Adair-Rohani","given":"Heather"}],"issued":{"date-parts":[["2021",10,4]]}}}],"schema":"https://github.com/citation-style-language/schema/raw/master/csl-citation.json"} </w:instrText>
            </w:r>
            <w:r>
              <w:fldChar w:fldCharType="separate"/>
            </w:r>
            <w:r w:rsidR="003C3E9E" w:rsidRPr="003C3E9E">
              <w:rPr>
                <w:vertAlign w:val="superscript"/>
              </w:rPr>
              <w:t>4</w:t>
            </w:r>
            <w:r>
              <w:rPr>
                <w:color w:val="000000"/>
                <w:sz w:val="20"/>
                <w:szCs w:val="20"/>
              </w:rPr>
              <w:fldChar w:fldCharType="end"/>
            </w:r>
          </w:p>
        </w:tc>
        <w:tc>
          <w:tcPr>
            <w:tcW w:w="1197"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BC1E4B2" w14:textId="77777777" w:rsidR="000E5CD4" w:rsidRDefault="00000000">
            <w:pPr>
              <w:rPr>
                <w:rFonts w:ascii="Times New Roman" w:eastAsia="Times New Roman" w:hAnsi="Times New Roman" w:cs="Times New Roman"/>
              </w:rPr>
            </w:pPr>
            <w:r>
              <w:rPr>
                <w:color w:val="000000"/>
                <w:sz w:val="20"/>
                <w:szCs w:val="20"/>
                <w:highlight w:val="white"/>
              </w:rPr>
              <w:t>Global</w:t>
            </w:r>
          </w:p>
        </w:tc>
        <w:tc>
          <w:tcPr>
            <w:tcW w:w="774"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86F40BA" w14:textId="77777777" w:rsidR="000E5CD4" w:rsidRDefault="00000000">
            <w:pPr>
              <w:rPr>
                <w:rFonts w:ascii="Times New Roman" w:eastAsia="Times New Roman" w:hAnsi="Times New Roman" w:cs="Times New Roman"/>
              </w:rPr>
            </w:pPr>
            <w:r>
              <w:rPr>
                <w:color w:val="000000"/>
                <w:sz w:val="20"/>
                <w:szCs w:val="20"/>
                <w:highlight w:val="white"/>
              </w:rPr>
              <w:t>-8.0%</w:t>
            </w:r>
          </w:p>
        </w:tc>
        <w:tc>
          <w:tcPr>
            <w:tcW w:w="934"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F130505" w14:textId="77777777" w:rsidR="000E5CD4" w:rsidRDefault="00000000">
            <w:pPr>
              <w:rPr>
                <w:rFonts w:ascii="Times New Roman" w:eastAsia="Times New Roman" w:hAnsi="Times New Roman" w:cs="Times New Roman"/>
              </w:rPr>
            </w:pPr>
            <w:r>
              <w:rPr>
                <w:color w:val="000000"/>
                <w:sz w:val="20"/>
                <w:szCs w:val="20"/>
                <w:highlight w:val="white"/>
              </w:rPr>
              <w:t>2.7%</w:t>
            </w:r>
          </w:p>
        </w:tc>
        <w:tc>
          <w:tcPr>
            <w:tcW w:w="776"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7B48EC5" w14:textId="77777777" w:rsidR="000E5CD4" w:rsidRDefault="00000000">
            <w:pPr>
              <w:rPr>
                <w:rFonts w:ascii="Times New Roman" w:eastAsia="Times New Roman" w:hAnsi="Times New Roman" w:cs="Times New Roman"/>
              </w:rPr>
            </w:pPr>
            <w:r>
              <w:rPr>
                <w:color w:val="000000"/>
                <w:sz w:val="20"/>
                <w:szCs w:val="20"/>
                <w:highlight w:val="white"/>
              </w:rPr>
              <w:t>10.9%</w:t>
            </w:r>
          </w:p>
        </w:tc>
        <w:tc>
          <w:tcPr>
            <w:tcW w:w="85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4D60271" w14:textId="77777777" w:rsidR="000E5CD4" w:rsidRDefault="00000000">
            <w:pPr>
              <w:rPr>
                <w:rFonts w:ascii="Times New Roman" w:eastAsia="Times New Roman" w:hAnsi="Times New Roman" w:cs="Times New Roman"/>
              </w:rPr>
            </w:pPr>
            <w:r>
              <w:rPr>
                <w:color w:val="000000"/>
                <w:sz w:val="20"/>
                <w:szCs w:val="20"/>
                <w:highlight w:val="white"/>
              </w:rPr>
              <w:t>10</w:t>
            </w:r>
          </w:p>
        </w:tc>
        <w:tc>
          <w:tcPr>
            <w:tcW w:w="842"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12891F3" w14:textId="77777777" w:rsidR="000E5CD4" w:rsidRDefault="00000000">
            <w:pPr>
              <w:rPr>
                <w:rFonts w:ascii="Times New Roman" w:eastAsia="Times New Roman" w:hAnsi="Times New Roman" w:cs="Times New Roman"/>
              </w:rPr>
            </w:pPr>
            <w:r>
              <w:rPr>
                <w:color w:val="000000"/>
                <w:sz w:val="20"/>
                <w:szCs w:val="20"/>
                <w:highlight w:val="white"/>
              </w:rPr>
              <w:t>0.3%</w:t>
            </w:r>
          </w:p>
        </w:tc>
        <w:tc>
          <w:tcPr>
            <w:tcW w:w="2053"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C73FC82" w14:textId="77777777" w:rsidR="000E5CD4" w:rsidRDefault="000E5CD4">
            <w:pPr>
              <w:rPr>
                <w:rFonts w:ascii="Times New Roman" w:eastAsia="Times New Roman" w:hAnsi="Times New Roman" w:cs="Times New Roman"/>
              </w:rPr>
            </w:pPr>
          </w:p>
        </w:tc>
      </w:tr>
      <w:tr w:rsidR="000E5CD4" w14:paraId="059F31D1" w14:textId="77777777">
        <w:trPr>
          <w:trHeight w:val="320"/>
        </w:trPr>
        <w:tc>
          <w:tcPr>
            <w:tcW w:w="1919"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B10E2CF" w14:textId="6F55275C" w:rsidR="000E5CD4" w:rsidRDefault="00000000">
            <w:pPr>
              <w:rPr>
                <w:rFonts w:ascii="Times New Roman" w:eastAsia="Times New Roman" w:hAnsi="Times New Roman" w:cs="Times New Roman"/>
              </w:rPr>
            </w:pPr>
            <w:r>
              <w:rPr>
                <w:color w:val="000000"/>
                <w:sz w:val="20"/>
                <w:szCs w:val="20"/>
              </w:rPr>
              <w:t>Up in Smoke: The Influence of Household Behavior on the Long-Run Impact of Improved Cooking Stoves</w:t>
            </w:r>
            <w:r>
              <w:fldChar w:fldCharType="begin"/>
            </w:r>
            <w:r w:rsidR="003C3E9E">
              <w:instrText xml:space="preserve"> ADDIN ZOTERO_ITEM CSL_CITATION {"citationID":"6ZBDEdl9","properties":{"formattedCitation":"\\super 1\\nosupersub{}","plainCitation":"1","noteIndex":0},"citationItems":[{"id":2527,"uris":["http://zotero.org/users/9292969/items/VVBWMBZK"],"itemData":{"id":2527,"type":"article-journal","abstract":"Laboratory studies suggest that improved cooking stoves can reduce indoor air pollution, improve health, and decrease greenhouse gas emissions in developing countries. We provide evidence, from a large-scale randomized trial in India, on the benefits of a common, laboratory-validated stove with a four-year follow-up. While smoke inhalation initially falls, this effect disappears by year two. We find no changes across health outcomes or greenhouse gas emissions. Households used the stoves irregularly and inappropriately, failed to maintain them, and usage declined over time. This study underscores the need to test environmental technologies in real-world settings where behavior may undermine potential impacts.","container-title":"American Economic Journal: Economic Policy","DOI":"10.1257/pol.20140008","ISSN":"1945774X","issue":"1","note":"publisher: American Economic Association","page":"80-114","title":"Up in smoke: The influence of household behavior on the long-run impact of improved cooking stoves","volume":"8","author":[{"family":"Hanna","given":"Rema"},{"family":"Duflo","given":"Esther"},{"family":"Greenstone","given":"Michael"}],"issued":{"date-parts":[["2016"]]}}}],"schema":"https://github.com/citation-style-language/schema/raw/master/csl-citation.json"} </w:instrText>
            </w:r>
            <w:r>
              <w:fldChar w:fldCharType="separate"/>
            </w:r>
            <w:r w:rsidR="003C3E9E" w:rsidRPr="003C3E9E">
              <w:rPr>
                <w:vertAlign w:val="superscript"/>
              </w:rPr>
              <w:t>1</w:t>
            </w:r>
            <w:r>
              <w:rPr>
                <w:color w:val="000000"/>
                <w:sz w:val="20"/>
                <w:szCs w:val="20"/>
              </w:rPr>
              <w:fldChar w:fldCharType="end"/>
            </w:r>
          </w:p>
        </w:tc>
        <w:tc>
          <w:tcPr>
            <w:tcW w:w="1197"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1DA0002" w14:textId="77777777" w:rsidR="000E5CD4" w:rsidRDefault="00000000">
            <w:pPr>
              <w:rPr>
                <w:rFonts w:ascii="Times New Roman" w:eastAsia="Times New Roman" w:hAnsi="Times New Roman" w:cs="Times New Roman"/>
              </w:rPr>
            </w:pPr>
            <w:r>
              <w:rPr>
                <w:color w:val="000000"/>
                <w:sz w:val="20"/>
                <w:szCs w:val="20"/>
                <w:highlight w:val="white"/>
              </w:rPr>
              <w:t>India</w:t>
            </w:r>
          </w:p>
        </w:tc>
        <w:tc>
          <w:tcPr>
            <w:tcW w:w="774"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33F1A46" w14:textId="77777777" w:rsidR="000E5CD4" w:rsidRDefault="000E5CD4">
            <w:pPr>
              <w:rPr>
                <w:rFonts w:ascii="Times New Roman" w:eastAsia="Times New Roman" w:hAnsi="Times New Roman" w:cs="Times New Roman"/>
              </w:rPr>
            </w:pPr>
          </w:p>
        </w:tc>
        <w:tc>
          <w:tcPr>
            <w:tcW w:w="934"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6DFEF8E" w14:textId="77777777" w:rsidR="000E5CD4" w:rsidRDefault="00000000">
            <w:pPr>
              <w:rPr>
                <w:rFonts w:ascii="Times New Roman" w:eastAsia="Times New Roman" w:hAnsi="Times New Roman" w:cs="Times New Roman"/>
              </w:rPr>
            </w:pPr>
            <w:r>
              <w:rPr>
                <w:color w:val="000000"/>
                <w:sz w:val="20"/>
                <w:szCs w:val="20"/>
                <w:highlight w:val="white"/>
              </w:rPr>
              <w:t>6.0%</w:t>
            </w:r>
          </w:p>
        </w:tc>
        <w:tc>
          <w:tcPr>
            <w:tcW w:w="776"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7F60BCD" w14:textId="77777777" w:rsidR="000E5CD4" w:rsidRDefault="000E5CD4">
            <w:pPr>
              <w:rPr>
                <w:rFonts w:ascii="Times New Roman" w:eastAsia="Times New Roman" w:hAnsi="Times New Roman" w:cs="Times New Roman"/>
              </w:rPr>
            </w:pPr>
          </w:p>
        </w:tc>
        <w:tc>
          <w:tcPr>
            <w:tcW w:w="85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52FA2EB" w14:textId="77777777" w:rsidR="000E5CD4" w:rsidRDefault="00000000">
            <w:pPr>
              <w:rPr>
                <w:rFonts w:ascii="Times New Roman" w:eastAsia="Times New Roman" w:hAnsi="Times New Roman" w:cs="Times New Roman"/>
              </w:rPr>
            </w:pPr>
            <w:r>
              <w:rPr>
                <w:color w:val="000000"/>
                <w:sz w:val="20"/>
                <w:szCs w:val="20"/>
                <w:highlight w:val="white"/>
              </w:rPr>
              <w:t>4</w:t>
            </w:r>
          </w:p>
        </w:tc>
        <w:tc>
          <w:tcPr>
            <w:tcW w:w="842"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F89FD57" w14:textId="77777777" w:rsidR="000E5CD4" w:rsidRDefault="00000000">
            <w:pPr>
              <w:rPr>
                <w:rFonts w:ascii="Times New Roman" w:eastAsia="Times New Roman" w:hAnsi="Times New Roman" w:cs="Times New Roman"/>
              </w:rPr>
            </w:pPr>
            <w:r>
              <w:rPr>
                <w:color w:val="000000"/>
                <w:sz w:val="20"/>
                <w:szCs w:val="20"/>
                <w:highlight w:val="white"/>
              </w:rPr>
              <w:t>1.5%</w:t>
            </w:r>
          </w:p>
        </w:tc>
        <w:tc>
          <w:tcPr>
            <w:tcW w:w="2053"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BC8E8FF" w14:textId="77777777" w:rsidR="000E5CD4" w:rsidRDefault="000E5CD4">
            <w:pPr>
              <w:rPr>
                <w:rFonts w:ascii="Times New Roman" w:eastAsia="Times New Roman" w:hAnsi="Times New Roman" w:cs="Times New Roman"/>
              </w:rPr>
            </w:pPr>
          </w:p>
        </w:tc>
      </w:tr>
      <w:tr w:rsidR="000E5CD4" w14:paraId="1BCBAA4E" w14:textId="77777777">
        <w:trPr>
          <w:trHeight w:val="1020"/>
        </w:trPr>
        <w:tc>
          <w:tcPr>
            <w:tcW w:w="1919"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746D4B9" w14:textId="609B3A39" w:rsidR="000E5CD4" w:rsidRDefault="00000000">
            <w:pPr>
              <w:rPr>
                <w:rFonts w:ascii="Times New Roman" w:eastAsia="Times New Roman" w:hAnsi="Times New Roman" w:cs="Times New Roman"/>
              </w:rPr>
            </w:pPr>
            <w:r>
              <w:rPr>
                <w:color w:val="000000"/>
                <w:sz w:val="20"/>
                <w:szCs w:val="20"/>
              </w:rPr>
              <w:t>A rapid assessment randomized-</w:t>
            </w:r>
            <w:r>
              <w:rPr>
                <w:sz w:val="20"/>
                <w:szCs w:val="20"/>
              </w:rPr>
              <w:t>controlled</w:t>
            </w:r>
            <w:r>
              <w:rPr>
                <w:color w:val="000000"/>
                <w:sz w:val="20"/>
                <w:szCs w:val="20"/>
              </w:rPr>
              <w:t xml:space="preserve"> trial of improved cookstoves</w:t>
            </w:r>
            <w:r>
              <w:rPr>
                <w:color w:val="000000"/>
                <w:sz w:val="20"/>
                <w:szCs w:val="20"/>
              </w:rPr>
              <w:br/>
              <w:t>in rural Ghana</w:t>
            </w:r>
            <w:r>
              <w:fldChar w:fldCharType="begin"/>
            </w:r>
            <w:r w:rsidR="003C3E9E">
              <w:instrText xml:space="preserve"> ADDIN ZOTERO_ITEM CSL_CITATION {"citationID":"PYM6yj6d","properties":{"formattedCitation":"\\super 5\\nosupersub{}","plainCitation":"5","noteIndex":0},"citationItems":[{"id":160,"uris":["http://zotero.org/users/9292969/items/FCM8IYEP"],"itemData":{"id":160,"type":"article-journal","abstract":"We conducted a rapid assessment randomized-controlled trial to quantify changes in fuel use, exposure to smoke, and self-reported health attributable to deployment of an improved wood cookstove in the Upper West region of Ghana. Women trainers from neighboring villages taught participants to build an improved cookstove and demonstrated optimal cooking techniques on such stoves. Participants were then randomly assigned to construct improved stoves at their homes immediately (treatments) or in a few months (controls). Several weeks after the treatments built their new stoves, all participants engaged in a cooking test while wearing a carbon monoxide monitor. At that time we surveyed participants on cooking activity, fuel wood gathering, self-reported health, and socioeconomic status. At a subset of homes we also installed stove usage monitors on the improved and traditional stove for the following three weeks. During the cooking tests, treatments used 5% less fuel wood than controls, but the difference was not statistically significant. There were no detectable reductions in a households' weekly time gathering wood or in exposure to carbon monoxide. In contrast, there was a sharp decline in participants' self-reported symptoms associated with cooking, such as burning eyes, and in respiratory symptoms, such as chest pain and a runny nose. Stove usage monitors show that treatments used their new stove on about half of the days monitored and reduced use of their old stoves by about 25%. When we returned to three of the villages eight months after project implementation, about half the improved stoves showed evidence of recent usage. Overall the new stoves were not successful, but the evaluation was. Our methods offer a rigorous modest-cost method for evaluating user uptake, field-based stove performance, and exposure to smoke.","container-title":"Energy for Sustainable Development","DOI":"10.1016/J.ESD.2012.04.001","ISSN":"0973-0826","issue":"3","note":"publisher: Elsevier","page":"328-338","title":"A rapid assessment randomized-controlled trial of improved cookstoves in rural Ghana","URL":"https://www.sciencedirect.com/science/article/pii/S0973082612000208","volume":"16","author":[{"family":"Burwen","given":"Jason"},{"family":"Levine","given":"David I."}],"accessed":{"date-parts":[["2020",1,2]]},"issued":{"date-parts":[["2012",9,1]]}}}],"schema":"https://github.com/citation-style-language/schema/raw/master/csl-citation.json"} </w:instrText>
            </w:r>
            <w:r>
              <w:fldChar w:fldCharType="separate"/>
            </w:r>
            <w:r w:rsidR="003C3E9E" w:rsidRPr="003C3E9E">
              <w:rPr>
                <w:vertAlign w:val="superscript"/>
              </w:rPr>
              <w:t>5</w:t>
            </w:r>
            <w:r>
              <w:rPr>
                <w:sz w:val="20"/>
                <w:szCs w:val="20"/>
              </w:rPr>
              <w:fldChar w:fldCharType="end"/>
            </w:r>
          </w:p>
        </w:tc>
        <w:tc>
          <w:tcPr>
            <w:tcW w:w="1197"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35BA716" w14:textId="77777777" w:rsidR="000E5CD4" w:rsidRDefault="00000000">
            <w:pPr>
              <w:rPr>
                <w:rFonts w:ascii="Times New Roman" w:eastAsia="Times New Roman" w:hAnsi="Times New Roman" w:cs="Times New Roman"/>
              </w:rPr>
            </w:pPr>
            <w:r>
              <w:rPr>
                <w:color w:val="000000"/>
                <w:sz w:val="20"/>
                <w:szCs w:val="20"/>
                <w:highlight w:val="white"/>
              </w:rPr>
              <w:t>Ghana</w:t>
            </w:r>
          </w:p>
        </w:tc>
        <w:tc>
          <w:tcPr>
            <w:tcW w:w="774"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E259D5A" w14:textId="77777777" w:rsidR="000E5CD4" w:rsidRDefault="000E5CD4">
            <w:pPr>
              <w:rPr>
                <w:rFonts w:ascii="Times New Roman" w:eastAsia="Times New Roman" w:hAnsi="Times New Roman" w:cs="Times New Roman"/>
              </w:rPr>
            </w:pPr>
          </w:p>
        </w:tc>
        <w:tc>
          <w:tcPr>
            <w:tcW w:w="934"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41285E6" w14:textId="77777777" w:rsidR="000E5CD4" w:rsidRDefault="00000000">
            <w:pPr>
              <w:rPr>
                <w:rFonts w:ascii="Times New Roman" w:eastAsia="Times New Roman" w:hAnsi="Times New Roman" w:cs="Times New Roman"/>
              </w:rPr>
            </w:pPr>
            <w:r>
              <w:rPr>
                <w:color w:val="000000"/>
                <w:sz w:val="20"/>
                <w:szCs w:val="20"/>
                <w:highlight w:val="white"/>
              </w:rPr>
              <w:t>9.0%</w:t>
            </w:r>
          </w:p>
        </w:tc>
        <w:tc>
          <w:tcPr>
            <w:tcW w:w="776"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5A79A4D" w14:textId="77777777" w:rsidR="000E5CD4" w:rsidRDefault="000E5CD4">
            <w:pPr>
              <w:rPr>
                <w:rFonts w:ascii="Times New Roman" w:eastAsia="Times New Roman" w:hAnsi="Times New Roman" w:cs="Times New Roman"/>
              </w:rPr>
            </w:pPr>
          </w:p>
        </w:tc>
        <w:tc>
          <w:tcPr>
            <w:tcW w:w="85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9D75C55" w14:textId="77777777" w:rsidR="000E5CD4" w:rsidRDefault="00000000">
            <w:pPr>
              <w:rPr>
                <w:rFonts w:ascii="Times New Roman" w:eastAsia="Times New Roman" w:hAnsi="Times New Roman" w:cs="Times New Roman"/>
              </w:rPr>
            </w:pPr>
            <w:r>
              <w:rPr>
                <w:color w:val="000000"/>
                <w:sz w:val="20"/>
                <w:szCs w:val="20"/>
                <w:highlight w:val="white"/>
              </w:rPr>
              <w:t>0.67</w:t>
            </w:r>
          </w:p>
        </w:tc>
        <w:tc>
          <w:tcPr>
            <w:tcW w:w="842"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5FDF2FB" w14:textId="77777777" w:rsidR="000E5CD4" w:rsidRDefault="00000000">
            <w:pPr>
              <w:rPr>
                <w:rFonts w:ascii="Times New Roman" w:eastAsia="Times New Roman" w:hAnsi="Times New Roman" w:cs="Times New Roman"/>
              </w:rPr>
            </w:pPr>
            <w:r>
              <w:rPr>
                <w:color w:val="000000"/>
                <w:sz w:val="20"/>
                <w:szCs w:val="20"/>
                <w:highlight w:val="white"/>
              </w:rPr>
              <w:t>13.5%</w:t>
            </w:r>
          </w:p>
        </w:tc>
        <w:tc>
          <w:tcPr>
            <w:tcW w:w="2053"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A5F79AC" w14:textId="77777777" w:rsidR="000E5CD4" w:rsidRDefault="00000000">
            <w:pPr>
              <w:rPr>
                <w:rFonts w:ascii="Times New Roman" w:eastAsia="Times New Roman" w:hAnsi="Times New Roman" w:cs="Times New Roman"/>
              </w:rPr>
            </w:pPr>
            <w:r>
              <w:rPr>
                <w:color w:val="000000"/>
                <w:sz w:val="20"/>
                <w:szCs w:val="20"/>
                <w:highlight w:val="white"/>
              </w:rPr>
              <w:t>Indicates positive spillovers in which "33 controls (9%) procured the metal grate on their own and built an improved cookstove"</w:t>
            </w:r>
          </w:p>
        </w:tc>
      </w:tr>
      <w:tr w:rsidR="000E5CD4" w14:paraId="3B9BCDA7" w14:textId="77777777">
        <w:trPr>
          <w:trHeight w:val="680"/>
        </w:trPr>
        <w:tc>
          <w:tcPr>
            <w:tcW w:w="1919"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F513E9C" w14:textId="1AA1270E" w:rsidR="000E5CD4" w:rsidRDefault="00000000">
            <w:pPr>
              <w:rPr>
                <w:rFonts w:ascii="Times New Roman" w:eastAsia="Times New Roman" w:hAnsi="Times New Roman" w:cs="Times New Roman"/>
              </w:rPr>
            </w:pPr>
            <w:r>
              <w:rPr>
                <w:color w:val="000000"/>
                <w:sz w:val="20"/>
                <w:szCs w:val="20"/>
              </w:rPr>
              <w:t>Does Peer Use Influence Adoption of Efficient Cookstoves? Evidence From a Randomized Controlled Trial in Uganda</w:t>
            </w:r>
            <w:r>
              <w:fldChar w:fldCharType="begin"/>
            </w:r>
            <w:r w:rsidR="003C3E9E">
              <w:instrText xml:space="preserve"> ADDIN ZOTERO_ITEM CSL_CITATION {"citationID":"5XFuy3fe","properties":{"formattedCitation":"\\super 6\\nosupersub{}","plainCitation":"6","noteIndex":0},"citationItems":[{"id":2756,"uris":["http://zotero.org/users/9292969/items/8MLISAZG"],"itemData":{"id":2756,"type":"article-journal","abstract":"The authors examined the effect of peer usage on consumer demand for efficient cookstoves with a randomized controlled trial in rural Uganda. The authors tested whether the neighbors of buyers who ordered and received a stove are more likely to purchase an efficient cookstove than the neighbors of buyers who ordered but have not yet received a stove. The authors found that neighbors of buyers who have experience with the stove are not detectably more likely to purchase a stove than neighbors of buyers who have not yet received their stove. The authors found evidence of peer effects in opinions about efficient cookstoves. Knowing that a prominent member of the community has the efficient stove predicts 17-22 percentage points higher odds of strongly favoring the stove. However, this more favorable opinion seemingly has no effect on purchase decisions.","container-title":"Journal of Health Communication","DOI":"10.1080/10810730.2014.994244","ISSN":"10870415","issue":"S1","note":"PMID: 25839203\npublisher: 2015","page":"55-66","title":"Does peer use influence adoption of efficient cookstoves? Evidence from a randomized controlled trial in uganda","URL":"http://dx.doi.org/10.1080/10810730.2014.994244","volume":"20","author":[{"family":"Beltramo","given":"Theresa"},{"family":"Blalock","given":"Garrick"},{"family":"Levine","given":"David I."},{"family":"Simons","given":"Andrew M."}],"issued":{"date-parts":[["2015"]]}}}],"schema":"https://github.com/citation-style-language/schema/raw/master/csl-citation.json"} </w:instrText>
            </w:r>
            <w:r>
              <w:fldChar w:fldCharType="separate"/>
            </w:r>
            <w:r w:rsidR="003C3E9E" w:rsidRPr="003C3E9E">
              <w:rPr>
                <w:vertAlign w:val="superscript"/>
              </w:rPr>
              <w:t>6</w:t>
            </w:r>
            <w:r>
              <w:rPr>
                <w:color w:val="000000"/>
                <w:sz w:val="20"/>
                <w:szCs w:val="20"/>
              </w:rPr>
              <w:fldChar w:fldCharType="end"/>
            </w:r>
          </w:p>
        </w:tc>
        <w:tc>
          <w:tcPr>
            <w:tcW w:w="1197"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ADBE36E" w14:textId="77777777" w:rsidR="000E5CD4" w:rsidRDefault="00000000">
            <w:pPr>
              <w:rPr>
                <w:rFonts w:ascii="Times New Roman" w:eastAsia="Times New Roman" w:hAnsi="Times New Roman" w:cs="Times New Roman"/>
              </w:rPr>
            </w:pPr>
            <w:r>
              <w:rPr>
                <w:color w:val="000000"/>
                <w:sz w:val="20"/>
                <w:szCs w:val="20"/>
                <w:highlight w:val="white"/>
              </w:rPr>
              <w:t>Uganda</w:t>
            </w:r>
          </w:p>
        </w:tc>
        <w:tc>
          <w:tcPr>
            <w:tcW w:w="774"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0B0B713" w14:textId="77777777" w:rsidR="000E5CD4" w:rsidRDefault="000E5CD4">
            <w:pPr>
              <w:rPr>
                <w:rFonts w:ascii="Times New Roman" w:eastAsia="Times New Roman" w:hAnsi="Times New Roman" w:cs="Times New Roman"/>
              </w:rPr>
            </w:pPr>
          </w:p>
        </w:tc>
        <w:tc>
          <w:tcPr>
            <w:tcW w:w="934"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66C0BA7" w14:textId="77777777" w:rsidR="000E5CD4" w:rsidRDefault="00000000">
            <w:pPr>
              <w:rPr>
                <w:rFonts w:ascii="Times New Roman" w:eastAsia="Times New Roman" w:hAnsi="Times New Roman" w:cs="Times New Roman"/>
              </w:rPr>
            </w:pPr>
            <w:r>
              <w:rPr>
                <w:color w:val="000000"/>
                <w:sz w:val="20"/>
                <w:szCs w:val="20"/>
                <w:highlight w:val="white"/>
              </w:rPr>
              <w:t>9.0%</w:t>
            </w:r>
          </w:p>
        </w:tc>
        <w:tc>
          <w:tcPr>
            <w:tcW w:w="776"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A07BE8A" w14:textId="77777777" w:rsidR="000E5CD4" w:rsidRDefault="000E5CD4">
            <w:pPr>
              <w:rPr>
                <w:rFonts w:ascii="Times New Roman" w:eastAsia="Times New Roman" w:hAnsi="Times New Roman" w:cs="Times New Roman"/>
              </w:rPr>
            </w:pPr>
          </w:p>
        </w:tc>
        <w:tc>
          <w:tcPr>
            <w:tcW w:w="85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625944E" w14:textId="77777777" w:rsidR="000E5CD4" w:rsidRDefault="00000000">
            <w:pPr>
              <w:rPr>
                <w:rFonts w:ascii="Times New Roman" w:eastAsia="Times New Roman" w:hAnsi="Times New Roman" w:cs="Times New Roman"/>
              </w:rPr>
            </w:pPr>
            <w:r>
              <w:rPr>
                <w:color w:val="000000"/>
                <w:sz w:val="20"/>
                <w:szCs w:val="20"/>
                <w:highlight w:val="white"/>
              </w:rPr>
              <w:t>0.7</w:t>
            </w:r>
          </w:p>
        </w:tc>
        <w:tc>
          <w:tcPr>
            <w:tcW w:w="842"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AB7402B" w14:textId="77777777" w:rsidR="000E5CD4" w:rsidRDefault="00000000">
            <w:pPr>
              <w:rPr>
                <w:rFonts w:ascii="Times New Roman" w:eastAsia="Times New Roman" w:hAnsi="Times New Roman" w:cs="Times New Roman"/>
              </w:rPr>
            </w:pPr>
            <w:r>
              <w:rPr>
                <w:color w:val="000000"/>
                <w:sz w:val="20"/>
                <w:szCs w:val="20"/>
                <w:highlight w:val="white"/>
              </w:rPr>
              <w:t>12.9%</w:t>
            </w:r>
          </w:p>
        </w:tc>
        <w:tc>
          <w:tcPr>
            <w:tcW w:w="2053"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3255E34" w14:textId="77777777" w:rsidR="000E5CD4" w:rsidRDefault="00000000">
            <w:pPr>
              <w:rPr>
                <w:rFonts w:ascii="Times New Roman" w:eastAsia="Times New Roman" w:hAnsi="Times New Roman" w:cs="Times New Roman"/>
              </w:rPr>
            </w:pPr>
            <w:r>
              <w:rPr>
                <w:color w:val="000000"/>
                <w:sz w:val="20"/>
                <w:szCs w:val="20"/>
                <w:highlight w:val="white"/>
              </w:rPr>
              <w:t>Although the effect of peer influence was not statistically significant, the study reports that the "uptake of both early and late buyers’ neighbors of improved cookstoves is 9% for all neighbors."</w:t>
            </w:r>
          </w:p>
        </w:tc>
      </w:tr>
      <w:tr w:rsidR="000E5CD4" w14:paraId="25548087" w14:textId="77777777">
        <w:trPr>
          <w:trHeight w:val="320"/>
        </w:trPr>
        <w:tc>
          <w:tcPr>
            <w:tcW w:w="1919"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32D548F" w14:textId="605A5A91" w:rsidR="000E5CD4" w:rsidRDefault="00000000">
            <w:pPr>
              <w:rPr>
                <w:rFonts w:ascii="Times New Roman" w:eastAsia="Times New Roman" w:hAnsi="Times New Roman" w:cs="Times New Roman"/>
              </w:rPr>
            </w:pPr>
            <w:r>
              <w:rPr>
                <w:color w:val="000000"/>
                <w:sz w:val="20"/>
                <w:szCs w:val="20"/>
              </w:rPr>
              <w:t xml:space="preserve">Incentivizing Elimination of Biomass Cooking Fuels with a Reversible </w:t>
            </w:r>
            <w:r>
              <w:rPr>
                <w:color w:val="000000"/>
                <w:sz w:val="20"/>
                <w:szCs w:val="20"/>
              </w:rPr>
              <w:lastRenderedPageBreak/>
              <w:t>Commitment and a Spare LPG Cylinder</w:t>
            </w:r>
            <w:r>
              <w:fldChar w:fldCharType="begin"/>
            </w:r>
            <w:r w:rsidR="003C3E9E">
              <w:instrText xml:space="preserve"> ADDIN ZOTERO_ITEM CSL_CITATION {"citationID":"U8HwN9H7","properties":{"formattedCitation":"\\super 7\\nosupersub{}","plainCitation":"7","noteIndex":0},"citationItems":[{"id":2734,"uris":["http://zotero.org/users/9292969/items/TPHUX537"],"itemData":{"id":2734,"type":"article-journal","abstract":"In India, approximately 480,000 deaths occur annually from exposure to household air pollution from the use of biomass cooking fuels. Displacing biomass use with clean fuels, such as liquefied petroleum gas (LPG), can help reduce these deaths. Through government initiatives, most Indian households now own an LPG stove and one LPG cylinder. Many households, however, continue to regularly use indoor biomass-fueled mud stoves (chulhas) alongside LPG. Focusing on this population in rural Maharashtra, India, this study (N = 186) tests the effects of conditioning a sales offer for a spare LPG cylinder on a reversible commitment requiring initially disabling indoor chulhas. We find that almost all relevant households (&gt;98%) were willing to accept this commitment. Indoor chulha use decreased by 90% (95% CI = 80% to 101%) when the sales offer included the commitment, compared to a 23% decrease (95% CI = 14% to 32%) without it. For both treatment groups, we find that 80% purchased the spare cylinder at the end of the study.","container-title":"Environmental Science and Technology","DOI":"10.1021/acs.est.0c01818","ISSN":"15205851","note":"PMID: 33185424","title":"Incentivizing Elimination of Biomass Cooking Fuels with a Reversible Commitment and a Spare LPG Cylinder","author":[{"family":"Harrell","given":"By Stephen"},{"family":"Pillarisetti","given":"Ajay"},{"family":"Roy","given":"Sudipto"},{"family":"Ghorpade","given":"Makarand"},{"family":"Patil","given":"Rutuja"},{"family":"Dhongade","given":"Arun"},{"family":"Smith","given":"Kirk R."},{"family":"Levine","given":"David I."},{"family":"Juvekar","given":"Sanjay"}],"issued":{"date-parts":[["2020"]]}}}],"schema":"https://github.com/citation-style-language/schema/raw/master/csl-citation.json"} </w:instrText>
            </w:r>
            <w:r>
              <w:fldChar w:fldCharType="separate"/>
            </w:r>
            <w:r w:rsidR="003C3E9E" w:rsidRPr="003C3E9E">
              <w:rPr>
                <w:vertAlign w:val="superscript"/>
              </w:rPr>
              <w:t>7</w:t>
            </w:r>
            <w:r>
              <w:rPr>
                <w:color w:val="000000"/>
                <w:sz w:val="20"/>
                <w:szCs w:val="20"/>
              </w:rPr>
              <w:fldChar w:fldCharType="end"/>
            </w:r>
          </w:p>
        </w:tc>
        <w:tc>
          <w:tcPr>
            <w:tcW w:w="1197"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D11EA6F" w14:textId="77777777" w:rsidR="000E5CD4" w:rsidRDefault="00000000">
            <w:pPr>
              <w:rPr>
                <w:rFonts w:ascii="Times New Roman" w:eastAsia="Times New Roman" w:hAnsi="Times New Roman" w:cs="Times New Roman"/>
              </w:rPr>
            </w:pPr>
            <w:r>
              <w:rPr>
                <w:color w:val="000000"/>
                <w:sz w:val="20"/>
                <w:szCs w:val="20"/>
                <w:highlight w:val="white"/>
              </w:rPr>
              <w:lastRenderedPageBreak/>
              <w:t>India</w:t>
            </w:r>
          </w:p>
        </w:tc>
        <w:tc>
          <w:tcPr>
            <w:tcW w:w="774"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35B812A" w14:textId="77777777" w:rsidR="000E5CD4" w:rsidRDefault="000E5CD4">
            <w:pPr>
              <w:rPr>
                <w:rFonts w:ascii="Times New Roman" w:eastAsia="Times New Roman" w:hAnsi="Times New Roman" w:cs="Times New Roman"/>
              </w:rPr>
            </w:pPr>
          </w:p>
        </w:tc>
        <w:tc>
          <w:tcPr>
            <w:tcW w:w="934"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876DDC2" w14:textId="77777777" w:rsidR="000E5CD4" w:rsidRDefault="00000000">
            <w:pPr>
              <w:rPr>
                <w:rFonts w:ascii="Times New Roman" w:eastAsia="Times New Roman" w:hAnsi="Times New Roman" w:cs="Times New Roman"/>
              </w:rPr>
            </w:pPr>
            <w:r>
              <w:rPr>
                <w:color w:val="000000"/>
                <w:sz w:val="20"/>
                <w:szCs w:val="20"/>
                <w:highlight w:val="white"/>
              </w:rPr>
              <w:t>0.0%</w:t>
            </w:r>
          </w:p>
        </w:tc>
        <w:tc>
          <w:tcPr>
            <w:tcW w:w="776"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326297A" w14:textId="77777777" w:rsidR="000E5CD4" w:rsidRDefault="000E5CD4">
            <w:pPr>
              <w:rPr>
                <w:rFonts w:ascii="Times New Roman" w:eastAsia="Times New Roman" w:hAnsi="Times New Roman" w:cs="Times New Roman"/>
              </w:rPr>
            </w:pPr>
          </w:p>
        </w:tc>
        <w:tc>
          <w:tcPr>
            <w:tcW w:w="85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A120A88" w14:textId="77777777" w:rsidR="000E5CD4" w:rsidRDefault="00000000">
            <w:pPr>
              <w:rPr>
                <w:rFonts w:ascii="Times New Roman" w:eastAsia="Times New Roman" w:hAnsi="Times New Roman" w:cs="Times New Roman"/>
              </w:rPr>
            </w:pPr>
            <w:r>
              <w:rPr>
                <w:color w:val="000000"/>
                <w:sz w:val="20"/>
                <w:szCs w:val="20"/>
                <w:highlight w:val="white"/>
              </w:rPr>
              <w:t>0.42</w:t>
            </w:r>
          </w:p>
        </w:tc>
        <w:tc>
          <w:tcPr>
            <w:tcW w:w="842"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12ADBC0" w14:textId="77777777" w:rsidR="000E5CD4" w:rsidRDefault="00000000">
            <w:pPr>
              <w:rPr>
                <w:rFonts w:ascii="Times New Roman" w:eastAsia="Times New Roman" w:hAnsi="Times New Roman" w:cs="Times New Roman"/>
              </w:rPr>
            </w:pPr>
            <w:r>
              <w:rPr>
                <w:color w:val="000000"/>
                <w:sz w:val="20"/>
                <w:szCs w:val="20"/>
                <w:highlight w:val="white"/>
              </w:rPr>
              <w:t>0.0%</w:t>
            </w:r>
          </w:p>
        </w:tc>
        <w:tc>
          <w:tcPr>
            <w:tcW w:w="2053"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43D0E25" w14:textId="77777777" w:rsidR="000E5CD4" w:rsidRDefault="00000000">
            <w:pPr>
              <w:rPr>
                <w:rFonts w:ascii="Times New Roman" w:eastAsia="Times New Roman" w:hAnsi="Times New Roman" w:cs="Times New Roman"/>
              </w:rPr>
            </w:pPr>
            <w:r>
              <w:rPr>
                <w:color w:val="000000"/>
                <w:sz w:val="20"/>
                <w:szCs w:val="20"/>
                <w:highlight w:val="white"/>
              </w:rPr>
              <w:t>No participants from the control group purchased a second cylinder during the study</w:t>
            </w:r>
          </w:p>
        </w:tc>
      </w:tr>
      <w:tr w:rsidR="000E5CD4" w14:paraId="3064077B" w14:textId="77777777">
        <w:trPr>
          <w:trHeight w:val="2690"/>
        </w:trPr>
        <w:tc>
          <w:tcPr>
            <w:tcW w:w="1919"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5D381C7" w14:textId="4B00D1E0" w:rsidR="000E5CD4" w:rsidRDefault="00000000">
            <w:pPr>
              <w:rPr>
                <w:rFonts w:ascii="Times New Roman" w:eastAsia="Times New Roman" w:hAnsi="Times New Roman" w:cs="Times New Roman"/>
              </w:rPr>
            </w:pPr>
            <w:r>
              <w:rPr>
                <w:color w:val="000000"/>
                <w:sz w:val="20"/>
                <w:szCs w:val="20"/>
              </w:rPr>
              <w:t>Assessing the Effects of Stove Use Patterns and Kitchen Chimneys on Indoor Air Quality during a Multiyear Cookstove Randomized Control Trial in Rural India</w:t>
            </w:r>
            <w:r>
              <w:fldChar w:fldCharType="begin"/>
            </w:r>
            <w:r w:rsidR="003C3E9E">
              <w:instrText xml:space="preserve"> ADDIN ZOTERO_ITEM CSL_CITATION {"citationID":"sJWLE61M","properties":{"formattedCitation":"\\super 8\\nosupersub{}","plainCitation":"8","noteIndex":0},"citationItems":[{"id":131,"uris":["http://zotero.org/users/9292969/items/QZ99S5UY"],"itemData":{"id":131,"type":"article-journal","container-title":"Environmental Science &amp; Technology","DOI":"10.1021/acs.est.1c07571","ISSN":"0013-936X","issue":"12","journalAbbreviation":"Environ. Sci. Technol.","note":"publisher: American Chemical Society","page":"8326-8337","title":"Assessing the Effects of Stove Use Patterns and Kitchen Chimneys on Indoor Air Quality during a Multiyear Cookstove Randomized Control Trial in Rural India","URL":"https://doi.org/10.1021/acs.est.1c07571","volume":"56","author":[{"family":"Islam","given":"Mohammad Maksimul"},{"family":"Wathore","given":"Roshan"},{"family":"Zerriffi","given":"Hisham"},{"family":"Marshall","given":"Julian D."},{"family":"Bailis","given":"Rob"},{"family":"Grieshop","given":"Andrew P."}],"issued":{"date-parts":[["2022",6,21]]}}}],"schema":"https://github.com/citation-style-language/schema/raw/master/csl-citation.json"} </w:instrText>
            </w:r>
            <w:r>
              <w:fldChar w:fldCharType="separate"/>
            </w:r>
            <w:r w:rsidR="003C3E9E" w:rsidRPr="003C3E9E">
              <w:rPr>
                <w:vertAlign w:val="superscript"/>
              </w:rPr>
              <w:t>8</w:t>
            </w:r>
            <w:r>
              <w:rPr>
                <w:color w:val="000000"/>
                <w:sz w:val="20"/>
                <w:szCs w:val="20"/>
              </w:rPr>
              <w:fldChar w:fldCharType="end"/>
            </w:r>
          </w:p>
        </w:tc>
        <w:tc>
          <w:tcPr>
            <w:tcW w:w="1197"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E2674C1" w14:textId="77777777" w:rsidR="000E5CD4" w:rsidRDefault="00000000">
            <w:pPr>
              <w:rPr>
                <w:rFonts w:ascii="Times New Roman" w:eastAsia="Times New Roman" w:hAnsi="Times New Roman" w:cs="Times New Roman"/>
              </w:rPr>
            </w:pPr>
            <w:r>
              <w:rPr>
                <w:color w:val="000000"/>
                <w:sz w:val="20"/>
                <w:szCs w:val="20"/>
                <w:highlight w:val="white"/>
              </w:rPr>
              <w:t>India</w:t>
            </w:r>
          </w:p>
        </w:tc>
        <w:tc>
          <w:tcPr>
            <w:tcW w:w="774"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459D232" w14:textId="77777777" w:rsidR="000E5CD4" w:rsidRDefault="000E5CD4">
            <w:pPr>
              <w:rPr>
                <w:rFonts w:ascii="Times New Roman" w:eastAsia="Times New Roman" w:hAnsi="Times New Roman" w:cs="Times New Roman"/>
              </w:rPr>
            </w:pPr>
          </w:p>
        </w:tc>
        <w:tc>
          <w:tcPr>
            <w:tcW w:w="934"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4E1D04F" w14:textId="77777777" w:rsidR="000E5CD4" w:rsidRDefault="00000000">
            <w:pPr>
              <w:rPr>
                <w:rFonts w:ascii="Times New Roman" w:eastAsia="Times New Roman" w:hAnsi="Times New Roman" w:cs="Times New Roman"/>
              </w:rPr>
            </w:pPr>
            <w:r>
              <w:rPr>
                <w:color w:val="000000"/>
                <w:sz w:val="20"/>
                <w:szCs w:val="20"/>
                <w:highlight w:val="white"/>
              </w:rPr>
              <w:t>45.0%</w:t>
            </w:r>
          </w:p>
        </w:tc>
        <w:tc>
          <w:tcPr>
            <w:tcW w:w="776"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6014230" w14:textId="77777777" w:rsidR="000E5CD4" w:rsidRDefault="000E5CD4">
            <w:pPr>
              <w:rPr>
                <w:rFonts w:ascii="Times New Roman" w:eastAsia="Times New Roman" w:hAnsi="Times New Roman" w:cs="Times New Roman"/>
              </w:rPr>
            </w:pPr>
          </w:p>
        </w:tc>
        <w:tc>
          <w:tcPr>
            <w:tcW w:w="85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954FCF7" w14:textId="77777777" w:rsidR="000E5CD4" w:rsidRDefault="00000000">
            <w:pPr>
              <w:rPr>
                <w:rFonts w:ascii="Times New Roman" w:eastAsia="Times New Roman" w:hAnsi="Times New Roman" w:cs="Times New Roman"/>
              </w:rPr>
            </w:pPr>
            <w:r>
              <w:rPr>
                <w:color w:val="000000"/>
                <w:sz w:val="20"/>
                <w:szCs w:val="20"/>
                <w:highlight w:val="white"/>
              </w:rPr>
              <w:t>1.5</w:t>
            </w:r>
          </w:p>
        </w:tc>
        <w:tc>
          <w:tcPr>
            <w:tcW w:w="842"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C7934D3" w14:textId="77777777" w:rsidR="000E5CD4" w:rsidRDefault="00000000">
            <w:pPr>
              <w:rPr>
                <w:rFonts w:ascii="Times New Roman" w:eastAsia="Times New Roman" w:hAnsi="Times New Roman" w:cs="Times New Roman"/>
              </w:rPr>
            </w:pPr>
            <w:r>
              <w:rPr>
                <w:color w:val="000000"/>
                <w:sz w:val="20"/>
                <w:szCs w:val="20"/>
                <w:highlight w:val="white"/>
              </w:rPr>
              <w:t>30.0%</w:t>
            </w:r>
          </w:p>
        </w:tc>
        <w:tc>
          <w:tcPr>
            <w:tcW w:w="2053"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0EC32C1" w14:textId="77777777" w:rsidR="000E5CD4" w:rsidRDefault="00000000">
            <w:pPr>
              <w:rPr>
                <w:rFonts w:ascii="Times New Roman" w:eastAsia="Times New Roman" w:hAnsi="Times New Roman" w:cs="Times New Roman"/>
              </w:rPr>
            </w:pPr>
            <w:r>
              <w:rPr>
                <w:color w:val="000000"/>
                <w:sz w:val="20"/>
                <w:szCs w:val="20"/>
                <w:highlight w:val="white"/>
              </w:rPr>
              <w:t>45% of the Karnataka control households received LPG</w:t>
            </w:r>
            <w:r>
              <w:rPr>
                <w:color w:val="000000"/>
                <w:sz w:val="20"/>
                <w:szCs w:val="20"/>
                <w:highlight w:val="white"/>
              </w:rPr>
              <w:br/>
              <w:t>stoves from a government-led program (PMUY).</w:t>
            </w:r>
          </w:p>
        </w:tc>
      </w:tr>
      <w:tr w:rsidR="000E5CD4" w14:paraId="53D7F1C3" w14:textId="77777777">
        <w:trPr>
          <w:trHeight w:val="320"/>
        </w:trPr>
        <w:tc>
          <w:tcPr>
            <w:tcW w:w="1919"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87FCCC8" w14:textId="6F44DB29" w:rsidR="000E5CD4" w:rsidRDefault="00000000">
            <w:pPr>
              <w:rPr>
                <w:rFonts w:ascii="Times New Roman" w:eastAsia="Times New Roman" w:hAnsi="Times New Roman" w:cs="Times New Roman"/>
              </w:rPr>
            </w:pPr>
            <w:r>
              <w:rPr>
                <w:color w:val="000000"/>
                <w:sz w:val="20"/>
                <w:szCs w:val="20"/>
              </w:rPr>
              <w:t>Effect of Reducing Indoor Air Pollution on Women’s Respiratory Symptoms and Lung Function: The RESPIRE Randomized Trial, Guatemala</w:t>
            </w:r>
            <w:r>
              <w:fldChar w:fldCharType="begin"/>
            </w:r>
            <w:r w:rsidR="003C3E9E">
              <w:instrText xml:space="preserve"> ADDIN ZOTERO_ITEM CSL_CITATION {"citationID":"e9QjjOtb","properties":{"formattedCitation":"\\super 9\\nosupersub{}","plainCitation":"9","noteIndex":0},"citationItems":[{"id":2526,"uris":["http://zotero.org/users/9292969/items/L4GI832D"],"itemData":{"id":2526,"type":"article-journal","abstract":"Exposure to household wood smoke from cooking is a risk factor for chronic obstructive lung disease among women in developing countries. The Randomized Exposure Study of Pollution Indoors and Respiratory Effects (RESPIRE) is a randomized intervention trial evaluating the respiratory health effects of reducing indoor air pollution from open cooking fires. A total of 504 rural Mayan women in highland Guatemala aged 15–50 years, all using traditional indoor open fires, were randomized to either receive a chimney woodstove (plancha) or continue using the open fire. Assessments of chronic respiratory symptoms and lung function and individual measurements of carbon monoxide exposure were performed at baseline and every 6 months up to 18 months. Use of a plancha significantly reduced carbon monoxide exposure by 61.6%. For all respiratory symptoms, reductions in risk were observed in the plancha group during follow-up; the reduction was statistically significant for wheeze (relative risk = 0.42, 95% confidence interval: 0.25, 0.70). The number of respiratory symptoms reported by the women at each follow-up point was also significantly reduced by the plancha (odds ratio = 0.7, 95% confidence interval: 0.50, 0.97). However, no significant effects on lung function were found after 12–18 months. Reducing indoor air pollution from household biomass burning may relieve symptoms consistent with chronic respiratory tract irritation.","container-title":"American Journal of Epidemiology","DOI":"10.1093/aje/kwp100","ISSN":"0002-9262","issue":"2","page":"211-220","title":"Effect of Reducing Indoor Air Pollution on Women's Respiratory Symptoms and Lung Function: The RESPIRE Randomized Trial, Guatemala","URL":"https://doi.org/10.1093/aje/kwp100","volume":"170","author":[{"family":"Smith-Sivertsen","given":"Tone"},{"family":"Díaz","given":"Esperanza"},{"family":"Pope","given":"Dan"},{"family":"Lie","given":"Rolv T"},{"family":"Díaz","given":"Anaite"},{"family":"McCracken","given":"John"},{"family":"Bakke","given":"Per"},{"family":"Arana","given":"Byron"},{"family":"Smith","given":"Kirk R"},{"family":"Bruce","given":"Nigel"}],"issued":{"date-parts":[["2009",7,15]]}}}],"schema":"https://github.com/citation-style-language/schema/raw/master/csl-citation.json"} </w:instrText>
            </w:r>
            <w:r>
              <w:fldChar w:fldCharType="separate"/>
            </w:r>
            <w:r w:rsidR="003C3E9E" w:rsidRPr="003C3E9E">
              <w:rPr>
                <w:vertAlign w:val="superscript"/>
              </w:rPr>
              <w:t>9</w:t>
            </w:r>
            <w:r>
              <w:rPr>
                <w:color w:val="000000"/>
                <w:sz w:val="20"/>
                <w:szCs w:val="20"/>
              </w:rPr>
              <w:fldChar w:fldCharType="end"/>
            </w:r>
          </w:p>
        </w:tc>
        <w:tc>
          <w:tcPr>
            <w:tcW w:w="1197"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9DFD8FE" w14:textId="77777777" w:rsidR="000E5CD4" w:rsidRDefault="00000000">
            <w:pPr>
              <w:rPr>
                <w:rFonts w:ascii="Times New Roman" w:eastAsia="Times New Roman" w:hAnsi="Times New Roman" w:cs="Times New Roman"/>
              </w:rPr>
            </w:pPr>
            <w:r>
              <w:rPr>
                <w:color w:val="000000"/>
                <w:sz w:val="20"/>
                <w:szCs w:val="20"/>
                <w:highlight w:val="white"/>
              </w:rPr>
              <w:t>Guatemala</w:t>
            </w:r>
          </w:p>
        </w:tc>
        <w:tc>
          <w:tcPr>
            <w:tcW w:w="774"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B9454EE" w14:textId="77777777" w:rsidR="000E5CD4" w:rsidRDefault="000E5CD4">
            <w:pPr>
              <w:rPr>
                <w:rFonts w:ascii="Times New Roman" w:eastAsia="Times New Roman" w:hAnsi="Times New Roman" w:cs="Times New Roman"/>
              </w:rPr>
            </w:pPr>
          </w:p>
        </w:tc>
        <w:tc>
          <w:tcPr>
            <w:tcW w:w="934"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48ADAF8" w14:textId="77777777" w:rsidR="000E5CD4" w:rsidRDefault="00000000">
            <w:pPr>
              <w:rPr>
                <w:rFonts w:ascii="Times New Roman" w:eastAsia="Times New Roman" w:hAnsi="Times New Roman" w:cs="Times New Roman"/>
              </w:rPr>
            </w:pPr>
            <w:r>
              <w:rPr>
                <w:color w:val="000000"/>
                <w:sz w:val="20"/>
                <w:szCs w:val="20"/>
                <w:highlight w:val="white"/>
              </w:rPr>
              <w:t>0.0%</w:t>
            </w:r>
          </w:p>
        </w:tc>
        <w:tc>
          <w:tcPr>
            <w:tcW w:w="776"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DFF31E2" w14:textId="77777777" w:rsidR="000E5CD4" w:rsidRDefault="000E5CD4">
            <w:pPr>
              <w:rPr>
                <w:rFonts w:ascii="Times New Roman" w:eastAsia="Times New Roman" w:hAnsi="Times New Roman" w:cs="Times New Roman"/>
              </w:rPr>
            </w:pPr>
          </w:p>
        </w:tc>
        <w:tc>
          <w:tcPr>
            <w:tcW w:w="85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229AA7A" w14:textId="77777777" w:rsidR="000E5CD4" w:rsidRDefault="00000000">
            <w:pPr>
              <w:rPr>
                <w:rFonts w:ascii="Times New Roman" w:eastAsia="Times New Roman" w:hAnsi="Times New Roman" w:cs="Times New Roman"/>
              </w:rPr>
            </w:pPr>
            <w:r>
              <w:rPr>
                <w:color w:val="000000"/>
                <w:sz w:val="20"/>
                <w:szCs w:val="20"/>
                <w:highlight w:val="white"/>
              </w:rPr>
              <w:t>1.5</w:t>
            </w:r>
          </w:p>
        </w:tc>
        <w:tc>
          <w:tcPr>
            <w:tcW w:w="842"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37E026E" w14:textId="77777777" w:rsidR="000E5CD4" w:rsidRDefault="00000000">
            <w:pPr>
              <w:rPr>
                <w:rFonts w:ascii="Times New Roman" w:eastAsia="Times New Roman" w:hAnsi="Times New Roman" w:cs="Times New Roman"/>
              </w:rPr>
            </w:pPr>
            <w:r>
              <w:rPr>
                <w:color w:val="000000"/>
                <w:sz w:val="20"/>
                <w:szCs w:val="20"/>
                <w:highlight w:val="white"/>
              </w:rPr>
              <w:t>0.0%</w:t>
            </w:r>
          </w:p>
        </w:tc>
        <w:tc>
          <w:tcPr>
            <w:tcW w:w="2053"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4301665" w14:textId="77777777" w:rsidR="000E5CD4" w:rsidRDefault="00000000">
            <w:pPr>
              <w:rPr>
                <w:rFonts w:ascii="Times New Roman" w:eastAsia="Times New Roman" w:hAnsi="Times New Roman" w:cs="Times New Roman"/>
              </w:rPr>
            </w:pPr>
            <w:r>
              <w:rPr>
                <w:color w:val="000000"/>
                <w:sz w:val="20"/>
                <w:szCs w:val="20"/>
                <w:highlight w:val="white"/>
              </w:rPr>
              <w:t>Does not report any control households building or obtaining the improved stove</w:t>
            </w:r>
          </w:p>
        </w:tc>
      </w:tr>
    </w:tbl>
    <w:p w14:paraId="1E62B436" w14:textId="77777777" w:rsidR="000E5CD4" w:rsidRDefault="00000000">
      <w:pPr>
        <w:spacing w:after="240"/>
        <w:rPr>
          <w:rFonts w:ascii="Times New Roman" w:eastAsia="Times New Roman" w:hAnsi="Times New Roman" w:cs="Times New Roman"/>
        </w:rPr>
      </w:pPr>
      <w:r>
        <w:br w:type="page"/>
      </w:r>
    </w:p>
    <w:p w14:paraId="4BA84472" w14:textId="77777777" w:rsidR="000E5CD4" w:rsidRDefault="000E5CD4">
      <w:pPr>
        <w:spacing w:after="240"/>
        <w:rPr>
          <w:rFonts w:ascii="Times New Roman" w:eastAsia="Times New Roman" w:hAnsi="Times New Roman" w:cs="Times New Roman"/>
        </w:rPr>
      </w:pPr>
    </w:p>
    <w:p w14:paraId="1156B889" w14:textId="77777777" w:rsidR="000E5CD4" w:rsidRDefault="00000000">
      <w:pPr>
        <w:pStyle w:val="Heading2"/>
      </w:pPr>
      <w:bookmarkStart w:id="9" w:name="_9aymxaytu1ow" w:colFirst="0" w:colLast="0"/>
      <w:bookmarkEnd w:id="9"/>
      <w:r>
        <w:t>X.  Leakage Investigation</w:t>
      </w:r>
    </w:p>
    <w:p w14:paraId="46F2218E" w14:textId="77777777" w:rsidR="000E5CD4" w:rsidRDefault="000E5CD4">
      <w:pPr>
        <w:rPr>
          <w:b/>
          <w:sz w:val="20"/>
          <w:szCs w:val="20"/>
          <w:highlight w:val="white"/>
        </w:rPr>
      </w:pPr>
    </w:p>
    <w:p w14:paraId="51FE30DB" w14:textId="380C6BCD" w:rsidR="000E5CD4" w:rsidRDefault="00000000">
      <w:pPr>
        <w:rPr>
          <w:rFonts w:ascii="Times New Roman" w:eastAsia="Times New Roman" w:hAnsi="Times New Roman" w:cs="Times New Roman"/>
        </w:rPr>
      </w:pPr>
      <w:r>
        <w:rPr>
          <w:b/>
          <w:sz w:val="20"/>
          <w:szCs w:val="20"/>
          <w:highlight w:val="white"/>
        </w:rPr>
        <w:t xml:space="preserve">Leakage Investigation in </w:t>
      </w:r>
      <w:r w:rsidR="003C3E9E">
        <w:rPr>
          <w:b/>
          <w:sz w:val="20"/>
          <w:szCs w:val="20"/>
          <w:highlight w:val="white"/>
        </w:rPr>
        <w:t xml:space="preserve">the </w:t>
      </w:r>
      <w:r w:rsidR="003C3E9E">
        <w:rPr>
          <w:b/>
          <w:color w:val="000000"/>
          <w:sz w:val="20"/>
          <w:szCs w:val="20"/>
          <w:highlight w:val="white"/>
        </w:rPr>
        <w:t>Literature</w:t>
      </w:r>
    </w:p>
    <w:p w14:paraId="1FA52D75" w14:textId="77777777" w:rsidR="000E5CD4" w:rsidRDefault="000E5CD4">
      <w:pPr>
        <w:rPr>
          <w:rFonts w:ascii="Times New Roman" w:eastAsia="Times New Roman" w:hAnsi="Times New Roman" w:cs="Times New Roman"/>
        </w:rPr>
      </w:pPr>
    </w:p>
    <w:p w14:paraId="1ECDAA90" w14:textId="77777777" w:rsidR="000E5CD4" w:rsidRDefault="00000000">
      <w:pPr>
        <w:keepNext/>
        <w:pBdr>
          <w:top w:val="nil"/>
          <w:left w:val="nil"/>
          <w:bottom w:val="nil"/>
          <w:right w:val="nil"/>
          <w:between w:val="nil"/>
        </w:pBdr>
        <w:spacing w:after="200"/>
        <w:rPr>
          <w:i/>
          <w:color w:val="44546A"/>
          <w:sz w:val="18"/>
          <w:szCs w:val="18"/>
        </w:rPr>
      </w:pPr>
      <w:r>
        <w:rPr>
          <w:i/>
          <w:color w:val="44546A"/>
          <w:sz w:val="18"/>
          <w:szCs w:val="18"/>
        </w:rPr>
        <w:t>Table S 6. Literature sources reviewed to evaluate leakage</w:t>
      </w:r>
    </w:p>
    <w:tbl>
      <w:tblPr>
        <w:tblStyle w:val="a4"/>
        <w:tblW w:w="9345" w:type="dxa"/>
        <w:tblInd w:w="-115" w:type="dxa"/>
        <w:tblLayout w:type="fixed"/>
        <w:tblLook w:val="0400" w:firstRow="0" w:lastRow="0" w:firstColumn="0" w:lastColumn="0" w:noHBand="0" w:noVBand="1"/>
      </w:tblPr>
      <w:tblGrid>
        <w:gridCol w:w="3165"/>
        <w:gridCol w:w="945"/>
        <w:gridCol w:w="1020"/>
        <w:gridCol w:w="4215"/>
      </w:tblGrid>
      <w:tr w:rsidR="000E5CD4" w14:paraId="4BBC7A6E" w14:textId="77777777">
        <w:trPr>
          <w:trHeight w:val="320"/>
        </w:trPr>
        <w:tc>
          <w:tcPr>
            <w:tcW w:w="316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3150D9C" w14:textId="77777777" w:rsidR="000E5CD4" w:rsidRDefault="00000000">
            <w:pPr>
              <w:rPr>
                <w:rFonts w:ascii="Times New Roman" w:eastAsia="Times New Roman" w:hAnsi="Times New Roman" w:cs="Times New Roman"/>
              </w:rPr>
            </w:pPr>
            <w:r>
              <w:rPr>
                <w:b/>
                <w:color w:val="000000"/>
                <w:sz w:val="20"/>
                <w:szCs w:val="20"/>
                <w:highlight w:val="white"/>
              </w:rPr>
              <w:t>Source Title</w:t>
            </w:r>
          </w:p>
        </w:tc>
        <w:tc>
          <w:tcPr>
            <w:tcW w:w="94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9B7F575" w14:textId="77777777" w:rsidR="000E5CD4" w:rsidRDefault="00000000">
            <w:pPr>
              <w:rPr>
                <w:rFonts w:ascii="Times New Roman" w:eastAsia="Times New Roman" w:hAnsi="Times New Roman" w:cs="Times New Roman"/>
              </w:rPr>
            </w:pPr>
            <w:r>
              <w:rPr>
                <w:b/>
                <w:color w:val="000000"/>
                <w:sz w:val="20"/>
                <w:szCs w:val="20"/>
                <w:highlight w:val="white"/>
              </w:rPr>
              <w:t>Location</w:t>
            </w:r>
          </w:p>
        </w:tc>
        <w:tc>
          <w:tcPr>
            <w:tcW w:w="102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15076E6" w14:textId="77777777" w:rsidR="000E5CD4" w:rsidRDefault="00000000">
            <w:pPr>
              <w:rPr>
                <w:rFonts w:ascii="Times New Roman" w:eastAsia="Times New Roman" w:hAnsi="Times New Roman" w:cs="Times New Roman"/>
              </w:rPr>
            </w:pPr>
            <w:r>
              <w:rPr>
                <w:b/>
                <w:color w:val="000000"/>
                <w:sz w:val="20"/>
                <w:szCs w:val="20"/>
                <w:highlight w:val="white"/>
              </w:rPr>
              <w:t>Values</w:t>
            </w:r>
          </w:p>
        </w:tc>
        <w:tc>
          <w:tcPr>
            <w:tcW w:w="421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6EE36E4" w14:textId="77777777" w:rsidR="000E5CD4" w:rsidRDefault="00000000">
            <w:pPr>
              <w:rPr>
                <w:rFonts w:ascii="Times New Roman" w:eastAsia="Times New Roman" w:hAnsi="Times New Roman" w:cs="Times New Roman"/>
              </w:rPr>
            </w:pPr>
            <w:r>
              <w:rPr>
                <w:b/>
                <w:color w:val="000000"/>
                <w:sz w:val="20"/>
                <w:szCs w:val="20"/>
                <w:highlight w:val="white"/>
              </w:rPr>
              <w:t>Notes</w:t>
            </w:r>
          </w:p>
        </w:tc>
      </w:tr>
      <w:tr w:rsidR="000E5CD4" w14:paraId="1F2EA86D" w14:textId="77777777">
        <w:trPr>
          <w:trHeight w:val="320"/>
        </w:trPr>
        <w:tc>
          <w:tcPr>
            <w:tcW w:w="316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8B1B13E" w14:textId="0A0C8000" w:rsidR="000E5CD4" w:rsidRDefault="00000000">
            <w:pPr>
              <w:rPr>
                <w:rFonts w:ascii="Times New Roman" w:eastAsia="Times New Roman" w:hAnsi="Times New Roman" w:cs="Times New Roman"/>
              </w:rPr>
            </w:pPr>
            <w:r>
              <w:rPr>
                <w:color w:val="000000"/>
                <w:sz w:val="20"/>
                <w:szCs w:val="20"/>
              </w:rPr>
              <w:t>Forest, farms and fuelwood: Measuring changes in fuelwood collection</w:t>
            </w:r>
            <w:r>
              <w:rPr>
                <w:color w:val="000000"/>
                <w:sz w:val="20"/>
                <w:szCs w:val="20"/>
              </w:rPr>
              <w:br/>
              <w:t>and consumption behavior from a clean cooking intervention</w:t>
            </w:r>
            <w:r>
              <w:fldChar w:fldCharType="begin"/>
            </w:r>
            <w:r w:rsidR="003C3E9E">
              <w:instrText xml:space="preserve"> ADDIN ZOTERO_ITEM CSL_CITATION {"citationID":"OZ6Mgety","properties":{"formattedCitation":"\\super 10\\nosupersub{}","plainCitation":"10","noteIndex":0},"citationItems":[{"id":128,"uris":["http://zotero.org/users/9292969/items/APE7AVFX"],"itemData":{"id":128,"type":"article-journal","abstract":"In many developing countries, fuelwood can contribute to 50–90% of all household energy, largely driven by the 2.6 billion individuals dependent on it to meet their daily household cooking energy requirements. This dependency can have negative impacts on forest stocks and climate change. Both, a transition to cleaner cooking and sustainable management of forest resources to ensure long-term supply, are essential for dependent communities. Understanding the forest impacts of fuelwood dependence and potential benefits of clean cooking interventions requires a careful analysis of local forest and agroforestry resources, the particular fuel collection habits of local populations, and the impact of clean cooking technologies on fuelwood consumption. The specific impacts of a cooking transition on fuelwood extraction from forests vs. other sources has been lacking in prior studies. We fill this gap by identifying household fuelwood consumption behavior change (farm vs. forest sources) due to clean cooking solutions implemented in two districts in rural India - Kullu (Himachal Pradesh) in northern India and Koppal (Karnataka) in southern India. To the best of our knowledge, this is the first intervention study that identifies fuelwood collection sources based on the species utilized by households. We conducted in-depth household surveys and physically measured household fuelwood consumption by source (forest or farm). Results indicate that households in Kullu reduced forest dependence, while households in Koppal reduced farm dependence due to clean cooking solutions. We find that a reduction from forests is dependent on a combination of demand (e.g., cooking vs. heating), substitutability of forest resources with farm resources (i.e., quality and availability), and the socio-economic characteristics (i.e., caste, wealth) of the household. Information on the variables impacting household reliance on forest sources would be important for future clean cooking interventions, and other forest resource policy decisions for the region.","container-title":"Energy for Sustainable Development","DOI":"10.1016/j.esd.2021.02.002","ISSN":"0973-0826","journalAbbreviation":"Energy for Sustainable Development","page":"196-205","title":"Forest, farms and fuelwood: Measuring changes in fuelwood collection and consumption behavior from a clean cooking intervention","URL":"https://www.sciencedirect.com/science/article/pii/S0973082621000211","volume":"61","author":[{"family":"Singh","given":"Devyani"},{"family":"Zerriffi","given":"Hisham"},{"family":"Bailis","given":"Rob"},{"family":"LeMay","given":"Valerie"}],"issued":{"date-parts":[["2021",4,1]]}}}],"schema":"https://github.com/citation-style-language/schema/raw/master/csl-citation.json"} </w:instrText>
            </w:r>
            <w:r>
              <w:fldChar w:fldCharType="separate"/>
            </w:r>
            <w:r w:rsidR="003C3E9E" w:rsidRPr="003C3E9E">
              <w:rPr>
                <w:vertAlign w:val="superscript"/>
              </w:rPr>
              <w:t>10</w:t>
            </w:r>
            <w:r>
              <w:rPr>
                <w:color w:val="000000"/>
                <w:sz w:val="20"/>
                <w:szCs w:val="20"/>
              </w:rPr>
              <w:fldChar w:fldCharType="end"/>
            </w:r>
          </w:p>
        </w:tc>
        <w:tc>
          <w:tcPr>
            <w:tcW w:w="94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3E964D9" w14:textId="77777777" w:rsidR="000E5CD4" w:rsidRDefault="00000000">
            <w:pPr>
              <w:rPr>
                <w:rFonts w:ascii="Times New Roman" w:eastAsia="Times New Roman" w:hAnsi="Times New Roman" w:cs="Times New Roman"/>
              </w:rPr>
            </w:pPr>
            <w:r>
              <w:rPr>
                <w:color w:val="000000"/>
                <w:sz w:val="20"/>
                <w:szCs w:val="20"/>
                <w:highlight w:val="white"/>
              </w:rPr>
              <w:t>India</w:t>
            </w:r>
          </w:p>
        </w:tc>
        <w:tc>
          <w:tcPr>
            <w:tcW w:w="102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BCEC40E" w14:textId="77777777" w:rsidR="000E5CD4" w:rsidRDefault="00000000">
            <w:pPr>
              <w:rPr>
                <w:rFonts w:ascii="Times New Roman" w:eastAsia="Times New Roman" w:hAnsi="Times New Roman" w:cs="Times New Roman"/>
              </w:rPr>
            </w:pPr>
            <w:r>
              <w:rPr>
                <w:color w:val="000000"/>
                <w:sz w:val="20"/>
                <w:szCs w:val="20"/>
                <w:highlight w:val="white"/>
              </w:rPr>
              <w:t>0%</w:t>
            </w:r>
          </w:p>
        </w:tc>
        <w:tc>
          <w:tcPr>
            <w:tcW w:w="421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644243B" w14:textId="77777777" w:rsidR="000E5CD4" w:rsidRDefault="00000000">
            <w:pPr>
              <w:rPr>
                <w:rFonts w:ascii="Times New Roman" w:eastAsia="Times New Roman" w:hAnsi="Times New Roman" w:cs="Times New Roman"/>
              </w:rPr>
            </w:pPr>
            <w:r>
              <w:rPr>
                <w:color w:val="000000"/>
                <w:sz w:val="20"/>
                <w:szCs w:val="20"/>
                <w:highlight w:val="white"/>
              </w:rPr>
              <w:t>Both control and treatment households decreased consumption. However, the treatment's decline was statistically significant at 1.4 kg/household/day</w:t>
            </w:r>
          </w:p>
        </w:tc>
      </w:tr>
      <w:tr w:rsidR="000E5CD4" w14:paraId="0E515FD5" w14:textId="77777777">
        <w:trPr>
          <w:trHeight w:val="320"/>
        </w:trPr>
        <w:tc>
          <w:tcPr>
            <w:tcW w:w="316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C0031E4" w14:textId="012AB9C7" w:rsidR="000E5CD4" w:rsidRDefault="00000000">
            <w:pPr>
              <w:rPr>
                <w:rFonts w:ascii="Times New Roman" w:eastAsia="Times New Roman" w:hAnsi="Times New Roman" w:cs="Times New Roman"/>
              </w:rPr>
            </w:pPr>
            <w:r>
              <w:rPr>
                <w:color w:val="000000"/>
                <w:sz w:val="20"/>
                <w:szCs w:val="20"/>
              </w:rPr>
              <w:t>Up in Smoke: The Influence of Household Behavior on the Long-Run Impact of Improved Cooking Stoves</w:t>
            </w:r>
            <w:r>
              <w:fldChar w:fldCharType="begin"/>
            </w:r>
            <w:r w:rsidR="003C3E9E">
              <w:instrText xml:space="preserve"> ADDIN ZOTERO_ITEM CSL_CITATION {"citationID":"RcmuBplc","properties":{"formattedCitation":"\\super 1\\nosupersub{}","plainCitation":"1","noteIndex":0},"citationItems":[{"id":2527,"uris":["http://zotero.org/users/9292969/items/VVBWMBZK"],"itemData":{"id":2527,"type":"article-journal","abstract":"Laboratory studies suggest that improved cooking stoves can reduce indoor air pollution, improve health, and decrease greenhouse gas emissions in developing countries. We provide evidence, from a large-scale randomized trial in India, on the benefits of a common, laboratory-validated stove with a four-year follow-up. While smoke inhalation initially falls, this effect disappears by year two. We find no changes across health outcomes or greenhouse gas emissions. Households used the stoves irregularly and inappropriately, failed to maintain them, and usage declined over time. This study underscores the need to test environmental technologies in real-world settings where behavior may undermine potential impacts.","container-title":"American Economic Journal: Economic Policy","DOI":"10.1257/pol.20140008","ISSN":"1945774X","issue":"1","note":"publisher: American Economic Association","page":"80-114","title":"Up in smoke: The influence of household behavior on the long-run impact of improved cooking stoves","volume":"8","author":[{"family":"Hanna","given":"Rema"},{"family":"Duflo","given":"Esther"},{"family":"Greenstone","given":"Michael"}],"issued":{"date-parts":[["2016"]]}}}],"schema":"https://github.com/citation-style-language/schema/raw/master/csl-citation.json"} </w:instrText>
            </w:r>
            <w:r>
              <w:fldChar w:fldCharType="separate"/>
            </w:r>
            <w:r w:rsidR="003C3E9E" w:rsidRPr="003C3E9E">
              <w:rPr>
                <w:vertAlign w:val="superscript"/>
              </w:rPr>
              <w:t>1</w:t>
            </w:r>
            <w:r>
              <w:rPr>
                <w:color w:val="000000"/>
                <w:sz w:val="20"/>
                <w:szCs w:val="20"/>
              </w:rPr>
              <w:fldChar w:fldCharType="end"/>
            </w:r>
          </w:p>
        </w:tc>
        <w:tc>
          <w:tcPr>
            <w:tcW w:w="94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E86DEEF" w14:textId="77777777" w:rsidR="000E5CD4" w:rsidRDefault="00000000">
            <w:pPr>
              <w:rPr>
                <w:rFonts w:ascii="Times New Roman" w:eastAsia="Times New Roman" w:hAnsi="Times New Roman" w:cs="Times New Roman"/>
              </w:rPr>
            </w:pPr>
            <w:r>
              <w:rPr>
                <w:color w:val="000000"/>
                <w:sz w:val="20"/>
                <w:szCs w:val="20"/>
                <w:highlight w:val="white"/>
              </w:rPr>
              <w:t>India</w:t>
            </w:r>
          </w:p>
        </w:tc>
        <w:tc>
          <w:tcPr>
            <w:tcW w:w="102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72327E6" w14:textId="77777777" w:rsidR="000E5CD4" w:rsidRDefault="00000000">
            <w:pPr>
              <w:rPr>
                <w:rFonts w:ascii="Times New Roman" w:eastAsia="Times New Roman" w:hAnsi="Times New Roman" w:cs="Times New Roman"/>
              </w:rPr>
            </w:pPr>
            <w:r>
              <w:rPr>
                <w:color w:val="000000"/>
                <w:sz w:val="20"/>
                <w:szCs w:val="20"/>
                <w:highlight w:val="white"/>
              </w:rPr>
              <w:t>0%</w:t>
            </w:r>
          </w:p>
        </w:tc>
        <w:tc>
          <w:tcPr>
            <w:tcW w:w="421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ABEA1C8" w14:textId="77777777" w:rsidR="000E5CD4" w:rsidRDefault="00000000">
            <w:pPr>
              <w:rPr>
                <w:rFonts w:ascii="Times New Roman" w:eastAsia="Times New Roman" w:hAnsi="Times New Roman" w:cs="Times New Roman"/>
              </w:rPr>
            </w:pPr>
            <w:r>
              <w:rPr>
                <w:color w:val="000000"/>
                <w:sz w:val="20"/>
                <w:szCs w:val="20"/>
                <w:highlight w:val="white"/>
              </w:rPr>
              <w:t>The average control households decreased their consumption and change for treatment households was not statistically significant.</w:t>
            </w:r>
          </w:p>
        </w:tc>
      </w:tr>
      <w:tr w:rsidR="000E5CD4" w14:paraId="436ACB42" w14:textId="77777777">
        <w:trPr>
          <w:trHeight w:val="320"/>
        </w:trPr>
        <w:tc>
          <w:tcPr>
            <w:tcW w:w="316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2D6309D" w14:textId="5AF780E7" w:rsidR="000E5CD4" w:rsidRDefault="00000000">
            <w:pPr>
              <w:rPr>
                <w:rFonts w:ascii="Times New Roman" w:eastAsia="Times New Roman" w:hAnsi="Times New Roman" w:cs="Times New Roman"/>
              </w:rPr>
            </w:pPr>
            <w:r>
              <w:rPr>
                <w:color w:val="000000"/>
                <w:sz w:val="20"/>
                <w:szCs w:val="20"/>
              </w:rPr>
              <w:t>The Effects of Fuel-Efficient Cookstoves on Fuel Use,</w:t>
            </w:r>
            <w:r>
              <w:rPr>
                <w:color w:val="000000"/>
                <w:sz w:val="20"/>
                <w:szCs w:val="20"/>
              </w:rPr>
              <w:br/>
              <w:t>Particulate Matter, and Cooking Practices: Results from a</w:t>
            </w:r>
            <w:r>
              <w:rPr>
                <w:color w:val="000000"/>
                <w:sz w:val="20"/>
                <w:szCs w:val="20"/>
              </w:rPr>
              <w:br/>
              <w:t>Randomized Trial in Rural Uganda</w:t>
            </w:r>
            <w:r>
              <w:fldChar w:fldCharType="begin"/>
            </w:r>
            <w:r w:rsidR="003C3E9E">
              <w:instrText xml:space="preserve"> ADDIN ZOTERO_ITEM CSL_CITATION {"citationID":"UTwGIInQ","properties":{"formattedCitation":"\\super 11\\nosupersub{}","plainCitation":"11","noteIndex":0},"citationItems":[{"id":129,"uris":["http://zotero.org/users/9292969/items/F9VJPJGK"],"itemData":{"id":129,"type":"article-journal","container-title":"UC Berkeley: Center for Effective Global Action","title":"The Effects of Fuel-Efficient Cookstoves on Fuel Use, Particulate Matter, and Cooking Practices: Results from a Randomized Trial in Rural Uganda","URL":"https://escholarship.org/uc/item/365778pn","author":[{"family":"Beltramo","given":"T."},{"family":"Blalock","given":"G."},{"family":"Harrell","given":"S."},{"family":"Levine","given":"D."},{"family":"Simons","given":"A.M."}],"issued":{"date-parts":[["2019"]]}}}],"schema":"https://github.com/citation-style-language/schema/raw/master/csl-citation.json"} </w:instrText>
            </w:r>
            <w:r>
              <w:fldChar w:fldCharType="separate"/>
            </w:r>
            <w:r w:rsidR="003C3E9E" w:rsidRPr="003C3E9E">
              <w:rPr>
                <w:vertAlign w:val="superscript"/>
              </w:rPr>
              <w:t>11</w:t>
            </w:r>
            <w:r>
              <w:rPr>
                <w:color w:val="000000"/>
                <w:sz w:val="20"/>
                <w:szCs w:val="20"/>
              </w:rPr>
              <w:fldChar w:fldCharType="end"/>
            </w:r>
          </w:p>
        </w:tc>
        <w:tc>
          <w:tcPr>
            <w:tcW w:w="94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E13E6C1" w14:textId="77777777" w:rsidR="000E5CD4" w:rsidRDefault="00000000">
            <w:pPr>
              <w:rPr>
                <w:rFonts w:ascii="Times New Roman" w:eastAsia="Times New Roman" w:hAnsi="Times New Roman" w:cs="Times New Roman"/>
              </w:rPr>
            </w:pPr>
            <w:r>
              <w:rPr>
                <w:color w:val="000000"/>
                <w:sz w:val="20"/>
                <w:szCs w:val="20"/>
                <w:highlight w:val="white"/>
              </w:rPr>
              <w:t>Uganda</w:t>
            </w:r>
          </w:p>
        </w:tc>
        <w:tc>
          <w:tcPr>
            <w:tcW w:w="102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C884D48" w14:textId="77777777" w:rsidR="000E5CD4" w:rsidRDefault="00000000">
            <w:pPr>
              <w:rPr>
                <w:rFonts w:ascii="Times New Roman" w:eastAsia="Times New Roman" w:hAnsi="Times New Roman" w:cs="Times New Roman"/>
              </w:rPr>
            </w:pPr>
            <w:r>
              <w:rPr>
                <w:color w:val="000000"/>
                <w:sz w:val="20"/>
                <w:szCs w:val="20"/>
                <w:highlight w:val="white"/>
              </w:rPr>
              <w:t>33%</w:t>
            </w:r>
          </w:p>
        </w:tc>
        <w:tc>
          <w:tcPr>
            <w:tcW w:w="421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409B4D3" w14:textId="77777777" w:rsidR="000E5CD4" w:rsidRDefault="00000000">
            <w:pPr>
              <w:rPr>
                <w:rFonts w:ascii="Times New Roman" w:eastAsia="Times New Roman" w:hAnsi="Times New Roman" w:cs="Times New Roman"/>
              </w:rPr>
            </w:pPr>
            <w:r>
              <w:rPr>
                <w:color w:val="000000"/>
                <w:sz w:val="20"/>
                <w:szCs w:val="20"/>
                <w:highlight w:val="white"/>
              </w:rPr>
              <w:t>Control households used approximately 9.3 kg of daily wood, but in the follow up the value was 12.40 kg/day. </w:t>
            </w:r>
          </w:p>
        </w:tc>
      </w:tr>
    </w:tbl>
    <w:p w14:paraId="73047D30" w14:textId="77777777" w:rsidR="000E5CD4" w:rsidRDefault="000E5CD4">
      <w:pPr>
        <w:rPr>
          <w:rFonts w:ascii="Times New Roman" w:eastAsia="Times New Roman" w:hAnsi="Times New Roman" w:cs="Times New Roman"/>
        </w:rPr>
      </w:pPr>
    </w:p>
    <w:p w14:paraId="0E438EF4" w14:textId="77777777" w:rsidR="000E5CD4" w:rsidRDefault="00000000">
      <w:pPr>
        <w:rPr>
          <w:rFonts w:ascii="Times New Roman" w:eastAsia="Times New Roman" w:hAnsi="Times New Roman" w:cs="Times New Roman"/>
        </w:rPr>
      </w:pPr>
      <w:r>
        <w:rPr>
          <w:b/>
          <w:color w:val="000000"/>
          <w:sz w:val="20"/>
          <w:szCs w:val="20"/>
          <w:highlight w:val="white"/>
        </w:rPr>
        <w:t xml:space="preserve">Leakage Investigation from </w:t>
      </w:r>
      <w:r>
        <w:rPr>
          <w:b/>
          <w:sz w:val="20"/>
          <w:szCs w:val="20"/>
          <w:highlight w:val="white"/>
        </w:rPr>
        <w:t>p</w:t>
      </w:r>
      <w:r>
        <w:rPr>
          <w:b/>
          <w:color w:val="000000"/>
          <w:sz w:val="20"/>
          <w:szCs w:val="20"/>
          <w:highlight w:val="white"/>
        </w:rPr>
        <w:t>rojects</w:t>
      </w:r>
    </w:p>
    <w:p w14:paraId="50CFEB80" w14:textId="77777777" w:rsidR="000E5CD4" w:rsidRDefault="000E5CD4">
      <w:pPr>
        <w:rPr>
          <w:rFonts w:ascii="Times New Roman" w:eastAsia="Times New Roman" w:hAnsi="Times New Roman" w:cs="Times New Roman"/>
        </w:rPr>
      </w:pPr>
    </w:p>
    <w:p w14:paraId="538A6491" w14:textId="77777777" w:rsidR="000E5CD4" w:rsidRDefault="00000000">
      <w:pPr>
        <w:keepNext/>
        <w:pBdr>
          <w:top w:val="nil"/>
          <w:left w:val="nil"/>
          <w:bottom w:val="nil"/>
          <w:right w:val="nil"/>
          <w:between w:val="nil"/>
        </w:pBdr>
        <w:spacing w:after="200"/>
        <w:rPr>
          <w:i/>
          <w:color w:val="44546A"/>
          <w:sz w:val="18"/>
          <w:szCs w:val="18"/>
        </w:rPr>
      </w:pPr>
      <w:r>
        <w:rPr>
          <w:i/>
          <w:color w:val="44546A"/>
          <w:sz w:val="18"/>
          <w:szCs w:val="18"/>
        </w:rPr>
        <w:t xml:space="preserve">Table S 7. Percentage of leakage from projects tracking leakage </w:t>
      </w:r>
    </w:p>
    <w:tbl>
      <w:tblPr>
        <w:tblStyle w:val="a5"/>
        <w:tblW w:w="4740" w:type="dxa"/>
        <w:tblInd w:w="-115" w:type="dxa"/>
        <w:tblLayout w:type="fixed"/>
        <w:tblLook w:val="0400" w:firstRow="0" w:lastRow="0" w:firstColumn="0" w:lastColumn="0" w:noHBand="0" w:noVBand="1"/>
      </w:tblPr>
      <w:tblGrid>
        <w:gridCol w:w="1050"/>
        <w:gridCol w:w="1650"/>
        <w:gridCol w:w="2040"/>
      </w:tblGrid>
      <w:tr w:rsidR="000E5CD4" w14:paraId="4D078D26"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F40EB0F" w14:textId="77777777" w:rsidR="000E5CD4" w:rsidRDefault="00000000">
            <w:pPr>
              <w:rPr>
                <w:rFonts w:ascii="Times New Roman" w:eastAsia="Times New Roman" w:hAnsi="Times New Roman" w:cs="Times New Roman"/>
              </w:rPr>
            </w:pPr>
            <w:r>
              <w:rPr>
                <w:b/>
                <w:color w:val="000000"/>
                <w:sz w:val="20"/>
                <w:szCs w:val="20"/>
                <w:highlight w:val="white"/>
              </w:rPr>
              <w:t>Project ID</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8869D3A" w14:textId="77777777" w:rsidR="000E5CD4" w:rsidRDefault="00000000">
            <w:pPr>
              <w:rPr>
                <w:rFonts w:ascii="Times New Roman" w:eastAsia="Times New Roman" w:hAnsi="Times New Roman" w:cs="Times New Roman"/>
              </w:rPr>
            </w:pPr>
            <w:r>
              <w:rPr>
                <w:b/>
                <w:color w:val="000000"/>
                <w:sz w:val="20"/>
                <w:szCs w:val="20"/>
                <w:highlight w:val="white"/>
              </w:rPr>
              <w:t>Location</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F4AA0CC" w14:textId="77777777" w:rsidR="000E5CD4" w:rsidRDefault="00000000">
            <w:pPr>
              <w:rPr>
                <w:rFonts w:ascii="Times New Roman" w:eastAsia="Times New Roman" w:hAnsi="Times New Roman" w:cs="Times New Roman"/>
              </w:rPr>
            </w:pPr>
            <w:r>
              <w:rPr>
                <w:b/>
                <w:color w:val="000000"/>
                <w:sz w:val="20"/>
                <w:szCs w:val="20"/>
                <w:highlight w:val="white"/>
              </w:rPr>
              <w:t>Value</w:t>
            </w:r>
          </w:p>
        </w:tc>
      </w:tr>
      <w:tr w:rsidR="000E5CD4" w14:paraId="36B9CAFD"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5BEB8E2" w14:textId="77777777" w:rsidR="000E5CD4" w:rsidRDefault="00000000">
            <w:pPr>
              <w:rPr>
                <w:rFonts w:ascii="Times New Roman" w:eastAsia="Times New Roman" w:hAnsi="Times New Roman" w:cs="Times New Roman"/>
              </w:rPr>
            </w:pPr>
            <w:r>
              <w:rPr>
                <w:color w:val="000000"/>
                <w:sz w:val="20"/>
                <w:szCs w:val="20"/>
                <w:highlight w:val="white"/>
              </w:rPr>
              <w:t>GS 7437</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0C773EA" w14:textId="77777777" w:rsidR="000E5CD4" w:rsidRDefault="00000000">
            <w:pPr>
              <w:rPr>
                <w:rFonts w:ascii="Times New Roman" w:eastAsia="Times New Roman" w:hAnsi="Times New Roman" w:cs="Times New Roman"/>
              </w:rPr>
            </w:pPr>
            <w:r>
              <w:rPr>
                <w:color w:val="000000"/>
                <w:sz w:val="20"/>
                <w:szCs w:val="20"/>
                <w:highlight w:val="white"/>
              </w:rPr>
              <w:t>Ethiopia</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EB6D298" w14:textId="77777777" w:rsidR="000E5CD4" w:rsidRDefault="00000000">
            <w:pPr>
              <w:rPr>
                <w:rFonts w:ascii="Times New Roman" w:eastAsia="Times New Roman" w:hAnsi="Times New Roman" w:cs="Times New Roman"/>
              </w:rPr>
            </w:pPr>
            <w:r>
              <w:rPr>
                <w:color w:val="000000"/>
                <w:sz w:val="20"/>
                <w:szCs w:val="20"/>
                <w:highlight w:val="white"/>
              </w:rPr>
              <w:t>0%</w:t>
            </w:r>
          </w:p>
        </w:tc>
      </w:tr>
      <w:tr w:rsidR="000E5CD4" w14:paraId="58282D03"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0AD277A" w14:textId="77777777" w:rsidR="000E5CD4" w:rsidRDefault="00000000">
            <w:pPr>
              <w:rPr>
                <w:rFonts w:ascii="Times New Roman" w:eastAsia="Times New Roman" w:hAnsi="Times New Roman" w:cs="Times New Roman"/>
              </w:rPr>
            </w:pPr>
            <w:r>
              <w:rPr>
                <w:color w:val="000000"/>
                <w:sz w:val="20"/>
                <w:szCs w:val="20"/>
                <w:highlight w:val="white"/>
              </w:rPr>
              <w:t>GS 5463</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DD02572" w14:textId="77777777" w:rsidR="000E5CD4" w:rsidRDefault="00000000">
            <w:pPr>
              <w:rPr>
                <w:rFonts w:ascii="Times New Roman" w:eastAsia="Times New Roman" w:hAnsi="Times New Roman" w:cs="Times New Roman"/>
              </w:rPr>
            </w:pPr>
            <w:r>
              <w:rPr>
                <w:color w:val="000000"/>
                <w:sz w:val="20"/>
                <w:szCs w:val="20"/>
                <w:highlight w:val="white"/>
              </w:rPr>
              <w:t>Ethiopia</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539741D" w14:textId="77777777" w:rsidR="000E5CD4" w:rsidRDefault="00000000">
            <w:pPr>
              <w:rPr>
                <w:rFonts w:ascii="Times New Roman" w:eastAsia="Times New Roman" w:hAnsi="Times New Roman" w:cs="Times New Roman"/>
              </w:rPr>
            </w:pPr>
            <w:r>
              <w:rPr>
                <w:color w:val="000000"/>
                <w:sz w:val="20"/>
                <w:szCs w:val="20"/>
                <w:highlight w:val="white"/>
              </w:rPr>
              <w:t>0%</w:t>
            </w:r>
          </w:p>
        </w:tc>
      </w:tr>
      <w:tr w:rsidR="000E5CD4" w14:paraId="05330F64"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853B9F0" w14:textId="77777777" w:rsidR="000E5CD4" w:rsidRDefault="00000000">
            <w:pPr>
              <w:rPr>
                <w:rFonts w:ascii="Times New Roman" w:eastAsia="Times New Roman" w:hAnsi="Times New Roman" w:cs="Times New Roman"/>
              </w:rPr>
            </w:pPr>
            <w:r>
              <w:rPr>
                <w:color w:val="000000"/>
                <w:sz w:val="20"/>
                <w:szCs w:val="20"/>
                <w:highlight w:val="white"/>
              </w:rPr>
              <w:t>GS 407</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F10EA9A" w14:textId="77777777" w:rsidR="000E5CD4" w:rsidRDefault="00000000">
            <w:pPr>
              <w:rPr>
                <w:rFonts w:ascii="Times New Roman" w:eastAsia="Times New Roman" w:hAnsi="Times New Roman" w:cs="Times New Roman"/>
              </w:rPr>
            </w:pPr>
            <w:r>
              <w:rPr>
                <w:color w:val="000000"/>
                <w:sz w:val="20"/>
                <w:szCs w:val="20"/>
                <w:highlight w:val="white"/>
              </w:rPr>
              <w:t>Ghana</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704FB8D" w14:textId="77777777" w:rsidR="000E5CD4" w:rsidRDefault="00000000">
            <w:pPr>
              <w:rPr>
                <w:rFonts w:ascii="Times New Roman" w:eastAsia="Times New Roman" w:hAnsi="Times New Roman" w:cs="Times New Roman"/>
              </w:rPr>
            </w:pPr>
            <w:r>
              <w:rPr>
                <w:color w:val="000000"/>
                <w:sz w:val="20"/>
                <w:szCs w:val="20"/>
                <w:highlight w:val="white"/>
              </w:rPr>
              <w:t>1%</w:t>
            </w:r>
          </w:p>
        </w:tc>
      </w:tr>
      <w:tr w:rsidR="000E5CD4" w14:paraId="075A9667"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2E22787" w14:textId="77777777" w:rsidR="000E5CD4" w:rsidRDefault="00000000">
            <w:pPr>
              <w:rPr>
                <w:rFonts w:ascii="Times New Roman" w:eastAsia="Times New Roman" w:hAnsi="Times New Roman" w:cs="Times New Roman"/>
              </w:rPr>
            </w:pPr>
            <w:r>
              <w:rPr>
                <w:color w:val="000000"/>
                <w:sz w:val="20"/>
                <w:szCs w:val="20"/>
                <w:highlight w:val="white"/>
              </w:rPr>
              <w:t>GS 10457</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913225D" w14:textId="77777777" w:rsidR="000E5CD4" w:rsidRDefault="00000000">
            <w:pPr>
              <w:rPr>
                <w:rFonts w:ascii="Times New Roman" w:eastAsia="Times New Roman" w:hAnsi="Times New Roman" w:cs="Times New Roman"/>
              </w:rPr>
            </w:pPr>
            <w:r>
              <w:rPr>
                <w:color w:val="000000"/>
                <w:sz w:val="20"/>
                <w:szCs w:val="20"/>
                <w:highlight w:val="white"/>
              </w:rPr>
              <w:t>Guatemala</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E1A05BA" w14:textId="77777777" w:rsidR="000E5CD4" w:rsidRDefault="00000000">
            <w:pPr>
              <w:rPr>
                <w:rFonts w:ascii="Times New Roman" w:eastAsia="Times New Roman" w:hAnsi="Times New Roman" w:cs="Times New Roman"/>
              </w:rPr>
            </w:pPr>
            <w:r>
              <w:rPr>
                <w:color w:val="000000"/>
                <w:sz w:val="20"/>
                <w:szCs w:val="20"/>
                <w:highlight w:val="white"/>
              </w:rPr>
              <w:t>5%</w:t>
            </w:r>
          </w:p>
        </w:tc>
      </w:tr>
      <w:tr w:rsidR="000E5CD4" w14:paraId="0D162877"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9489B20" w14:textId="77777777" w:rsidR="000E5CD4" w:rsidRDefault="00000000">
            <w:pPr>
              <w:rPr>
                <w:rFonts w:ascii="Times New Roman" w:eastAsia="Times New Roman" w:hAnsi="Times New Roman" w:cs="Times New Roman"/>
              </w:rPr>
            </w:pPr>
            <w:r>
              <w:rPr>
                <w:color w:val="000000"/>
                <w:sz w:val="20"/>
                <w:szCs w:val="20"/>
                <w:highlight w:val="white"/>
              </w:rPr>
              <w:t>GS 2439</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173ECD3" w14:textId="77777777" w:rsidR="000E5CD4" w:rsidRDefault="00000000">
            <w:pPr>
              <w:rPr>
                <w:rFonts w:ascii="Times New Roman" w:eastAsia="Times New Roman" w:hAnsi="Times New Roman" w:cs="Times New Roman"/>
              </w:rPr>
            </w:pPr>
            <w:r>
              <w:rPr>
                <w:color w:val="000000"/>
                <w:sz w:val="20"/>
                <w:szCs w:val="20"/>
                <w:highlight w:val="white"/>
              </w:rPr>
              <w:t>Guatemala</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7511818" w14:textId="77777777" w:rsidR="000E5CD4" w:rsidRDefault="00000000">
            <w:pPr>
              <w:rPr>
                <w:rFonts w:ascii="Times New Roman" w:eastAsia="Times New Roman" w:hAnsi="Times New Roman" w:cs="Times New Roman"/>
              </w:rPr>
            </w:pPr>
            <w:r>
              <w:rPr>
                <w:color w:val="000000"/>
                <w:sz w:val="20"/>
                <w:szCs w:val="20"/>
                <w:highlight w:val="white"/>
              </w:rPr>
              <w:t>0%</w:t>
            </w:r>
          </w:p>
        </w:tc>
      </w:tr>
      <w:tr w:rsidR="000E5CD4" w14:paraId="0255081E"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61B053E" w14:textId="77777777" w:rsidR="000E5CD4" w:rsidRDefault="00000000">
            <w:pPr>
              <w:rPr>
                <w:rFonts w:ascii="Times New Roman" w:eastAsia="Times New Roman" w:hAnsi="Times New Roman" w:cs="Times New Roman"/>
              </w:rPr>
            </w:pPr>
            <w:r>
              <w:rPr>
                <w:color w:val="000000"/>
                <w:sz w:val="20"/>
                <w:szCs w:val="20"/>
                <w:highlight w:val="white"/>
              </w:rPr>
              <w:t>GS 2564</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5A4F536" w14:textId="77777777" w:rsidR="000E5CD4" w:rsidRDefault="00000000">
            <w:pPr>
              <w:rPr>
                <w:rFonts w:ascii="Times New Roman" w:eastAsia="Times New Roman" w:hAnsi="Times New Roman" w:cs="Times New Roman"/>
              </w:rPr>
            </w:pPr>
            <w:r>
              <w:rPr>
                <w:color w:val="000000"/>
                <w:sz w:val="20"/>
                <w:szCs w:val="20"/>
                <w:highlight w:val="white"/>
              </w:rPr>
              <w:t>Haiti</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46002B7" w14:textId="77777777" w:rsidR="000E5CD4" w:rsidRDefault="00000000">
            <w:pPr>
              <w:rPr>
                <w:rFonts w:ascii="Times New Roman" w:eastAsia="Times New Roman" w:hAnsi="Times New Roman" w:cs="Times New Roman"/>
              </w:rPr>
            </w:pPr>
            <w:r>
              <w:rPr>
                <w:color w:val="000000"/>
                <w:sz w:val="20"/>
                <w:szCs w:val="20"/>
                <w:highlight w:val="white"/>
              </w:rPr>
              <w:t>0%</w:t>
            </w:r>
          </w:p>
        </w:tc>
      </w:tr>
      <w:tr w:rsidR="000E5CD4" w14:paraId="52E48651"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3250E04" w14:textId="77777777" w:rsidR="000E5CD4" w:rsidRDefault="00000000">
            <w:pPr>
              <w:rPr>
                <w:rFonts w:ascii="Times New Roman" w:eastAsia="Times New Roman" w:hAnsi="Times New Roman" w:cs="Times New Roman"/>
              </w:rPr>
            </w:pPr>
            <w:r>
              <w:rPr>
                <w:color w:val="000000"/>
                <w:sz w:val="20"/>
                <w:szCs w:val="20"/>
                <w:highlight w:val="white"/>
              </w:rPr>
              <w:t>GS 1988</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F975BE4" w14:textId="77777777" w:rsidR="000E5CD4" w:rsidRDefault="00000000">
            <w:pPr>
              <w:rPr>
                <w:rFonts w:ascii="Times New Roman" w:eastAsia="Times New Roman" w:hAnsi="Times New Roman" w:cs="Times New Roman"/>
              </w:rPr>
            </w:pPr>
            <w:r>
              <w:rPr>
                <w:color w:val="000000"/>
                <w:sz w:val="20"/>
                <w:szCs w:val="20"/>
                <w:highlight w:val="white"/>
              </w:rPr>
              <w:t>Honduras</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CACF94B" w14:textId="77777777" w:rsidR="000E5CD4" w:rsidRDefault="00000000">
            <w:pPr>
              <w:rPr>
                <w:rFonts w:ascii="Times New Roman" w:eastAsia="Times New Roman" w:hAnsi="Times New Roman" w:cs="Times New Roman"/>
              </w:rPr>
            </w:pPr>
            <w:r>
              <w:rPr>
                <w:color w:val="000000"/>
                <w:sz w:val="20"/>
                <w:szCs w:val="20"/>
                <w:highlight w:val="white"/>
              </w:rPr>
              <w:t>5%</w:t>
            </w:r>
          </w:p>
        </w:tc>
      </w:tr>
      <w:tr w:rsidR="000E5CD4" w14:paraId="60A6BF52"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401A3A0" w14:textId="77777777" w:rsidR="000E5CD4" w:rsidRDefault="00000000">
            <w:pPr>
              <w:rPr>
                <w:rFonts w:ascii="Times New Roman" w:eastAsia="Times New Roman" w:hAnsi="Times New Roman" w:cs="Times New Roman"/>
              </w:rPr>
            </w:pPr>
            <w:r>
              <w:rPr>
                <w:color w:val="000000"/>
                <w:sz w:val="20"/>
                <w:szCs w:val="20"/>
                <w:highlight w:val="white"/>
              </w:rPr>
              <w:t>GS 2758</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DEEEE90" w14:textId="77777777" w:rsidR="000E5CD4" w:rsidRDefault="00000000">
            <w:pPr>
              <w:rPr>
                <w:rFonts w:ascii="Times New Roman" w:eastAsia="Times New Roman" w:hAnsi="Times New Roman" w:cs="Times New Roman"/>
              </w:rPr>
            </w:pPr>
            <w:r>
              <w:rPr>
                <w:color w:val="000000"/>
                <w:sz w:val="20"/>
                <w:szCs w:val="20"/>
                <w:highlight w:val="white"/>
              </w:rPr>
              <w:t>Honduras</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243086C" w14:textId="77777777" w:rsidR="000E5CD4" w:rsidRDefault="00000000">
            <w:pPr>
              <w:rPr>
                <w:rFonts w:ascii="Times New Roman" w:eastAsia="Times New Roman" w:hAnsi="Times New Roman" w:cs="Times New Roman"/>
              </w:rPr>
            </w:pPr>
            <w:r>
              <w:rPr>
                <w:color w:val="000000"/>
                <w:sz w:val="20"/>
                <w:szCs w:val="20"/>
                <w:highlight w:val="white"/>
              </w:rPr>
              <w:t>1%</w:t>
            </w:r>
          </w:p>
        </w:tc>
      </w:tr>
      <w:tr w:rsidR="000E5CD4" w14:paraId="34C023A2"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8068D72" w14:textId="77777777" w:rsidR="000E5CD4" w:rsidRDefault="00000000">
            <w:pPr>
              <w:rPr>
                <w:rFonts w:ascii="Times New Roman" w:eastAsia="Times New Roman" w:hAnsi="Times New Roman" w:cs="Times New Roman"/>
              </w:rPr>
            </w:pPr>
            <w:r>
              <w:rPr>
                <w:color w:val="000000"/>
                <w:sz w:val="20"/>
                <w:szCs w:val="20"/>
                <w:highlight w:val="white"/>
              </w:rPr>
              <w:t>GS 2440</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E6D4B65" w14:textId="77777777" w:rsidR="000E5CD4" w:rsidRDefault="00000000">
            <w:pPr>
              <w:rPr>
                <w:rFonts w:ascii="Times New Roman" w:eastAsia="Times New Roman" w:hAnsi="Times New Roman" w:cs="Times New Roman"/>
              </w:rPr>
            </w:pPr>
            <w:r>
              <w:rPr>
                <w:color w:val="000000"/>
                <w:sz w:val="20"/>
                <w:szCs w:val="20"/>
                <w:highlight w:val="white"/>
              </w:rPr>
              <w:t>Honduras</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1F23AA2" w14:textId="77777777" w:rsidR="000E5CD4" w:rsidRDefault="00000000">
            <w:pPr>
              <w:rPr>
                <w:rFonts w:ascii="Times New Roman" w:eastAsia="Times New Roman" w:hAnsi="Times New Roman" w:cs="Times New Roman"/>
              </w:rPr>
            </w:pPr>
            <w:r>
              <w:rPr>
                <w:color w:val="000000"/>
                <w:sz w:val="20"/>
                <w:szCs w:val="20"/>
                <w:highlight w:val="white"/>
              </w:rPr>
              <w:t>0%</w:t>
            </w:r>
          </w:p>
        </w:tc>
      </w:tr>
      <w:tr w:rsidR="000E5CD4" w14:paraId="17F9CF09"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A23BBF8" w14:textId="77777777" w:rsidR="000E5CD4" w:rsidRDefault="00000000">
            <w:pPr>
              <w:rPr>
                <w:rFonts w:ascii="Times New Roman" w:eastAsia="Times New Roman" w:hAnsi="Times New Roman" w:cs="Times New Roman"/>
              </w:rPr>
            </w:pPr>
            <w:r>
              <w:rPr>
                <w:color w:val="000000"/>
                <w:sz w:val="20"/>
                <w:szCs w:val="20"/>
                <w:highlight w:val="white"/>
              </w:rPr>
              <w:t>GS 690</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7EEE2D2" w14:textId="77777777" w:rsidR="000E5CD4" w:rsidRDefault="00000000">
            <w:pPr>
              <w:rPr>
                <w:rFonts w:ascii="Times New Roman" w:eastAsia="Times New Roman" w:hAnsi="Times New Roman" w:cs="Times New Roman"/>
              </w:rPr>
            </w:pPr>
            <w:r>
              <w:rPr>
                <w:color w:val="000000"/>
                <w:sz w:val="20"/>
                <w:szCs w:val="20"/>
                <w:highlight w:val="white"/>
              </w:rPr>
              <w:t>Honduras</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280884E" w14:textId="77777777" w:rsidR="000E5CD4" w:rsidRDefault="00000000">
            <w:pPr>
              <w:rPr>
                <w:rFonts w:ascii="Times New Roman" w:eastAsia="Times New Roman" w:hAnsi="Times New Roman" w:cs="Times New Roman"/>
              </w:rPr>
            </w:pPr>
            <w:r>
              <w:rPr>
                <w:color w:val="000000"/>
                <w:sz w:val="20"/>
                <w:szCs w:val="20"/>
                <w:highlight w:val="white"/>
              </w:rPr>
              <w:t>5%</w:t>
            </w:r>
          </w:p>
        </w:tc>
      </w:tr>
      <w:tr w:rsidR="000E5CD4" w14:paraId="71B98CCF"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58856AC" w14:textId="77777777" w:rsidR="000E5CD4" w:rsidRDefault="00000000">
            <w:pPr>
              <w:rPr>
                <w:rFonts w:ascii="Times New Roman" w:eastAsia="Times New Roman" w:hAnsi="Times New Roman" w:cs="Times New Roman"/>
              </w:rPr>
            </w:pPr>
            <w:r>
              <w:rPr>
                <w:color w:val="000000"/>
                <w:sz w:val="20"/>
                <w:szCs w:val="20"/>
                <w:highlight w:val="white"/>
              </w:rPr>
              <w:t>GS 4270</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A72037D" w14:textId="77777777" w:rsidR="000E5CD4" w:rsidRDefault="00000000">
            <w:pPr>
              <w:rPr>
                <w:rFonts w:ascii="Times New Roman" w:eastAsia="Times New Roman" w:hAnsi="Times New Roman" w:cs="Times New Roman"/>
              </w:rPr>
            </w:pPr>
            <w:r>
              <w:rPr>
                <w:color w:val="000000"/>
                <w:sz w:val="20"/>
                <w:szCs w:val="20"/>
                <w:highlight w:val="white"/>
              </w:rPr>
              <w:t>India</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2FCA7AE" w14:textId="77777777" w:rsidR="000E5CD4" w:rsidRDefault="00000000">
            <w:pPr>
              <w:rPr>
                <w:rFonts w:ascii="Times New Roman" w:eastAsia="Times New Roman" w:hAnsi="Times New Roman" w:cs="Times New Roman"/>
              </w:rPr>
            </w:pPr>
            <w:r>
              <w:rPr>
                <w:color w:val="000000"/>
                <w:sz w:val="20"/>
                <w:szCs w:val="20"/>
                <w:highlight w:val="white"/>
              </w:rPr>
              <w:t>0%</w:t>
            </w:r>
          </w:p>
        </w:tc>
      </w:tr>
      <w:tr w:rsidR="000E5CD4" w14:paraId="02EB5AD6"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65BCFCA" w14:textId="77777777" w:rsidR="000E5CD4" w:rsidRDefault="00000000">
            <w:pPr>
              <w:rPr>
                <w:rFonts w:ascii="Times New Roman" w:eastAsia="Times New Roman" w:hAnsi="Times New Roman" w:cs="Times New Roman"/>
              </w:rPr>
            </w:pPr>
            <w:r>
              <w:rPr>
                <w:color w:val="000000"/>
                <w:sz w:val="20"/>
                <w:szCs w:val="20"/>
                <w:highlight w:val="white"/>
              </w:rPr>
              <w:t>GS 879</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B3F7C7B" w14:textId="77777777" w:rsidR="000E5CD4" w:rsidRDefault="00000000">
            <w:pPr>
              <w:rPr>
                <w:rFonts w:ascii="Times New Roman" w:eastAsia="Times New Roman" w:hAnsi="Times New Roman" w:cs="Times New Roman"/>
              </w:rPr>
            </w:pPr>
            <w:r>
              <w:rPr>
                <w:color w:val="000000"/>
                <w:sz w:val="20"/>
                <w:szCs w:val="20"/>
                <w:highlight w:val="white"/>
              </w:rPr>
              <w:t>Kenya</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D975D84" w14:textId="77777777" w:rsidR="000E5CD4" w:rsidRDefault="00000000">
            <w:pPr>
              <w:rPr>
                <w:rFonts w:ascii="Times New Roman" w:eastAsia="Times New Roman" w:hAnsi="Times New Roman" w:cs="Times New Roman"/>
              </w:rPr>
            </w:pPr>
            <w:r>
              <w:rPr>
                <w:color w:val="000000"/>
                <w:sz w:val="20"/>
                <w:szCs w:val="20"/>
                <w:highlight w:val="white"/>
              </w:rPr>
              <w:t>0%</w:t>
            </w:r>
          </w:p>
        </w:tc>
      </w:tr>
      <w:tr w:rsidR="000E5CD4" w14:paraId="00FD7222"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A087AF8" w14:textId="77777777" w:rsidR="000E5CD4" w:rsidRDefault="00000000">
            <w:pPr>
              <w:rPr>
                <w:rFonts w:ascii="Times New Roman" w:eastAsia="Times New Roman" w:hAnsi="Times New Roman" w:cs="Times New Roman"/>
              </w:rPr>
            </w:pPr>
            <w:r>
              <w:rPr>
                <w:color w:val="000000"/>
                <w:sz w:val="20"/>
                <w:szCs w:val="20"/>
                <w:highlight w:val="white"/>
              </w:rPr>
              <w:t>GS 769</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2622A8D" w14:textId="77777777" w:rsidR="000E5CD4" w:rsidRDefault="00000000">
            <w:pPr>
              <w:rPr>
                <w:rFonts w:ascii="Times New Roman" w:eastAsia="Times New Roman" w:hAnsi="Times New Roman" w:cs="Times New Roman"/>
              </w:rPr>
            </w:pPr>
            <w:r>
              <w:rPr>
                <w:color w:val="000000"/>
                <w:sz w:val="20"/>
                <w:szCs w:val="20"/>
                <w:highlight w:val="white"/>
              </w:rPr>
              <w:t>Kenya</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B074562" w14:textId="77777777" w:rsidR="000E5CD4" w:rsidRDefault="00000000">
            <w:pPr>
              <w:rPr>
                <w:rFonts w:ascii="Times New Roman" w:eastAsia="Times New Roman" w:hAnsi="Times New Roman" w:cs="Times New Roman"/>
              </w:rPr>
            </w:pPr>
            <w:r>
              <w:rPr>
                <w:color w:val="000000"/>
                <w:sz w:val="20"/>
                <w:szCs w:val="20"/>
                <w:highlight w:val="white"/>
              </w:rPr>
              <w:t>0%</w:t>
            </w:r>
          </w:p>
        </w:tc>
      </w:tr>
      <w:tr w:rsidR="000E5CD4" w14:paraId="2AD77B95"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610384E" w14:textId="77777777" w:rsidR="000E5CD4" w:rsidRDefault="00000000">
            <w:pPr>
              <w:rPr>
                <w:rFonts w:ascii="Times New Roman" w:eastAsia="Times New Roman" w:hAnsi="Times New Roman" w:cs="Times New Roman"/>
              </w:rPr>
            </w:pPr>
            <w:r>
              <w:rPr>
                <w:color w:val="000000"/>
                <w:sz w:val="20"/>
                <w:szCs w:val="20"/>
                <w:highlight w:val="white"/>
              </w:rPr>
              <w:lastRenderedPageBreak/>
              <w:t>GS 5642</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74CB36D" w14:textId="77777777" w:rsidR="000E5CD4" w:rsidRDefault="00000000">
            <w:pPr>
              <w:rPr>
                <w:rFonts w:ascii="Times New Roman" w:eastAsia="Times New Roman" w:hAnsi="Times New Roman" w:cs="Times New Roman"/>
              </w:rPr>
            </w:pPr>
            <w:r>
              <w:rPr>
                <w:color w:val="000000"/>
                <w:sz w:val="20"/>
                <w:szCs w:val="20"/>
                <w:highlight w:val="white"/>
              </w:rPr>
              <w:t>Kenya</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48C0639" w14:textId="77777777" w:rsidR="000E5CD4" w:rsidRDefault="00000000">
            <w:pPr>
              <w:rPr>
                <w:rFonts w:ascii="Times New Roman" w:eastAsia="Times New Roman" w:hAnsi="Times New Roman" w:cs="Times New Roman"/>
              </w:rPr>
            </w:pPr>
            <w:r>
              <w:rPr>
                <w:color w:val="000000"/>
                <w:sz w:val="20"/>
                <w:szCs w:val="20"/>
                <w:highlight w:val="white"/>
              </w:rPr>
              <w:t>0%</w:t>
            </w:r>
          </w:p>
        </w:tc>
      </w:tr>
      <w:tr w:rsidR="000E5CD4" w14:paraId="1E376C66"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7ACCE2C" w14:textId="77777777" w:rsidR="000E5CD4" w:rsidRDefault="00000000">
            <w:pPr>
              <w:rPr>
                <w:rFonts w:ascii="Times New Roman" w:eastAsia="Times New Roman" w:hAnsi="Times New Roman" w:cs="Times New Roman"/>
              </w:rPr>
            </w:pPr>
            <w:r>
              <w:rPr>
                <w:color w:val="000000"/>
                <w:sz w:val="20"/>
                <w:szCs w:val="20"/>
                <w:highlight w:val="white"/>
              </w:rPr>
              <w:t>GS2457</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B6E314F" w14:textId="77777777" w:rsidR="000E5CD4" w:rsidRDefault="00000000">
            <w:pPr>
              <w:rPr>
                <w:rFonts w:ascii="Times New Roman" w:eastAsia="Times New Roman" w:hAnsi="Times New Roman" w:cs="Times New Roman"/>
              </w:rPr>
            </w:pPr>
            <w:r>
              <w:rPr>
                <w:color w:val="000000"/>
                <w:sz w:val="20"/>
                <w:szCs w:val="20"/>
                <w:highlight w:val="white"/>
              </w:rPr>
              <w:t>Kenya</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D667230" w14:textId="77777777" w:rsidR="000E5CD4" w:rsidRDefault="00000000">
            <w:pPr>
              <w:rPr>
                <w:rFonts w:ascii="Times New Roman" w:eastAsia="Times New Roman" w:hAnsi="Times New Roman" w:cs="Times New Roman"/>
              </w:rPr>
            </w:pPr>
            <w:r>
              <w:rPr>
                <w:color w:val="000000"/>
                <w:sz w:val="20"/>
                <w:szCs w:val="20"/>
                <w:highlight w:val="white"/>
              </w:rPr>
              <w:t>0%</w:t>
            </w:r>
          </w:p>
        </w:tc>
      </w:tr>
      <w:tr w:rsidR="000E5CD4" w14:paraId="405D158A"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F4655D4" w14:textId="77777777" w:rsidR="000E5CD4" w:rsidRDefault="00000000">
            <w:pPr>
              <w:rPr>
                <w:rFonts w:ascii="Times New Roman" w:eastAsia="Times New Roman" w:hAnsi="Times New Roman" w:cs="Times New Roman"/>
              </w:rPr>
            </w:pPr>
            <w:r>
              <w:rPr>
                <w:color w:val="000000"/>
                <w:sz w:val="20"/>
                <w:szCs w:val="20"/>
                <w:highlight w:val="white"/>
              </w:rPr>
              <w:t>GS 2898</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8577883" w14:textId="77777777" w:rsidR="000E5CD4" w:rsidRDefault="00000000">
            <w:pPr>
              <w:rPr>
                <w:rFonts w:ascii="Times New Roman" w:eastAsia="Times New Roman" w:hAnsi="Times New Roman" w:cs="Times New Roman"/>
              </w:rPr>
            </w:pPr>
            <w:r>
              <w:rPr>
                <w:color w:val="000000"/>
                <w:sz w:val="20"/>
                <w:szCs w:val="20"/>
                <w:highlight w:val="white"/>
              </w:rPr>
              <w:t>Kenya</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EB712E8" w14:textId="77777777" w:rsidR="000E5CD4" w:rsidRDefault="00000000">
            <w:pPr>
              <w:rPr>
                <w:rFonts w:ascii="Times New Roman" w:eastAsia="Times New Roman" w:hAnsi="Times New Roman" w:cs="Times New Roman"/>
              </w:rPr>
            </w:pPr>
            <w:r>
              <w:rPr>
                <w:color w:val="000000"/>
                <w:sz w:val="20"/>
                <w:szCs w:val="20"/>
                <w:highlight w:val="white"/>
              </w:rPr>
              <w:t>6%</w:t>
            </w:r>
          </w:p>
        </w:tc>
      </w:tr>
      <w:tr w:rsidR="000E5CD4" w14:paraId="3715E57F"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E101F01" w14:textId="77777777" w:rsidR="000E5CD4" w:rsidRDefault="00000000">
            <w:pPr>
              <w:rPr>
                <w:rFonts w:ascii="Times New Roman" w:eastAsia="Times New Roman" w:hAnsi="Times New Roman" w:cs="Times New Roman"/>
              </w:rPr>
            </w:pPr>
            <w:r>
              <w:rPr>
                <w:color w:val="000000"/>
                <w:sz w:val="20"/>
                <w:szCs w:val="20"/>
                <w:highlight w:val="white"/>
              </w:rPr>
              <w:t>GS 3080</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B825B54" w14:textId="77777777" w:rsidR="000E5CD4" w:rsidRDefault="00000000">
            <w:pPr>
              <w:rPr>
                <w:rFonts w:ascii="Times New Roman" w:eastAsia="Times New Roman" w:hAnsi="Times New Roman" w:cs="Times New Roman"/>
              </w:rPr>
            </w:pPr>
            <w:r>
              <w:rPr>
                <w:color w:val="000000"/>
                <w:sz w:val="20"/>
                <w:szCs w:val="20"/>
                <w:highlight w:val="white"/>
              </w:rPr>
              <w:t>Kenya</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2F689EC" w14:textId="77777777" w:rsidR="000E5CD4" w:rsidRDefault="00000000">
            <w:pPr>
              <w:rPr>
                <w:rFonts w:ascii="Times New Roman" w:eastAsia="Times New Roman" w:hAnsi="Times New Roman" w:cs="Times New Roman"/>
              </w:rPr>
            </w:pPr>
            <w:r>
              <w:rPr>
                <w:color w:val="000000"/>
                <w:sz w:val="20"/>
                <w:szCs w:val="20"/>
                <w:highlight w:val="white"/>
              </w:rPr>
              <w:t>0%</w:t>
            </w:r>
          </w:p>
        </w:tc>
      </w:tr>
      <w:tr w:rsidR="000E5CD4" w14:paraId="1C438A10"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E120CE8" w14:textId="77777777" w:rsidR="000E5CD4" w:rsidRDefault="00000000">
            <w:pPr>
              <w:rPr>
                <w:rFonts w:ascii="Times New Roman" w:eastAsia="Times New Roman" w:hAnsi="Times New Roman" w:cs="Times New Roman"/>
              </w:rPr>
            </w:pPr>
            <w:r>
              <w:rPr>
                <w:color w:val="000000"/>
                <w:sz w:val="20"/>
                <w:szCs w:val="20"/>
                <w:highlight w:val="white"/>
              </w:rPr>
              <w:t>GS 3079</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585FCF7" w14:textId="77777777" w:rsidR="000E5CD4" w:rsidRDefault="00000000">
            <w:pPr>
              <w:rPr>
                <w:rFonts w:ascii="Times New Roman" w:eastAsia="Times New Roman" w:hAnsi="Times New Roman" w:cs="Times New Roman"/>
              </w:rPr>
            </w:pPr>
            <w:r>
              <w:rPr>
                <w:color w:val="000000"/>
                <w:sz w:val="20"/>
                <w:szCs w:val="20"/>
                <w:highlight w:val="white"/>
              </w:rPr>
              <w:t>Kenya</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0468405" w14:textId="77777777" w:rsidR="000E5CD4" w:rsidRDefault="00000000">
            <w:pPr>
              <w:rPr>
                <w:rFonts w:ascii="Times New Roman" w:eastAsia="Times New Roman" w:hAnsi="Times New Roman" w:cs="Times New Roman"/>
              </w:rPr>
            </w:pPr>
            <w:r>
              <w:rPr>
                <w:color w:val="000000"/>
                <w:sz w:val="20"/>
                <w:szCs w:val="20"/>
                <w:highlight w:val="white"/>
              </w:rPr>
              <w:t>0%</w:t>
            </w:r>
          </w:p>
        </w:tc>
      </w:tr>
      <w:tr w:rsidR="000E5CD4" w14:paraId="6C512B24"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6143DE9" w14:textId="77777777" w:rsidR="000E5CD4" w:rsidRDefault="00000000">
            <w:pPr>
              <w:rPr>
                <w:rFonts w:ascii="Times New Roman" w:eastAsia="Times New Roman" w:hAnsi="Times New Roman" w:cs="Times New Roman"/>
              </w:rPr>
            </w:pPr>
            <w:r>
              <w:rPr>
                <w:color w:val="000000"/>
                <w:sz w:val="20"/>
                <w:szCs w:val="20"/>
                <w:highlight w:val="white"/>
              </w:rPr>
              <w:t>GS 978</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197F308" w14:textId="77777777" w:rsidR="000E5CD4" w:rsidRDefault="00000000">
            <w:pPr>
              <w:rPr>
                <w:rFonts w:ascii="Times New Roman" w:eastAsia="Times New Roman" w:hAnsi="Times New Roman" w:cs="Times New Roman"/>
              </w:rPr>
            </w:pPr>
            <w:r>
              <w:rPr>
                <w:color w:val="000000"/>
                <w:sz w:val="20"/>
                <w:szCs w:val="20"/>
                <w:highlight w:val="white"/>
              </w:rPr>
              <w:t>Kenya</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D533626" w14:textId="77777777" w:rsidR="000E5CD4" w:rsidRDefault="00000000">
            <w:pPr>
              <w:rPr>
                <w:rFonts w:ascii="Times New Roman" w:eastAsia="Times New Roman" w:hAnsi="Times New Roman" w:cs="Times New Roman"/>
              </w:rPr>
            </w:pPr>
            <w:r>
              <w:rPr>
                <w:color w:val="000000"/>
                <w:sz w:val="20"/>
                <w:szCs w:val="20"/>
                <w:highlight w:val="white"/>
              </w:rPr>
              <w:t>0%</w:t>
            </w:r>
          </w:p>
        </w:tc>
      </w:tr>
      <w:tr w:rsidR="000E5CD4" w14:paraId="16966408"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0F0EE08" w14:textId="77777777" w:rsidR="000E5CD4" w:rsidRDefault="00000000">
            <w:pPr>
              <w:rPr>
                <w:rFonts w:ascii="Times New Roman" w:eastAsia="Times New Roman" w:hAnsi="Times New Roman" w:cs="Times New Roman"/>
              </w:rPr>
            </w:pPr>
            <w:r>
              <w:rPr>
                <w:color w:val="000000"/>
                <w:sz w:val="20"/>
                <w:szCs w:val="20"/>
                <w:highlight w:val="white"/>
              </w:rPr>
              <w:t>GS825</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5E85663" w14:textId="77777777" w:rsidR="000E5CD4" w:rsidRDefault="00000000">
            <w:pPr>
              <w:rPr>
                <w:rFonts w:ascii="Times New Roman" w:eastAsia="Times New Roman" w:hAnsi="Times New Roman" w:cs="Times New Roman"/>
              </w:rPr>
            </w:pPr>
            <w:r>
              <w:rPr>
                <w:color w:val="000000"/>
                <w:sz w:val="20"/>
                <w:szCs w:val="20"/>
                <w:highlight w:val="white"/>
              </w:rPr>
              <w:t>Kenya</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D46F79F" w14:textId="77777777" w:rsidR="000E5CD4" w:rsidRDefault="00000000">
            <w:pPr>
              <w:rPr>
                <w:rFonts w:ascii="Times New Roman" w:eastAsia="Times New Roman" w:hAnsi="Times New Roman" w:cs="Times New Roman"/>
              </w:rPr>
            </w:pPr>
            <w:r>
              <w:rPr>
                <w:color w:val="000000"/>
                <w:sz w:val="20"/>
                <w:szCs w:val="20"/>
                <w:highlight w:val="white"/>
              </w:rPr>
              <w:t>0%</w:t>
            </w:r>
          </w:p>
        </w:tc>
      </w:tr>
      <w:tr w:rsidR="000E5CD4" w14:paraId="512258EA"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2885582" w14:textId="77777777" w:rsidR="000E5CD4" w:rsidRDefault="00000000">
            <w:pPr>
              <w:rPr>
                <w:rFonts w:ascii="Times New Roman" w:eastAsia="Times New Roman" w:hAnsi="Times New Roman" w:cs="Times New Roman"/>
              </w:rPr>
            </w:pPr>
            <w:r>
              <w:rPr>
                <w:color w:val="000000"/>
                <w:sz w:val="20"/>
                <w:szCs w:val="20"/>
                <w:highlight w:val="white"/>
              </w:rPr>
              <w:t>GS 2447</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3452475" w14:textId="77777777" w:rsidR="000E5CD4" w:rsidRDefault="00000000">
            <w:pPr>
              <w:rPr>
                <w:rFonts w:ascii="Times New Roman" w:eastAsia="Times New Roman" w:hAnsi="Times New Roman" w:cs="Times New Roman"/>
              </w:rPr>
            </w:pPr>
            <w:r>
              <w:rPr>
                <w:color w:val="000000"/>
                <w:sz w:val="20"/>
                <w:szCs w:val="20"/>
                <w:highlight w:val="white"/>
              </w:rPr>
              <w:t>Malawi</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E947A3D" w14:textId="77777777" w:rsidR="000E5CD4" w:rsidRDefault="00000000">
            <w:pPr>
              <w:rPr>
                <w:rFonts w:ascii="Times New Roman" w:eastAsia="Times New Roman" w:hAnsi="Times New Roman" w:cs="Times New Roman"/>
              </w:rPr>
            </w:pPr>
            <w:r>
              <w:rPr>
                <w:color w:val="000000"/>
                <w:sz w:val="20"/>
                <w:szCs w:val="20"/>
                <w:highlight w:val="white"/>
              </w:rPr>
              <w:t>7%</w:t>
            </w:r>
          </w:p>
        </w:tc>
      </w:tr>
      <w:tr w:rsidR="000E5CD4" w14:paraId="46E45C04"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DB9F26F" w14:textId="77777777" w:rsidR="000E5CD4" w:rsidRDefault="00000000">
            <w:pPr>
              <w:rPr>
                <w:rFonts w:ascii="Times New Roman" w:eastAsia="Times New Roman" w:hAnsi="Times New Roman" w:cs="Times New Roman"/>
              </w:rPr>
            </w:pPr>
            <w:r>
              <w:rPr>
                <w:color w:val="000000"/>
                <w:sz w:val="20"/>
                <w:szCs w:val="20"/>
                <w:highlight w:val="white"/>
              </w:rPr>
              <w:t>GS 613</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196559A" w14:textId="77777777" w:rsidR="000E5CD4" w:rsidRDefault="00000000">
            <w:pPr>
              <w:rPr>
                <w:rFonts w:ascii="Times New Roman" w:eastAsia="Times New Roman" w:hAnsi="Times New Roman" w:cs="Times New Roman"/>
              </w:rPr>
            </w:pPr>
            <w:r>
              <w:rPr>
                <w:color w:val="000000"/>
                <w:sz w:val="20"/>
                <w:szCs w:val="20"/>
                <w:highlight w:val="white"/>
              </w:rPr>
              <w:t>Malawi</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F5EE784" w14:textId="77777777" w:rsidR="000E5CD4" w:rsidRDefault="00000000">
            <w:pPr>
              <w:rPr>
                <w:rFonts w:ascii="Times New Roman" w:eastAsia="Times New Roman" w:hAnsi="Times New Roman" w:cs="Times New Roman"/>
              </w:rPr>
            </w:pPr>
            <w:r>
              <w:rPr>
                <w:color w:val="000000"/>
                <w:sz w:val="20"/>
                <w:szCs w:val="20"/>
                <w:highlight w:val="white"/>
              </w:rPr>
              <w:t>5%</w:t>
            </w:r>
          </w:p>
        </w:tc>
      </w:tr>
      <w:tr w:rsidR="000E5CD4" w14:paraId="216D4037"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1AACD9C" w14:textId="77777777" w:rsidR="000E5CD4" w:rsidRDefault="00000000">
            <w:pPr>
              <w:rPr>
                <w:rFonts w:ascii="Times New Roman" w:eastAsia="Times New Roman" w:hAnsi="Times New Roman" w:cs="Times New Roman"/>
              </w:rPr>
            </w:pPr>
            <w:r>
              <w:rPr>
                <w:color w:val="000000"/>
                <w:sz w:val="20"/>
                <w:szCs w:val="20"/>
                <w:highlight w:val="white"/>
              </w:rPr>
              <w:t>GS 5003</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09EB070" w14:textId="77777777" w:rsidR="000E5CD4" w:rsidRDefault="00000000">
            <w:pPr>
              <w:rPr>
                <w:rFonts w:ascii="Times New Roman" w:eastAsia="Times New Roman" w:hAnsi="Times New Roman" w:cs="Times New Roman"/>
              </w:rPr>
            </w:pPr>
            <w:r>
              <w:rPr>
                <w:color w:val="000000"/>
                <w:sz w:val="20"/>
                <w:szCs w:val="20"/>
                <w:highlight w:val="white"/>
              </w:rPr>
              <w:t>Mali</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2E39F90" w14:textId="77777777" w:rsidR="000E5CD4" w:rsidRDefault="00000000">
            <w:pPr>
              <w:rPr>
                <w:rFonts w:ascii="Times New Roman" w:eastAsia="Times New Roman" w:hAnsi="Times New Roman" w:cs="Times New Roman"/>
              </w:rPr>
            </w:pPr>
            <w:r>
              <w:rPr>
                <w:color w:val="000000"/>
                <w:sz w:val="20"/>
                <w:szCs w:val="20"/>
                <w:highlight w:val="white"/>
              </w:rPr>
              <w:t>0%</w:t>
            </w:r>
          </w:p>
        </w:tc>
      </w:tr>
      <w:tr w:rsidR="000E5CD4" w14:paraId="6DEEF972"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7453CD8" w14:textId="77777777" w:rsidR="000E5CD4" w:rsidRDefault="00000000">
            <w:pPr>
              <w:rPr>
                <w:rFonts w:ascii="Times New Roman" w:eastAsia="Times New Roman" w:hAnsi="Times New Roman" w:cs="Times New Roman"/>
              </w:rPr>
            </w:pPr>
            <w:r>
              <w:rPr>
                <w:color w:val="000000"/>
                <w:sz w:val="20"/>
                <w:szCs w:val="20"/>
                <w:highlight w:val="white"/>
              </w:rPr>
              <w:t>GS 7783</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63C1385" w14:textId="77777777" w:rsidR="000E5CD4" w:rsidRDefault="00000000">
            <w:pPr>
              <w:rPr>
                <w:rFonts w:ascii="Times New Roman" w:eastAsia="Times New Roman" w:hAnsi="Times New Roman" w:cs="Times New Roman"/>
              </w:rPr>
            </w:pPr>
            <w:r>
              <w:rPr>
                <w:color w:val="000000"/>
                <w:sz w:val="20"/>
                <w:szCs w:val="20"/>
                <w:highlight w:val="white"/>
              </w:rPr>
              <w:t>Mexico</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9C5A245" w14:textId="77777777" w:rsidR="000E5CD4" w:rsidRDefault="00000000">
            <w:pPr>
              <w:rPr>
                <w:rFonts w:ascii="Times New Roman" w:eastAsia="Times New Roman" w:hAnsi="Times New Roman" w:cs="Times New Roman"/>
              </w:rPr>
            </w:pPr>
            <w:r>
              <w:rPr>
                <w:color w:val="000000"/>
                <w:sz w:val="20"/>
                <w:szCs w:val="20"/>
                <w:highlight w:val="white"/>
              </w:rPr>
              <w:t>2%</w:t>
            </w:r>
          </w:p>
        </w:tc>
      </w:tr>
      <w:tr w:rsidR="000E5CD4" w14:paraId="04C1F306"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3E47617" w14:textId="77777777" w:rsidR="000E5CD4" w:rsidRDefault="00000000">
            <w:pPr>
              <w:rPr>
                <w:rFonts w:ascii="Times New Roman" w:eastAsia="Times New Roman" w:hAnsi="Times New Roman" w:cs="Times New Roman"/>
              </w:rPr>
            </w:pPr>
            <w:r>
              <w:rPr>
                <w:color w:val="000000"/>
                <w:sz w:val="20"/>
                <w:szCs w:val="20"/>
                <w:highlight w:val="white"/>
              </w:rPr>
              <w:t>GS 2441</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E930494" w14:textId="77777777" w:rsidR="000E5CD4" w:rsidRDefault="00000000">
            <w:pPr>
              <w:rPr>
                <w:rFonts w:ascii="Times New Roman" w:eastAsia="Times New Roman" w:hAnsi="Times New Roman" w:cs="Times New Roman"/>
              </w:rPr>
            </w:pPr>
            <w:r>
              <w:rPr>
                <w:color w:val="000000"/>
                <w:sz w:val="20"/>
                <w:szCs w:val="20"/>
                <w:highlight w:val="white"/>
              </w:rPr>
              <w:t>Mexico</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92392C3" w14:textId="77777777" w:rsidR="000E5CD4" w:rsidRDefault="00000000">
            <w:pPr>
              <w:rPr>
                <w:rFonts w:ascii="Times New Roman" w:eastAsia="Times New Roman" w:hAnsi="Times New Roman" w:cs="Times New Roman"/>
              </w:rPr>
            </w:pPr>
            <w:r>
              <w:rPr>
                <w:color w:val="000000"/>
                <w:sz w:val="20"/>
                <w:szCs w:val="20"/>
                <w:highlight w:val="white"/>
              </w:rPr>
              <w:t>0%</w:t>
            </w:r>
          </w:p>
        </w:tc>
      </w:tr>
      <w:tr w:rsidR="000E5CD4" w14:paraId="73C3F997"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F94D8CA" w14:textId="77777777" w:rsidR="000E5CD4" w:rsidRDefault="00000000">
            <w:pPr>
              <w:rPr>
                <w:rFonts w:ascii="Times New Roman" w:eastAsia="Times New Roman" w:hAnsi="Times New Roman" w:cs="Times New Roman"/>
              </w:rPr>
            </w:pPr>
            <w:r>
              <w:rPr>
                <w:color w:val="000000"/>
                <w:sz w:val="20"/>
                <w:szCs w:val="20"/>
                <w:highlight w:val="white"/>
              </w:rPr>
              <w:t>GS 7524</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C4D8C49" w14:textId="77777777" w:rsidR="000E5CD4" w:rsidRDefault="00000000">
            <w:pPr>
              <w:rPr>
                <w:rFonts w:ascii="Times New Roman" w:eastAsia="Times New Roman" w:hAnsi="Times New Roman" w:cs="Times New Roman"/>
              </w:rPr>
            </w:pPr>
            <w:r>
              <w:rPr>
                <w:color w:val="000000"/>
                <w:sz w:val="20"/>
                <w:szCs w:val="20"/>
                <w:highlight w:val="white"/>
              </w:rPr>
              <w:t>Mozambique</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60B8A43" w14:textId="77777777" w:rsidR="000E5CD4" w:rsidRDefault="00000000">
            <w:pPr>
              <w:rPr>
                <w:rFonts w:ascii="Times New Roman" w:eastAsia="Times New Roman" w:hAnsi="Times New Roman" w:cs="Times New Roman"/>
              </w:rPr>
            </w:pPr>
            <w:r>
              <w:rPr>
                <w:color w:val="000000"/>
                <w:sz w:val="20"/>
                <w:szCs w:val="20"/>
                <w:highlight w:val="white"/>
              </w:rPr>
              <w:t>0%</w:t>
            </w:r>
          </w:p>
        </w:tc>
      </w:tr>
      <w:tr w:rsidR="000E5CD4" w14:paraId="31995A0B"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04AFA1C" w14:textId="77777777" w:rsidR="000E5CD4" w:rsidRDefault="00000000">
            <w:pPr>
              <w:rPr>
                <w:rFonts w:ascii="Times New Roman" w:eastAsia="Times New Roman" w:hAnsi="Times New Roman" w:cs="Times New Roman"/>
              </w:rPr>
            </w:pPr>
            <w:r>
              <w:rPr>
                <w:color w:val="000000"/>
                <w:sz w:val="20"/>
                <w:szCs w:val="20"/>
                <w:highlight w:val="white"/>
              </w:rPr>
              <w:t>GS 4612</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769DF83" w14:textId="77777777" w:rsidR="000E5CD4" w:rsidRDefault="00000000">
            <w:pPr>
              <w:rPr>
                <w:rFonts w:ascii="Times New Roman" w:eastAsia="Times New Roman" w:hAnsi="Times New Roman" w:cs="Times New Roman"/>
              </w:rPr>
            </w:pPr>
            <w:r>
              <w:rPr>
                <w:color w:val="000000"/>
                <w:sz w:val="20"/>
                <w:szCs w:val="20"/>
                <w:highlight w:val="white"/>
              </w:rPr>
              <w:t>Mozambique</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3B0682D" w14:textId="77777777" w:rsidR="000E5CD4" w:rsidRDefault="00000000">
            <w:pPr>
              <w:rPr>
                <w:rFonts w:ascii="Times New Roman" w:eastAsia="Times New Roman" w:hAnsi="Times New Roman" w:cs="Times New Roman"/>
              </w:rPr>
            </w:pPr>
            <w:r>
              <w:rPr>
                <w:color w:val="000000"/>
                <w:sz w:val="20"/>
                <w:szCs w:val="20"/>
                <w:highlight w:val="white"/>
              </w:rPr>
              <w:t>0%</w:t>
            </w:r>
          </w:p>
        </w:tc>
      </w:tr>
      <w:tr w:rsidR="000E5CD4" w14:paraId="52BA29A0"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3202DB6" w14:textId="77777777" w:rsidR="000E5CD4" w:rsidRDefault="00000000">
            <w:pPr>
              <w:rPr>
                <w:rFonts w:ascii="Times New Roman" w:eastAsia="Times New Roman" w:hAnsi="Times New Roman" w:cs="Times New Roman"/>
              </w:rPr>
            </w:pPr>
            <w:r>
              <w:rPr>
                <w:color w:val="000000"/>
                <w:sz w:val="20"/>
                <w:szCs w:val="20"/>
                <w:highlight w:val="white"/>
              </w:rPr>
              <w:t>GS 3078</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4869786" w14:textId="77777777" w:rsidR="000E5CD4" w:rsidRDefault="00000000">
            <w:pPr>
              <w:rPr>
                <w:rFonts w:ascii="Times New Roman" w:eastAsia="Times New Roman" w:hAnsi="Times New Roman" w:cs="Times New Roman"/>
              </w:rPr>
            </w:pPr>
            <w:r>
              <w:rPr>
                <w:color w:val="000000"/>
                <w:sz w:val="20"/>
                <w:szCs w:val="20"/>
                <w:highlight w:val="white"/>
              </w:rPr>
              <w:t>Mozambique</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A6FEBEA" w14:textId="77777777" w:rsidR="000E5CD4" w:rsidRDefault="00000000">
            <w:pPr>
              <w:rPr>
                <w:rFonts w:ascii="Times New Roman" w:eastAsia="Times New Roman" w:hAnsi="Times New Roman" w:cs="Times New Roman"/>
              </w:rPr>
            </w:pPr>
            <w:r>
              <w:rPr>
                <w:color w:val="000000"/>
                <w:sz w:val="20"/>
                <w:szCs w:val="20"/>
                <w:highlight w:val="white"/>
              </w:rPr>
              <w:t>0%</w:t>
            </w:r>
          </w:p>
        </w:tc>
      </w:tr>
      <w:tr w:rsidR="000E5CD4" w14:paraId="7B972756"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ADBD31D" w14:textId="77777777" w:rsidR="000E5CD4" w:rsidRDefault="00000000">
            <w:pPr>
              <w:rPr>
                <w:rFonts w:ascii="Times New Roman" w:eastAsia="Times New Roman" w:hAnsi="Times New Roman" w:cs="Times New Roman"/>
              </w:rPr>
            </w:pPr>
            <w:r>
              <w:rPr>
                <w:color w:val="000000"/>
                <w:sz w:val="20"/>
                <w:szCs w:val="20"/>
                <w:highlight w:val="white"/>
              </w:rPr>
              <w:t>GS 10717</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E3EE044" w14:textId="77777777" w:rsidR="000E5CD4" w:rsidRDefault="00000000">
            <w:pPr>
              <w:rPr>
                <w:rFonts w:ascii="Times New Roman" w:eastAsia="Times New Roman" w:hAnsi="Times New Roman" w:cs="Times New Roman"/>
              </w:rPr>
            </w:pPr>
            <w:r>
              <w:rPr>
                <w:color w:val="000000"/>
                <w:sz w:val="20"/>
                <w:szCs w:val="20"/>
                <w:highlight w:val="white"/>
              </w:rPr>
              <w:t>Myanmar</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D2E7DA5" w14:textId="77777777" w:rsidR="000E5CD4" w:rsidRDefault="00000000">
            <w:pPr>
              <w:rPr>
                <w:rFonts w:ascii="Times New Roman" w:eastAsia="Times New Roman" w:hAnsi="Times New Roman" w:cs="Times New Roman"/>
              </w:rPr>
            </w:pPr>
            <w:r>
              <w:rPr>
                <w:color w:val="000000"/>
                <w:sz w:val="20"/>
                <w:szCs w:val="20"/>
                <w:highlight w:val="white"/>
              </w:rPr>
              <w:t>0%</w:t>
            </w:r>
          </w:p>
        </w:tc>
      </w:tr>
      <w:tr w:rsidR="000E5CD4" w14:paraId="29C09989"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0CD0CF1" w14:textId="77777777" w:rsidR="000E5CD4" w:rsidRDefault="00000000">
            <w:pPr>
              <w:rPr>
                <w:rFonts w:ascii="Times New Roman" w:eastAsia="Times New Roman" w:hAnsi="Times New Roman" w:cs="Times New Roman"/>
              </w:rPr>
            </w:pPr>
            <w:r>
              <w:rPr>
                <w:color w:val="000000"/>
                <w:sz w:val="20"/>
                <w:szCs w:val="20"/>
                <w:highlight w:val="white"/>
              </w:rPr>
              <w:t>GS 756</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5767FC0" w14:textId="77777777" w:rsidR="000E5CD4" w:rsidRDefault="00000000">
            <w:pPr>
              <w:rPr>
                <w:rFonts w:ascii="Times New Roman" w:eastAsia="Times New Roman" w:hAnsi="Times New Roman" w:cs="Times New Roman"/>
              </w:rPr>
            </w:pPr>
            <w:r>
              <w:rPr>
                <w:color w:val="000000"/>
                <w:sz w:val="20"/>
                <w:szCs w:val="20"/>
                <w:highlight w:val="white"/>
              </w:rPr>
              <w:t>Nepal</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E0FA884" w14:textId="77777777" w:rsidR="000E5CD4" w:rsidRDefault="00000000">
            <w:pPr>
              <w:rPr>
                <w:rFonts w:ascii="Times New Roman" w:eastAsia="Times New Roman" w:hAnsi="Times New Roman" w:cs="Times New Roman"/>
              </w:rPr>
            </w:pPr>
            <w:r>
              <w:rPr>
                <w:color w:val="000000"/>
                <w:sz w:val="20"/>
                <w:szCs w:val="20"/>
                <w:highlight w:val="white"/>
              </w:rPr>
              <w:t>4%</w:t>
            </w:r>
          </w:p>
        </w:tc>
      </w:tr>
      <w:tr w:rsidR="000E5CD4" w14:paraId="43790B5B"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CCEDE7B" w14:textId="77777777" w:rsidR="000E5CD4" w:rsidRDefault="00000000">
            <w:pPr>
              <w:rPr>
                <w:rFonts w:ascii="Times New Roman" w:eastAsia="Times New Roman" w:hAnsi="Times New Roman" w:cs="Times New Roman"/>
              </w:rPr>
            </w:pPr>
            <w:r>
              <w:rPr>
                <w:color w:val="000000"/>
                <w:sz w:val="20"/>
                <w:szCs w:val="20"/>
                <w:highlight w:val="white"/>
              </w:rPr>
              <w:t>GS 7312</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739F9FE" w14:textId="77777777" w:rsidR="000E5CD4" w:rsidRDefault="00000000">
            <w:pPr>
              <w:rPr>
                <w:rFonts w:ascii="Times New Roman" w:eastAsia="Times New Roman" w:hAnsi="Times New Roman" w:cs="Times New Roman"/>
              </w:rPr>
            </w:pPr>
            <w:r>
              <w:rPr>
                <w:color w:val="000000"/>
                <w:sz w:val="20"/>
                <w:szCs w:val="20"/>
                <w:highlight w:val="white"/>
              </w:rPr>
              <w:t>Nigeria</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6382890" w14:textId="77777777" w:rsidR="000E5CD4" w:rsidRDefault="00000000">
            <w:pPr>
              <w:rPr>
                <w:rFonts w:ascii="Times New Roman" w:eastAsia="Times New Roman" w:hAnsi="Times New Roman" w:cs="Times New Roman"/>
              </w:rPr>
            </w:pPr>
            <w:r>
              <w:rPr>
                <w:color w:val="000000"/>
                <w:sz w:val="20"/>
                <w:szCs w:val="20"/>
                <w:highlight w:val="white"/>
              </w:rPr>
              <w:t>11%</w:t>
            </w:r>
          </w:p>
        </w:tc>
      </w:tr>
      <w:tr w:rsidR="000E5CD4" w14:paraId="354D0B0A"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5B5833E" w14:textId="77777777" w:rsidR="000E5CD4" w:rsidRDefault="00000000">
            <w:pPr>
              <w:rPr>
                <w:rFonts w:ascii="Times New Roman" w:eastAsia="Times New Roman" w:hAnsi="Times New Roman" w:cs="Times New Roman"/>
              </w:rPr>
            </w:pPr>
            <w:r>
              <w:rPr>
                <w:color w:val="000000"/>
                <w:sz w:val="20"/>
                <w:szCs w:val="20"/>
                <w:highlight w:val="white"/>
              </w:rPr>
              <w:t>GS 2449</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F78AB8D" w14:textId="77777777" w:rsidR="000E5CD4" w:rsidRDefault="00000000">
            <w:pPr>
              <w:rPr>
                <w:rFonts w:ascii="Times New Roman" w:eastAsia="Times New Roman" w:hAnsi="Times New Roman" w:cs="Times New Roman"/>
              </w:rPr>
            </w:pPr>
            <w:r>
              <w:rPr>
                <w:color w:val="000000"/>
                <w:sz w:val="20"/>
                <w:szCs w:val="20"/>
                <w:highlight w:val="white"/>
              </w:rPr>
              <w:t>Rwanda</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35A2BC0" w14:textId="77777777" w:rsidR="000E5CD4" w:rsidRDefault="00000000">
            <w:pPr>
              <w:rPr>
                <w:rFonts w:ascii="Times New Roman" w:eastAsia="Times New Roman" w:hAnsi="Times New Roman" w:cs="Times New Roman"/>
              </w:rPr>
            </w:pPr>
            <w:r>
              <w:rPr>
                <w:color w:val="000000"/>
                <w:sz w:val="20"/>
                <w:szCs w:val="20"/>
                <w:highlight w:val="white"/>
              </w:rPr>
              <w:t>0%</w:t>
            </w:r>
          </w:p>
        </w:tc>
      </w:tr>
      <w:tr w:rsidR="000E5CD4" w14:paraId="2EB05B1C"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7AD5180" w14:textId="77777777" w:rsidR="000E5CD4" w:rsidRDefault="00000000">
            <w:pPr>
              <w:rPr>
                <w:rFonts w:ascii="Times New Roman" w:eastAsia="Times New Roman" w:hAnsi="Times New Roman" w:cs="Times New Roman"/>
              </w:rPr>
            </w:pPr>
            <w:r>
              <w:rPr>
                <w:color w:val="000000"/>
                <w:sz w:val="20"/>
                <w:szCs w:val="20"/>
                <w:highlight w:val="white"/>
              </w:rPr>
              <w:t>GS 1267</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F1C97A7" w14:textId="77777777" w:rsidR="000E5CD4" w:rsidRDefault="00000000">
            <w:pPr>
              <w:rPr>
                <w:rFonts w:ascii="Times New Roman" w:eastAsia="Times New Roman" w:hAnsi="Times New Roman" w:cs="Times New Roman"/>
              </w:rPr>
            </w:pPr>
            <w:r>
              <w:rPr>
                <w:color w:val="000000"/>
                <w:sz w:val="20"/>
                <w:szCs w:val="20"/>
                <w:highlight w:val="white"/>
              </w:rPr>
              <w:t>Rwanda</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6F2E10D" w14:textId="77777777" w:rsidR="000E5CD4" w:rsidRDefault="00000000">
            <w:pPr>
              <w:rPr>
                <w:rFonts w:ascii="Times New Roman" w:eastAsia="Times New Roman" w:hAnsi="Times New Roman" w:cs="Times New Roman"/>
              </w:rPr>
            </w:pPr>
            <w:r>
              <w:rPr>
                <w:color w:val="000000"/>
                <w:sz w:val="20"/>
                <w:szCs w:val="20"/>
                <w:highlight w:val="white"/>
              </w:rPr>
              <w:t>0%</w:t>
            </w:r>
          </w:p>
        </w:tc>
      </w:tr>
      <w:tr w:rsidR="000E5CD4" w14:paraId="3243F47C"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EA3FB2B" w14:textId="77777777" w:rsidR="000E5CD4" w:rsidRDefault="00000000">
            <w:pPr>
              <w:rPr>
                <w:rFonts w:ascii="Times New Roman" w:eastAsia="Times New Roman" w:hAnsi="Times New Roman" w:cs="Times New Roman"/>
              </w:rPr>
            </w:pPr>
            <w:r>
              <w:rPr>
                <w:color w:val="000000"/>
                <w:sz w:val="20"/>
                <w:szCs w:val="20"/>
                <w:highlight w:val="white"/>
              </w:rPr>
              <w:t>GS1044</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3E76ABA" w14:textId="77777777" w:rsidR="000E5CD4" w:rsidRDefault="00000000">
            <w:pPr>
              <w:rPr>
                <w:rFonts w:ascii="Times New Roman" w:eastAsia="Times New Roman" w:hAnsi="Times New Roman" w:cs="Times New Roman"/>
              </w:rPr>
            </w:pPr>
            <w:r>
              <w:rPr>
                <w:color w:val="000000"/>
                <w:sz w:val="20"/>
                <w:szCs w:val="20"/>
                <w:highlight w:val="white"/>
              </w:rPr>
              <w:t>Uganda</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FF62DB2" w14:textId="77777777" w:rsidR="000E5CD4" w:rsidRDefault="00000000">
            <w:pPr>
              <w:rPr>
                <w:rFonts w:ascii="Times New Roman" w:eastAsia="Times New Roman" w:hAnsi="Times New Roman" w:cs="Times New Roman"/>
              </w:rPr>
            </w:pPr>
            <w:r>
              <w:rPr>
                <w:color w:val="000000"/>
                <w:sz w:val="20"/>
                <w:szCs w:val="20"/>
                <w:highlight w:val="white"/>
              </w:rPr>
              <w:t>0%</w:t>
            </w:r>
          </w:p>
        </w:tc>
      </w:tr>
      <w:tr w:rsidR="000E5CD4" w14:paraId="01391D35"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4070552" w14:textId="77777777" w:rsidR="000E5CD4" w:rsidRDefault="00000000">
            <w:pPr>
              <w:rPr>
                <w:rFonts w:ascii="Times New Roman" w:eastAsia="Times New Roman" w:hAnsi="Times New Roman" w:cs="Times New Roman"/>
              </w:rPr>
            </w:pPr>
            <w:r>
              <w:rPr>
                <w:color w:val="000000"/>
                <w:sz w:val="20"/>
                <w:szCs w:val="20"/>
                <w:highlight w:val="white"/>
              </w:rPr>
              <w:t>GS 6344</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C64178B" w14:textId="77777777" w:rsidR="000E5CD4" w:rsidRDefault="00000000">
            <w:pPr>
              <w:rPr>
                <w:rFonts w:ascii="Times New Roman" w:eastAsia="Times New Roman" w:hAnsi="Times New Roman" w:cs="Times New Roman"/>
              </w:rPr>
            </w:pPr>
            <w:r>
              <w:rPr>
                <w:color w:val="000000"/>
                <w:sz w:val="20"/>
                <w:szCs w:val="20"/>
                <w:highlight w:val="white"/>
              </w:rPr>
              <w:t>Uganda</w:t>
            </w: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6E819F8" w14:textId="77777777" w:rsidR="000E5CD4" w:rsidRDefault="00000000">
            <w:pPr>
              <w:rPr>
                <w:rFonts w:ascii="Times New Roman" w:eastAsia="Times New Roman" w:hAnsi="Times New Roman" w:cs="Times New Roman"/>
              </w:rPr>
            </w:pPr>
            <w:r>
              <w:rPr>
                <w:color w:val="000000"/>
                <w:sz w:val="20"/>
                <w:szCs w:val="20"/>
                <w:highlight w:val="white"/>
              </w:rPr>
              <w:t>0%</w:t>
            </w:r>
          </w:p>
        </w:tc>
      </w:tr>
      <w:tr w:rsidR="000E5CD4" w14:paraId="11E3030A"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7223321" w14:textId="77777777" w:rsidR="000E5CD4" w:rsidRDefault="000E5CD4">
            <w:pPr>
              <w:rPr>
                <w:rFonts w:ascii="Times New Roman" w:eastAsia="Times New Roman" w:hAnsi="Times New Roman" w:cs="Times New Roman"/>
              </w:rPr>
            </w:pP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610274C" w14:textId="77777777" w:rsidR="000E5CD4" w:rsidRDefault="000E5CD4">
            <w:pPr>
              <w:rPr>
                <w:rFonts w:ascii="Times New Roman" w:eastAsia="Times New Roman" w:hAnsi="Times New Roman" w:cs="Times New Roman"/>
              </w:rPr>
            </w:pP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4C05753" w14:textId="77777777" w:rsidR="000E5CD4" w:rsidRDefault="000E5CD4">
            <w:pPr>
              <w:rPr>
                <w:rFonts w:ascii="Times New Roman" w:eastAsia="Times New Roman" w:hAnsi="Times New Roman" w:cs="Times New Roman"/>
              </w:rPr>
            </w:pPr>
          </w:p>
        </w:tc>
      </w:tr>
      <w:tr w:rsidR="000E5CD4" w14:paraId="5564CF1B" w14:textId="77777777">
        <w:trPr>
          <w:trHeight w:val="320"/>
        </w:trPr>
        <w:tc>
          <w:tcPr>
            <w:tcW w:w="10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CF86216" w14:textId="77777777" w:rsidR="000E5CD4" w:rsidRDefault="00000000">
            <w:pPr>
              <w:rPr>
                <w:rFonts w:ascii="Times New Roman" w:eastAsia="Times New Roman" w:hAnsi="Times New Roman" w:cs="Times New Roman"/>
              </w:rPr>
            </w:pPr>
            <w:r>
              <w:rPr>
                <w:color w:val="000000"/>
                <w:sz w:val="20"/>
                <w:szCs w:val="20"/>
                <w:highlight w:val="white"/>
              </w:rPr>
              <w:t>Average</w:t>
            </w:r>
          </w:p>
        </w:tc>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FD7BC75" w14:textId="77777777" w:rsidR="000E5CD4" w:rsidRDefault="000E5CD4">
            <w:pPr>
              <w:rPr>
                <w:rFonts w:ascii="Times New Roman" w:eastAsia="Times New Roman" w:hAnsi="Times New Roman" w:cs="Times New Roman"/>
              </w:rPr>
            </w:pPr>
          </w:p>
        </w:tc>
        <w:tc>
          <w:tcPr>
            <w:tcW w:w="204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265C5DF" w14:textId="77777777" w:rsidR="000E5CD4" w:rsidRDefault="00000000">
            <w:pPr>
              <w:rPr>
                <w:rFonts w:ascii="Times New Roman" w:eastAsia="Times New Roman" w:hAnsi="Times New Roman" w:cs="Times New Roman"/>
              </w:rPr>
            </w:pPr>
            <w:r>
              <w:rPr>
                <w:color w:val="000000"/>
                <w:sz w:val="20"/>
                <w:szCs w:val="20"/>
                <w:highlight w:val="white"/>
              </w:rPr>
              <w:t>1%</w:t>
            </w:r>
          </w:p>
        </w:tc>
      </w:tr>
    </w:tbl>
    <w:p w14:paraId="176A2982" w14:textId="77777777" w:rsidR="000E5CD4" w:rsidRDefault="00000000">
      <w:pPr>
        <w:spacing w:after="240"/>
        <w:rPr>
          <w:rFonts w:ascii="Times New Roman" w:eastAsia="Times New Roman" w:hAnsi="Times New Roman" w:cs="Times New Roman"/>
        </w:rPr>
      </w:pPr>
      <w:r>
        <w:br w:type="page"/>
      </w:r>
    </w:p>
    <w:p w14:paraId="5EC72CE0" w14:textId="77777777" w:rsidR="000E5CD4" w:rsidRDefault="000E5CD4">
      <w:pPr>
        <w:spacing w:after="240"/>
        <w:rPr>
          <w:rFonts w:ascii="Times New Roman" w:eastAsia="Times New Roman" w:hAnsi="Times New Roman" w:cs="Times New Roman"/>
        </w:rPr>
      </w:pPr>
    </w:p>
    <w:p w14:paraId="1A11869D" w14:textId="77777777" w:rsidR="000E5CD4" w:rsidRDefault="00000000">
      <w:pPr>
        <w:pStyle w:val="Heading2"/>
      </w:pPr>
      <w:bookmarkStart w:id="10" w:name="_6amv7k74uia8" w:colFirst="0" w:colLast="0"/>
      <w:bookmarkEnd w:id="10"/>
      <w:r>
        <w:t>XI. Rebound Literature Investigation</w:t>
      </w:r>
    </w:p>
    <w:p w14:paraId="2D65E477" w14:textId="77777777" w:rsidR="000E5CD4" w:rsidRDefault="000E5CD4">
      <w:pPr>
        <w:rPr>
          <w:rFonts w:ascii="Times New Roman" w:eastAsia="Times New Roman" w:hAnsi="Times New Roman" w:cs="Times New Roman"/>
        </w:rPr>
      </w:pPr>
    </w:p>
    <w:p w14:paraId="38FA823F" w14:textId="77777777" w:rsidR="000E5CD4" w:rsidRDefault="00000000">
      <w:pPr>
        <w:keepNext/>
        <w:pBdr>
          <w:top w:val="nil"/>
          <w:left w:val="nil"/>
          <w:bottom w:val="nil"/>
          <w:right w:val="nil"/>
          <w:between w:val="nil"/>
        </w:pBdr>
        <w:spacing w:after="200"/>
        <w:rPr>
          <w:i/>
          <w:color w:val="44546A"/>
          <w:sz w:val="18"/>
          <w:szCs w:val="18"/>
        </w:rPr>
      </w:pPr>
      <w:r>
        <w:rPr>
          <w:i/>
          <w:color w:val="44546A"/>
          <w:sz w:val="18"/>
          <w:szCs w:val="18"/>
        </w:rPr>
        <w:t>Table S8. Literature sources included in our review of the rebound effect</w:t>
      </w:r>
    </w:p>
    <w:tbl>
      <w:tblPr>
        <w:tblStyle w:val="a6"/>
        <w:tblW w:w="9345" w:type="dxa"/>
        <w:tblInd w:w="-115" w:type="dxa"/>
        <w:tblLayout w:type="fixed"/>
        <w:tblLook w:val="0400" w:firstRow="0" w:lastRow="0" w:firstColumn="0" w:lastColumn="0" w:noHBand="0" w:noVBand="1"/>
      </w:tblPr>
      <w:tblGrid>
        <w:gridCol w:w="4710"/>
        <w:gridCol w:w="1335"/>
        <w:gridCol w:w="1020"/>
        <w:gridCol w:w="2280"/>
      </w:tblGrid>
      <w:tr w:rsidR="000E5CD4" w14:paraId="7DEF5859" w14:textId="77777777">
        <w:trPr>
          <w:trHeight w:val="320"/>
        </w:trPr>
        <w:tc>
          <w:tcPr>
            <w:tcW w:w="471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D637CA1" w14:textId="77777777" w:rsidR="000E5CD4" w:rsidRDefault="00000000">
            <w:pPr>
              <w:rPr>
                <w:rFonts w:ascii="Times New Roman" w:eastAsia="Times New Roman" w:hAnsi="Times New Roman" w:cs="Times New Roman"/>
              </w:rPr>
            </w:pPr>
            <w:r>
              <w:rPr>
                <w:b/>
                <w:color w:val="000000"/>
                <w:sz w:val="20"/>
                <w:szCs w:val="20"/>
                <w:highlight w:val="white"/>
              </w:rPr>
              <w:t>Source Title</w:t>
            </w:r>
          </w:p>
        </w:tc>
        <w:tc>
          <w:tcPr>
            <w:tcW w:w="13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CB13335" w14:textId="77777777" w:rsidR="000E5CD4" w:rsidRDefault="00000000">
            <w:pPr>
              <w:rPr>
                <w:rFonts w:ascii="Times New Roman" w:eastAsia="Times New Roman" w:hAnsi="Times New Roman" w:cs="Times New Roman"/>
              </w:rPr>
            </w:pPr>
            <w:r>
              <w:rPr>
                <w:b/>
                <w:color w:val="000000"/>
                <w:sz w:val="20"/>
                <w:szCs w:val="20"/>
                <w:highlight w:val="white"/>
              </w:rPr>
              <w:t>Location</w:t>
            </w:r>
          </w:p>
        </w:tc>
        <w:tc>
          <w:tcPr>
            <w:tcW w:w="102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50668DF" w14:textId="77777777" w:rsidR="000E5CD4" w:rsidRDefault="00000000">
            <w:pPr>
              <w:rPr>
                <w:rFonts w:ascii="Times New Roman" w:eastAsia="Times New Roman" w:hAnsi="Times New Roman" w:cs="Times New Roman"/>
              </w:rPr>
            </w:pPr>
            <w:r>
              <w:rPr>
                <w:b/>
                <w:color w:val="000000"/>
                <w:sz w:val="20"/>
                <w:szCs w:val="20"/>
                <w:highlight w:val="white"/>
              </w:rPr>
              <w:t>Values</w:t>
            </w:r>
          </w:p>
        </w:tc>
        <w:tc>
          <w:tcPr>
            <w:tcW w:w="228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41F20D27" w14:textId="77777777" w:rsidR="000E5CD4" w:rsidRDefault="00000000">
            <w:pPr>
              <w:rPr>
                <w:rFonts w:ascii="Times New Roman" w:eastAsia="Times New Roman" w:hAnsi="Times New Roman" w:cs="Times New Roman"/>
              </w:rPr>
            </w:pPr>
            <w:r>
              <w:rPr>
                <w:b/>
                <w:color w:val="000000"/>
                <w:sz w:val="20"/>
                <w:szCs w:val="20"/>
                <w:highlight w:val="white"/>
              </w:rPr>
              <w:t>Notes</w:t>
            </w:r>
          </w:p>
        </w:tc>
      </w:tr>
      <w:tr w:rsidR="000E5CD4" w14:paraId="1BC8BA6F" w14:textId="77777777">
        <w:trPr>
          <w:trHeight w:val="320"/>
        </w:trPr>
        <w:tc>
          <w:tcPr>
            <w:tcW w:w="471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21D3D99" w14:textId="773DDECE" w:rsidR="000E5CD4" w:rsidRDefault="00000000">
            <w:pPr>
              <w:rPr>
                <w:rFonts w:ascii="Times New Roman" w:eastAsia="Times New Roman" w:hAnsi="Times New Roman" w:cs="Times New Roman"/>
              </w:rPr>
            </w:pPr>
            <w:r>
              <w:rPr>
                <w:color w:val="000000"/>
                <w:sz w:val="20"/>
                <w:szCs w:val="20"/>
              </w:rPr>
              <w:t>Forum on Natural Capital Accounting for Better Policy Decisions: Taking Stock and Moving Forward</w:t>
            </w:r>
            <w:r>
              <w:fldChar w:fldCharType="begin"/>
            </w:r>
            <w:r w:rsidR="003C3E9E">
              <w:instrText xml:space="preserve"> ADDIN ZOTERO_ITEM CSL_CITATION {"citationID":"7miXq0Le","properties":{"formattedCitation":"\\super 12\\nosupersub{}","plainCitation":"12","noteIndex":0},"citationItems":[{"id":108,"uris":["http://zotero.org/users/9292969/items/QPLU2LG8"],"itemData":{"id":108,"type":"report","title":"Forum on Natural Capital Accounting for Better Policy Decisions : Taking Stock and Moving Forward (English).","URL":"http://documents.worldbank.org/curated/en/904211580129561872/Forum-on-Natural-Capital-Accounting-for-Better-Policy-Decisions-Taking-Stock-and-Moving-Forward","author":[{"family":"World Bank Group","given":""}]}}],"schema":"https://github.com/citation-style-language/schema/raw/master/csl-citation.json"} </w:instrText>
            </w:r>
            <w:r>
              <w:fldChar w:fldCharType="separate"/>
            </w:r>
            <w:r w:rsidR="003C3E9E" w:rsidRPr="003C3E9E">
              <w:rPr>
                <w:vertAlign w:val="superscript"/>
              </w:rPr>
              <w:t>12</w:t>
            </w:r>
            <w:r>
              <w:rPr>
                <w:color w:val="000000"/>
                <w:sz w:val="20"/>
                <w:szCs w:val="20"/>
              </w:rPr>
              <w:fldChar w:fldCharType="end"/>
            </w:r>
          </w:p>
        </w:tc>
        <w:tc>
          <w:tcPr>
            <w:tcW w:w="13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6D10CBF" w14:textId="77777777" w:rsidR="000E5CD4" w:rsidRDefault="00000000">
            <w:pPr>
              <w:rPr>
                <w:rFonts w:ascii="Times New Roman" w:eastAsia="Times New Roman" w:hAnsi="Times New Roman" w:cs="Times New Roman"/>
              </w:rPr>
            </w:pPr>
            <w:r>
              <w:rPr>
                <w:color w:val="000000"/>
                <w:sz w:val="20"/>
                <w:szCs w:val="20"/>
                <w:highlight w:val="white"/>
              </w:rPr>
              <w:t>Guatemala</w:t>
            </w:r>
          </w:p>
        </w:tc>
        <w:tc>
          <w:tcPr>
            <w:tcW w:w="102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CE2C005" w14:textId="77777777" w:rsidR="000E5CD4" w:rsidRDefault="00000000">
            <w:pPr>
              <w:rPr>
                <w:rFonts w:ascii="Times New Roman" w:eastAsia="Times New Roman" w:hAnsi="Times New Roman" w:cs="Times New Roman"/>
              </w:rPr>
            </w:pPr>
            <w:r>
              <w:rPr>
                <w:color w:val="000000"/>
                <w:sz w:val="20"/>
                <w:szCs w:val="20"/>
                <w:highlight w:val="white"/>
              </w:rPr>
              <w:t>48%</w:t>
            </w:r>
          </w:p>
        </w:tc>
        <w:tc>
          <w:tcPr>
            <w:tcW w:w="228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1ED6857" w14:textId="77777777" w:rsidR="000E5CD4" w:rsidRDefault="00000000">
            <w:pPr>
              <w:rPr>
                <w:rFonts w:ascii="Times New Roman" w:eastAsia="Times New Roman" w:hAnsi="Times New Roman" w:cs="Times New Roman"/>
              </w:rPr>
            </w:pPr>
            <w:r>
              <w:rPr>
                <w:color w:val="000000"/>
                <w:sz w:val="20"/>
                <w:szCs w:val="20"/>
                <w:highlight w:val="white"/>
              </w:rPr>
              <w:t>Analysis</w:t>
            </w:r>
          </w:p>
        </w:tc>
      </w:tr>
      <w:tr w:rsidR="000E5CD4" w14:paraId="6BB114B8" w14:textId="77777777">
        <w:trPr>
          <w:trHeight w:val="320"/>
        </w:trPr>
        <w:tc>
          <w:tcPr>
            <w:tcW w:w="471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EA4EC38" w14:textId="1AF02E49" w:rsidR="000E5CD4" w:rsidRDefault="00000000">
            <w:pPr>
              <w:rPr>
                <w:rFonts w:ascii="Times New Roman" w:eastAsia="Times New Roman" w:hAnsi="Times New Roman" w:cs="Times New Roman"/>
              </w:rPr>
            </w:pPr>
            <w:r>
              <w:rPr>
                <w:color w:val="000000"/>
                <w:sz w:val="20"/>
                <w:szCs w:val="20"/>
              </w:rPr>
              <w:t>A  partial  equilibrium  analysis  of  the impact  of  introducing  more-efficient  wood-burning  stoves  into  households  in the  Sahelian  region</w:t>
            </w:r>
            <w:r>
              <w:fldChar w:fldCharType="begin"/>
            </w:r>
            <w:r w:rsidR="003C3E9E">
              <w:instrText xml:space="preserve"> ADDIN ZOTERO_ITEM CSL_CITATION {"citationID":"7zhLS3Ph","properties":{"formattedCitation":"\\super 13\\nosupersub{}","plainCitation":"13","noteIndex":0},"citationItems":[{"id":107,"uris":["http://zotero.org/users/9292969/items/LPU9SPEG"],"itemData":{"id":107,"type":"article-journal","abstract":"Two models of the village firewood-gathering economy are developed: one where the firewood is treated by households as a common-property resource and one where it is treated as a private asset. Under both models, rebound of consumption occurs as a result of distributing more-efficient wood-burning stoves into households. It follows that policies premised on the assumption that the use of scarce resources can be curtailed simply by raising the energy efficiency of appliances used in the household are flawed. The same policies, however, when judged according to their contribution to the utility of the household appear to be better.","container-title":"Environment and Planning A: Economy and Space","DOI":"10.1068/a260407","ISSN":"0308-518X","issue":"3","journalAbbreviation":"Environ Plan A","note":"publisher: SAGE Publications Ltd","page":"407-414","title":"A Partial Equilibrium Analysis of the Impact of Introducing More-Efficient Wood-Burning Stoves into Households in the Sahelian Region","URL":"https://doi.org/10.1068/a260407","volume":"26","author":[{"family":"Dufournaud","given":"C M"},{"family":"Quinn","given":"J T"},{"family":"Harrington","given":"J J"}],"accessed":{"date-parts":[["2022",9,21]]},"issued":{"date-parts":[["1994",3,1]]}}}],"schema":"https://github.com/citation-style-language/schema/raw/master/csl-citation.json"} </w:instrText>
            </w:r>
            <w:r>
              <w:fldChar w:fldCharType="separate"/>
            </w:r>
            <w:r w:rsidR="003C3E9E" w:rsidRPr="003C3E9E">
              <w:rPr>
                <w:vertAlign w:val="superscript"/>
              </w:rPr>
              <w:t>13</w:t>
            </w:r>
            <w:r>
              <w:rPr>
                <w:color w:val="000000"/>
                <w:sz w:val="20"/>
                <w:szCs w:val="20"/>
              </w:rPr>
              <w:fldChar w:fldCharType="end"/>
            </w:r>
          </w:p>
        </w:tc>
        <w:tc>
          <w:tcPr>
            <w:tcW w:w="13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8070D84" w14:textId="77777777" w:rsidR="000E5CD4" w:rsidRDefault="00000000">
            <w:pPr>
              <w:rPr>
                <w:rFonts w:ascii="Times New Roman" w:eastAsia="Times New Roman" w:hAnsi="Times New Roman" w:cs="Times New Roman"/>
              </w:rPr>
            </w:pPr>
            <w:r>
              <w:rPr>
                <w:color w:val="000000"/>
                <w:sz w:val="20"/>
                <w:szCs w:val="20"/>
                <w:highlight w:val="white"/>
              </w:rPr>
              <w:t>Sudan</w:t>
            </w:r>
          </w:p>
        </w:tc>
        <w:tc>
          <w:tcPr>
            <w:tcW w:w="102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19E4D74" w14:textId="77777777" w:rsidR="000E5CD4" w:rsidRDefault="00000000">
            <w:pPr>
              <w:rPr>
                <w:rFonts w:ascii="Times New Roman" w:eastAsia="Times New Roman" w:hAnsi="Times New Roman" w:cs="Times New Roman"/>
              </w:rPr>
            </w:pPr>
            <w:r>
              <w:rPr>
                <w:color w:val="000000"/>
                <w:sz w:val="20"/>
                <w:szCs w:val="20"/>
                <w:highlight w:val="white"/>
              </w:rPr>
              <w:t>19%</w:t>
            </w:r>
          </w:p>
        </w:tc>
        <w:tc>
          <w:tcPr>
            <w:tcW w:w="228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10E4671" w14:textId="77777777" w:rsidR="000E5CD4" w:rsidRDefault="00000000">
            <w:pPr>
              <w:rPr>
                <w:rFonts w:ascii="Times New Roman" w:eastAsia="Times New Roman" w:hAnsi="Times New Roman" w:cs="Times New Roman"/>
              </w:rPr>
            </w:pPr>
            <w:r>
              <w:rPr>
                <w:color w:val="000000"/>
                <w:sz w:val="20"/>
                <w:szCs w:val="20"/>
                <w:highlight w:val="white"/>
              </w:rPr>
              <w:t>Analysis</w:t>
            </w:r>
          </w:p>
        </w:tc>
      </w:tr>
      <w:tr w:rsidR="000E5CD4" w14:paraId="7824A939" w14:textId="77777777">
        <w:trPr>
          <w:trHeight w:val="320"/>
        </w:trPr>
        <w:tc>
          <w:tcPr>
            <w:tcW w:w="471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374D57A" w14:textId="1FFA7295" w:rsidR="000E5CD4" w:rsidRDefault="00000000">
            <w:pPr>
              <w:rPr>
                <w:rFonts w:ascii="Times New Roman" w:eastAsia="Times New Roman" w:hAnsi="Times New Roman" w:cs="Times New Roman"/>
              </w:rPr>
            </w:pPr>
            <w:r>
              <w:rPr>
                <w:color w:val="000000"/>
                <w:sz w:val="20"/>
                <w:szCs w:val="20"/>
              </w:rPr>
              <w:t>The Effects of Fuel-Efficient Cookstoves on Fuel Use,</w:t>
            </w:r>
            <w:r>
              <w:rPr>
                <w:color w:val="000000"/>
                <w:sz w:val="20"/>
                <w:szCs w:val="20"/>
              </w:rPr>
              <w:br/>
              <w:t>Particulate Matter, and Cooking Practices: Results from a</w:t>
            </w:r>
            <w:r>
              <w:rPr>
                <w:sz w:val="20"/>
                <w:szCs w:val="20"/>
              </w:rPr>
              <w:t xml:space="preserve"> </w:t>
            </w:r>
            <w:r>
              <w:rPr>
                <w:color w:val="000000"/>
                <w:sz w:val="20"/>
                <w:szCs w:val="20"/>
              </w:rPr>
              <w:t>Randomized Trial in Rural Uganda</w:t>
            </w:r>
            <w:r>
              <w:fldChar w:fldCharType="begin"/>
            </w:r>
            <w:r w:rsidR="003C3E9E">
              <w:instrText xml:space="preserve"> ADDIN ZOTERO_ITEM CSL_CITATION {"citationID":"BAidmgyB","properties":{"formattedCitation":"\\super 11\\nosupersub{}","plainCitation":"11","noteIndex":0},"citationItems":[{"id":129,"uris":["http://zotero.org/users/9292969/items/F9VJPJGK"],"itemData":{"id":129,"type":"article-journal","container-title":"UC Berkeley: Center for Effective Global Action","title":"The Effects of Fuel-Efficient Cookstoves on Fuel Use, Particulate Matter, and Cooking Practices: Results from a Randomized Trial in Rural Uganda","URL":"https://escholarship.org/uc/item/365778pn","author":[{"family":"Beltramo","given":"T."},{"family":"Blalock","given":"G."},{"family":"Harrell","given":"S."},{"family":"Levine","given":"D."},{"family":"Simons","given":"A.M."}],"issued":{"date-parts":[["2019"]]}}}],"schema":"https://github.com/citation-style-language/schema/raw/master/csl-citation.json"} </w:instrText>
            </w:r>
            <w:r>
              <w:fldChar w:fldCharType="separate"/>
            </w:r>
            <w:r w:rsidR="003C3E9E" w:rsidRPr="003C3E9E">
              <w:rPr>
                <w:vertAlign w:val="superscript"/>
              </w:rPr>
              <w:t>11</w:t>
            </w:r>
            <w:r>
              <w:rPr>
                <w:sz w:val="20"/>
                <w:szCs w:val="20"/>
              </w:rPr>
              <w:fldChar w:fldCharType="end"/>
            </w:r>
          </w:p>
        </w:tc>
        <w:tc>
          <w:tcPr>
            <w:tcW w:w="13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42E5BE6" w14:textId="77777777" w:rsidR="000E5CD4" w:rsidRDefault="00000000">
            <w:pPr>
              <w:rPr>
                <w:rFonts w:ascii="Times New Roman" w:eastAsia="Times New Roman" w:hAnsi="Times New Roman" w:cs="Times New Roman"/>
              </w:rPr>
            </w:pPr>
            <w:r>
              <w:rPr>
                <w:color w:val="000000"/>
                <w:sz w:val="20"/>
                <w:szCs w:val="20"/>
                <w:highlight w:val="white"/>
              </w:rPr>
              <w:t>Uganda</w:t>
            </w:r>
          </w:p>
        </w:tc>
        <w:tc>
          <w:tcPr>
            <w:tcW w:w="102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1885155" w14:textId="77777777" w:rsidR="000E5CD4" w:rsidRDefault="00000000">
            <w:pPr>
              <w:rPr>
                <w:rFonts w:ascii="Times New Roman" w:eastAsia="Times New Roman" w:hAnsi="Times New Roman" w:cs="Times New Roman"/>
              </w:rPr>
            </w:pPr>
            <w:r>
              <w:rPr>
                <w:color w:val="000000"/>
                <w:sz w:val="20"/>
                <w:szCs w:val="20"/>
                <w:highlight w:val="white"/>
              </w:rPr>
              <w:t>0.2</w:t>
            </w:r>
          </w:p>
        </w:tc>
        <w:tc>
          <w:tcPr>
            <w:tcW w:w="228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5A50E5C" w14:textId="77777777" w:rsidR="000E5CD4" w:rsidRDefault="000E5CD4">
            <w:pPr>
              <w:rPr>
                <w:rFonts w:ascii="Times New Roman" w:eastAsia="Times New Roman" w:hAnsi="Times New Roman" w:cs="Times New Roman"/>
              </w:rPr>
            </w:pPr>
          </w:p>
        </w:tc>
      </w:tr>
      <w:tr w:rsidR="000E5CD4" w14:paraId="7876BE20" w14:textId="77777777">
        <w:trPr>
          <w:trHeight w:val="320"/>
        </w:trPr>
        <w:tc>
          <w:tcPr>
            <w:tcW w:w="471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17CECB0" w14:textId="79C1CBE5" w:rsidR="000E5CD4" w:rsidRDefault="00000000">
            <w:pPr>
              <w:rPr>
                <w:rFonts w:ascii="Times New Roman" w:eastAsia="Times New Roman" w:hAnsi="Times New Roman" w:cs="Times New Roman"/>
              </w:rPr>
            </w:pPr>
            <w:r>
              <w:rPr>
                <w:color w:val="000000"/>
                <w:sz w:val="20"/>
                <w:szCs w:val="20"/>
              </w:rPr>
              <w:t>Enhancing clean cooking options in peri-urban Kenya: a pilot study of advanced gasifier stove adoption</w:t>
            </w:r>
            <w:r>
              <w:fldChar w:fldCharType="begin"/>
            </w:r>
            <w:r w:rsidR="003C3E9E">
              <w:instrText xml:space="preserve"> ADDIN ZOTERO_ITEM CSL_CITATION {"citationID":"0u3a18Vu","properties":{"formattedCitation":"\\super 14\\nosupersub{}","plainCitation":"14","noteIndex":0},"citationItems":[{"id":1187,"uris":["http://zotero.org/users/9292969/items/D9F6EWU3"],"itemData":{"id":1187,"type":"article-journal","abstract":"Kenya has experienced a decade of relative prosperity with consistent economic growth and minimal political tension. GDP is growing by 3% annually and poverty rates are declining. Despite these gains, Kenya still has a lot of ground to cover to achieve the Sustainable Development Goals (SDGs) by 2030. SDG7, which aims to 'Ensure access to affordable, reliable, sustainable and modern energy for all', exemplifies both Kenya's achievements and the challenges that remain. Access to grid-based electricity and LPG have grown rapidly. However, over 90% of Kenyans still rely on polluting fuels like wood, charcoal and/or kerosene for some or all of their cooking needs. Substantial effort is needed to ensure all Kenyans have access to clean cooking options by 2030. We present the results of a pilot study in which gasifier-based pellet stoves were introduced in 150 peri-urban households. The stoves include an internal fan that improves combustion efficiency and reduces emissions by 90%-99% relative to charcoal and fuelwood in traditional devices. A subset of participants received stoves with 'Pay-as-You-Cook' (PAYC) hardware, which relies on pre-paid RFID card to activate the stove's internal fan, allowing vendors to sell the stove below cost and recoup losses through pellet sales. We find that people were willing to include pellet stoves in their cooking routines and, in many cases, pellets displaced polluting fuels. We also find that PAYC hardware did not negatively impact adoption: PAYC users had higher daily rates of fuel consumption and reported higher willingness to pay for the stove than non-PAYC users. However, stoves were not used exclusively. Instead, people stacked pellets in combination with other cooking options, with pellets contributing to 12%-40% of their cooking needs (inter-quartile range). Though the project did not successfully overcome all of the barriers necessary to achieve long-term adoption of advanced pellet stoves, the results demonstrate that pellets could contribute to a portfolio of cleaner options. Social media abstract: In a pilot project, clean-burning 'pay-as-you-cook' pellet stoves were stacked with LPG and polluting fuels.","container-title":"Environmental Research Letters","DOI":"10.1088/1748-9326/ab865a","ISSN":"17489326","issue":"8","note":"publisher: Institute of Physics Publishing","title":"Enhancing clean cooking options in peri-urban Kenya: A pilot study of advanced gasifier stove adoption","volume":"15","author":[{"family":"Bailis","given":"Rob"},{"family":"Ghosh","given":"Emily"},{"family":"O'Connor","given":"Margaret"},{"family":"Kwamboka","given":"Elvine"},{"family":"Ran","given":"Ylva"},{"family":"Lambe","given":"Fiona"}],"issued":{"date-parts":[["2020",8,1]]}}}],"schema":"https://github.com/citation-style-language/schema/raw/master/csl-citation.json"} </w:instrText>
            </w:r>
            <w:r>
              <w:fldChar w:fldCharType="separate"/>
            </w:r>
            <w:r w:rsidR="003C3E9E" w:rsidRPr="003C3E9E">
              <w:rPr>
                <w:vertAlign w:val="superscript"/>
              </w:rPr>
              <w:t>14</w:t>
            </w:r>
            <w:r>
              <w:rPr>
                <w:color w:val="000000"/>
                <w:sz w:val="20"/>
                <w:szCs w:val="20"/>
              </w:rPr>
              <w:fldChar w:fldCharType="end"/>
            </w:r>
          </w:p>
        </w:tc>
        <w:tc>
          <w:tcPr>
            <w:tcW w:w="13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090F4E1" w14:textId="77777777" w:rsidR="000E5CD4" w:rsidRDefault="00000000">
            <w:pPr>
              <w:rPr>
                <w:rFonts w:ascii="Times New Roman" w:eastAsia="Times New Roman" w:hAnsi="Times New Roman" w:cs="Times New Roman"/>
              </w:rPr>
            </w:pPr>
            <w:r>
              <w:rPr>
                <w:color w:val="000000"/>
                <w:sz w:val="20"/>
                <w:szCs w:val="20"/>
                <w:highlight w:val="white"/>
              </w:rPr>
              <w:t>Kenya</w:t>
            </w:r>
          </w:p>
        </w:tc>
        <w:tc>
          <w:tcPr>
            <w:tcW w:w="102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40F2684" w14:textId="77777777" w:rsidR="000E5CD4" w:rsidRDefault="00000000">
            <w:pPr>
              <w:rPr>
                <w:rFonts w:ascii="Times New Roman" w:eastAsia="Times New Roman" w:hAnsi="Times New Roman" w:cs="Times New Roman"/>
              </w:rPr>
            </w:pPr>
            <w:r>
              <w:rPr>
                <w:color w:val="000000"/>
                <w:sz w:val="20"/>
                <w:szCs w:val="20"/>
                <w:highlight w:val="white"/>
              </w:rPr>
              <w:t>0.22</w:t>
            </w:r>
          </w:p>
        </w:tc>
        <w:tc>
          <w:tcPr>
            <w:tcW w:w="228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4457A70" w14:textId="77777777" w:rsidR="000E5CD4" w:rsidRDefault="00000000">
            <w:pPr>
              <w:rPr>
                <w:rFonts w:ascii="Times New Roman" w:eastAsia="Times New Roman" w:hAnsi="Times New Roman" w:cs="Times New Roman"/>
              </w:rPr>
            </w:pPr>
            <w:r>
              <w:rPr>
                <w:color w:val="000000"/>
                <w:sz w:val="20"/>
                <w:szCs w:val="20"/>
                <w:highlight w:val="white"/>
              </w:rPr>
              <w:t>Based on reported minutes spent cooking with each fuel before and after the introduction of the Mimi Moto stove.</w:t>
            </w:r>
          </w:p>
        </w:tc>
      </w:tr>
      <w:tr w:rsidR="000E5CD4" w14:paraId="561625CC" w14:textId="77777777">
        <w:trPr>
          <w:trHeight w:val="320"/>
        </w:trPr>
        <w:tc>
          <w:tcPr>
            <w:tcW w:w="471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E68CE9A" w14:textId="67C3E5DA" w:rsidR="000E5CD4" w:rsidRDefault="00000000">
            <w:pPr>
              <w:rPr>
                <w:rFonts w:ascii="Times New Roman" w:eastAsia="Times New Roman" w:hAnsi="Times New Roman" w:cs="Times New Roman"/>
              </w:rPr>
            </w:pPr>
            <w:r>
              <w:rPr>
                <w:color w:val="000000"/>
                <w:sz w:val="20"/>
                <w:szCs w:val="20"/>
              </w:rPr>
              <w:t>Opening the black pot: A service design-driven approach to understanding the use of cleaner cookstoves in peri-urban Kenya</w:t>
            </w:r>
            <w:r>
              <w:fldChar w:fldCharType="begin"/>
            </w:r>
            <w:r w:rsidR="003C3E9E">
              <w:instrText xml:space="preserve"> ADDIN ZOTERO_ITEM CSL_CITATION {"citationID":"6klm3vLf","properties":{"formattedCitation":"\\super 15\\nosupersub{}","plainCitation":"15","noteIndex":0},"citationItems":[{"id":1217,"uris":["http://zotero.org/users/9292969/items/LIZIY79Y"],"itemData":{"id":1217,"type":"article-journal","abstract":"Decades of efforts to replace traditional cooking methods that rely on solid biomass fuels with cleaner-burning and more energy-efficient cookstoves have fallen short of expectations, typically because the new stoves are only used for a short time, or they fail to fully displace the traditional methods. This points to a need to better understand how cookstove users assign value to the new cooking technologies. Recent research has shown that service design methods can help cookstove developers and programme implementers to better understand users’ values, preferences, and needs and improve the stoves and supporting services to achieve greater success. This study builds on that work by combining service design methods and quantitative monitoring of cookstove usage in a small-scale pilot project to introduce clean burning biomass pellet cookstoves in two peri-urban areas outside Nairobi, Kenya. It identifies three different user archetypes, based on their primary motivation for trying new stoves – saving money, convenience, and health and safety. It finds critical weaknesses in the pilot intervention from the perspective of each archetype, and it verifies the findings of the qualitative analysis by reviewing the corresponding stove use monitoring data.","container-title":"Energy Research and Social Science","DOI":"10.1016/j.erss.2020.101754","ISSN":"22146296","issue":"December 2019","note":"publisher: Elsevier","page":"101754","title":"Opening the black pot: A service design-driven approach to understanding the use of cleaner cookstoves in peri-urban Kenya","URL":"http://www.sciencedirect.com/science/article/pii/S2214629620303297","volume":"70","author":[{"family":"Lambe","given":"Fiona"},{"family":"Ran","given":"Ylva"},{"family":"Kwamboka","given":"Elvine"},{"family":"Holmlid","given":"Stefan"},{"family":"Lycke","given":"Karin"},{"family":"Ringström","given":"Susanne"},{"family":"Annebäck","given":"Jenny"},{"family":"Ghosh","given":"Emily"},{"family":"O'Conner","given":"Margaret"},{"family":"Bailis","given":"Rob"}],"issued":{"date-parts":[["2020"]]}}}],"schema":"https://github.com/citation-style-language/schema/raw/master/csl-citation.json"} </w:instrText>
            </w:r>
            <w:r>
              <w:fldChar w:fldCharType="separate"/>
            </w:r>
            <w:r w:rsidR="003C3E9E" w:rsidRPr="003C3E9E">
              <w:rPr>
                <w:vertAlign w:val="superscript"/>
              </w:rPr>
              <w:t>15</w:t>
            </w:r>
            <w:r>
              <w:rPr>
                <w:color w:val="000000"/>
                <w:sz w:val="20"/>
                <w:szCs w:val="20"/>
              </w:rPr>
              <w:fldChar w:fldCharType="end"/>
            </w:r>
          </w:p>
        </w:tc>
        <w:tc>
          <w:tcPr>
            <w:tcW w:w="13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5CAE940" w14:textId="77777777" w:rsidR="000E5CD4" w:rsidRDefault="00000000">
            <w:pPr>
              <w:rPr>
                <w:rFonts w:ascii="Times New Roman" w:eastAsia="Times New Roman" w:hAnsi="Times New Roman" w:cs="Times New Roman"/>
              </w:rPr>
            </w:pPr>
            <w:r>
              <w:rPr>
                <w:color w:val="000000"/>
                <w:sz w:val="20"/>
                <w:szCs w:val="20"/>
                <w:highlight w:val="white"/>
              </w:rPr>
              <w:t>Kenya</w:t>
            </w:r>
          </w:p>
        </w:tc>
        <w:tc>
          <w:tcPr>
            <w:tcW w:w="102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463071B" w14:textId="77777777" w:rsidR="000E5CD4" w:rsidRDefault="00000000">
            <w:pPr>
              <w:rPr>
                <w:rFonts w:ascii="Times New Roman" w:eastAsia="Times New Roman" w:hAnsi="Times New Roman" w:cs="Times New Roman"/>
              </w:rPr>
            </w:pPr>
            <w:r>
              <w:rPr>
                <w:color w:val="000000"/>
                <w:sz w:val="20"/>
                <w:szCs w:val="20"/>
                <w:highlight w:val="white"/>
              </w:rPr>
              <w:t>0.012</w:t>
            </w:r>
          </w:p>
        </w:tc>
        <w:tc>
          <w:tcPr>
            <w:tcW w:w="228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6145BE5" w14:textId="77777777" w:rsidR="000E5CD4" w:rsidRDefault="00000000">
            <w:pPr>
              <w:rPr>
                <w:rFonts w:ascii="Times New Roman" w:eastAsia="Times New Roman" w:hAnsi="Times New Roman" w:cs="Times New Roman"/>
              </w:rPr>
            </w:pPr>
            <w:r>
              <w:rPr>
                <w:color w:val="000000"/>
                <w:sz w:val="20"/>
                <w:szCs w:val="20"/>
                <w:highlight w:val="white"/>
              </w:rPr>
              <w:t>Based on reported minutes spent cooking with each fuel before and after the introduction of the Mimi Moto stove.</w:t>
            </w:r>
          </w:p>
        </w:tc>
      </w:tr>
      <w:tr w:rsidR="000E5CD4" w14:paraId="0028BD6B" w14:textId="77777777">
        <w:trPr>
          <w:trHeight w:val="320"/>
        </w:trPr>
        <w:tc>
          <w:tcPr>
            <w:tcW w:w="471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2AB4F97F" w14:textId="2BECE003" w:rsidR="000E5CD4" w:rsidRDefault="00000000">
            <w:pPr>
              <w:rPr>
                <w:rFonts w:ascii="Times New Roman" w:eastAsia="Times New Roman" w:hAnsi="Times New Roman" w:cs="Times New Roman"/>
              </w:rPr>
            </w:pPr>
            <w:r>
              <w:rPr>
                <w:color w:val="000000"/>
                <w:sz w:val="20"/>
                <w:szCs w:val="20"/>
              </w:rPr>
              <w:t xml:space="preserve">Opening the black pot: A service design-driven approach to understanding the use of cleaner cookstoves in peri-urban </w:t>
            </w:r>
            <w:r>
              <w:rPr>
                <w:sz w:val="20"/>
                <w:szCs w:val="20"/>
              </w:rPr>
              <w:t>Kenya</w:t>
            </w:r>
            <w:r>
              <w:fldChar w:fldCharType="begin"/>
            </w:r>
            <w:r w:rsidR="003C3E9E">
              <w:instrText xml:space="preserve"> ADDIN ZOTERO_ITEM CSL_CITATION {"citationID":"3Ad5Xs1L","properties":{"formattedCitation":"\\super 15\\nosupersub{}","plainCitation":"15","noteIndex":0},"citationItems":[{"id":1217,"uris":["http://zotero.org/users/9292969/items/LIZIY79Y"],"itemData":{"id":1217,"type":"article-journal","abstract":"Decades of efforts to replace traditional cooking methods that rely on solid biomass fuels with cleaner-burning and more energy-efficient cookstoves have fallen short of expectations, typically because the new stoves are only used for a short time, or they fail to fully displace the traditional methods. This points to a need to better understand how cookstove users assign value to the new cooking technologies. Recent research has shown that service design methods can help cookstove developers and programme implementers to better understand users’ values, preferences, and needs and improve the stoves and supporting services to achieve greater success. This study builds on that work by combining service design methods and quantitative monitoring of cookstove usage in a small-scale pilot project to introduce clean burning biomass pellet cookstoves in two peri-urban areas outside Nairobi, Kenya. It identifies three different user archetypes, based on their primary motivation for trying new stoves – saving money, convenience, and health and safety. It finds critical weaknesses in the pilot intervention from the perspective of each archetype, and it verifies the findings of the qualitative analysis by reviewing the corresponding stove use monitoring data.","container-title":"Energy Research and Social Science","DOI":"10.1016/j.erss.2020.101754","ISSN":"22146296","issue":"December 2019","note":"publisher: Elsevier","page":"101754","title":"Opening the black pot: A service design-driven approach to understanding the use of cleaner cookstoves in peri-urban Kenya","URL":"http://www.sciencedirect.com/science/article/pii/S2214629620303297","volume":"70","author":[{"family":"Lambe","given":"Fiona"},{"family":"Ran","given":"Ylva"},{"family":"Kwamboka","given":"Elvine"},{"family":"Holmlid","given":"Stefan"},{"family":"Lycke","given":"Karin"},{"family":"Ringström","given":"Susanne"},{"family":"Annebäck","given":"Jenny"},{"family":"Ghosh","given":"Emily"},{"family":"O'Conner","given":"Margaret"},{"family":"Bailis","given":"Rob"}],"issued":{"date-parts":[["2020"]]}}}],"schema":"https://github.com/citation-style-language/schema/raw/master/csl-citation.json"} </w:instrText>
            </w:r>
            <w:r>
              <w:fldChar w:fldCharType="separate"/>
            </w:r>
            <w:r w:rsidR="003C3E9E" w:rsidRPr="003C3E9E">
              <w:rPr>
                <w:vertAlign w:val="superscript"/>
              </w:rPr>
              <w:t>15</w:t>
            </w:r>
            <w:r>
              <w:rPr>
                <w:sz w:val="20"/>
                <w:szCs w:val="20"/>
              </w:rPr>
              <w:fldChar w:fldCharType="end"/>
            </w:r>
          </w:p>
        </w:tc>
        <w:tc>
          <w:tcPr>
            <w:tcW w:w="13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BD456AC" w14:textId="77777777" w:rsidR="000E5CD4" w:rsidRDefault="00000000">
            <w:pPr>
              <w:rPr>
                <w:rFonts w:ascii="Times New Roman" w:eastAsia="Times New Roman" w:hAnsi="Times New Roman" w:cs="Times New Roman"/>
              </w:rPr>
            </w:pPr>
            <w:r>
              <w:rPr>
                <w:color w:val="000000"/>
                <w:sz w:val="20"/>
                <w:szCs w:val="20"/>
                <w:highlight w:val="white"/>
              </w:rPr>
              <w:t>Kenya</w:t>
            </w:r>
          </w:p>
        </w:tc>
        <w:tc>
          <w:tcPr>
            <w:tcW w:w="102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C0E0703" w14:textId="77777777" w:rsidR="000E5CD4" w:rsidRDefault="00000000">
            <w:pPr>
              <w:rPr>
                <w:rFonts w:ascii="Times New Roman" w:eastAsia="Times New Roman" w:hAnsi="Times New Roman" w:cs="Times New Roman"/>
              </w:rPr>
            </w:pPr>
            <w:r>
              <w:rPr>
                <w:color w:val="000000"/>
                <w:sz w:val="20"/>
                <w:szCs w:val="20"/>
                <w:highlight w:val="white"/>
              </w:rPr>
              <w:t>0.22</w:t>
            </w:r>
          </w:p>
        </w:tc>
        <w:tc>
          <w:tcPr>
            <w:tcW w:w="228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12FC1C0" w14:textId="77777777" w:rsidR="000E5CD4" w:rsidRDefault="00000000">
            <w:pPr>
              <w:rPr>
                <w:rFonts w:ascii="Times New Roman" w:eastAsia="Times New Roman" w:hAnsi="Times New Roman" w:cs="Times New Roman"/>
              </w:rPr>
            </w:pPr>
            <w:r>
              <w:rPr>
                <w:color w:val="000000"/>
                <w:sz w:val="20"/>
                <w:szCs w:val="20"/>
                <w:highlight w:val="white"/>
              </w:rPr>
              <w:t>Based on reported minutes spent cooking with each fuel before and after the introduction of the Mimi Moto stove.</w:t>
            </w:r>
          </w:p>
        </w:tc>
      </w:tr>
      <w:tr w:rsidR="000E5CD4" w14:paraId="446A9BA6" w14:textId="77777777">
        <w:trPr>
          <w:trHeight w:val="320"/>
        </w:trPr>
        <w:tc>
          <w:tcPr>
            <w:tcW w:w="471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5F75D1B" w14:textId="77777777" w:rsidR="000E5CD4" w:rsidRDefault="00000000">
            <w:pPr>
              <w:rPr>
                <w:rFonts w:ascii="Times New Roman" w:eastAsia="Times New Roman" w:hAnsi="Times New Roman" w:cs="Times New Roman"/>
              </w:rPr>
            </w:pPr>
            <w:r>
              <w:rPr>
                <w:color w:val="000000"/>
                <w:sz w:val="20"/>
                <w:szCs w:val="20"/>
                <w:highlight w:val="white"/>
              </w:rPr>
              <w:t>Average</w:t>
            </w:r>
          </w:p>
        </w:tc>
        <w:tc>
          <w:tcPr>
            <w:tcW w:w="1335"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DBBA73B" w14:textId="77777777" w:rsidR="000E5CD4" w:rsidRDefault="000E5CD4">
            <w:pPr>
              <w:rPr>
                <w:rFonts w:ascii="Times New Roman" w:eastAsia="Times New Roman" w:hAnsi="Times New Roman" w:cs="Times New Roman"/>
              </w:rPr>
            </w:pPr>
          </w:p>
        </w:tc>
        <w:tc>
          <w:tcPr>
            <w:tcW w:w="102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30B632A" w14:textId="77777777" w:rsidR="000E5CD4" w:rsidRDefault="00000000">
            <w:pPr>
              <w:rPr>
                <w:rFonts w:ascii="Times New Roman" w:eastAsia="Times New Roman" w:hAnsi="Times New Roman" w:cs="Times New Roman"/>
              </w:rPr>
            </w:pPr>
            <w:r>
              <w:rPr>
                <w:color w:val="000000"/>
                <w:sz w:val="20"/>
                <w:szCs w:val="20"/>
                <w:highlight w:val="white"/>
              </w:rPr>
              <w:t>22%</w:t>
            </w:r>
          </w:p>
        </w:tc>
        <w:tc>
          <w:tcPr>
            <w:tcW w:w="228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6E82F47" w14:textId="77777777" w:rsidR="000E5CD4" w:rsidRDefault="000E5CD4">
            <w:pPr>
              <w:rPr>
                <w:rFonts w:ascii="Times New Roman" w:eastAsia="Times New Roman" w:hAnsi="Times New Roman" w:cs="Times New Roman"/>
              </w:rPr>
            </w:pPr>
          </w:p>
        </w:tc>
      </w:tr>
    </w:tbl>
    <w:p w14:paraId="48E1F5AA" w14:textId="77777777" w:rsidR="000E5CD4" w:rsidRDefault="000E5CD4">
      <w:pPr>
        <w:rPr>
          <w:rFonts w:ascii="Times New Roman" w:eastAsia="Times New Roman" w:hAnsi="Times New Roman" w:cs="Times New Roman"/>
        </w:rPr>
      </w:pPr>
    </w:p>
    <w:p w14:paraId="1F9A43BE" w14:textId="77777777" w:rsidR="000E5CD4" w:rsidRDefault="00000000">
      <w:pPr>
        <w:rPr>
          <w:rFonts w:ascii="Times New Roman" w:eastAsia="Times New Roman" w:hAnsi="Times New Roman" w:cs="Times New Roman"/>
        </w:rPr>
      </w:pPr>
      <w:r>
        <w:rPr>
          <w:b/>
          <w:color w:val="000000"/>
          <w:sz w:val="20"/>
          <w:szCs w:val="20"/>
          <w:highlight w:val="white"/>
        </w:rPr>
        <w:t>Rebound Project Investigation</w:t>
      </w:r>
    </w:p>
    <w:p w14:paraId="7C258059" w14:textId="77777777" w:rsidR="000E5CD4" w:rsidRDefault="000E5CD4">
      <w:pPr>
        <w:rPr>
          <w:rFonts w:ascii="Times New Roman" w:eastAsia="Times New Roman" w:hAnsi="Times New Roman" w:cs="Times New Roman"/>
        </w:rPr>
      </w:pPr>
    </w:p>
    <w:p w14:paraId="45B9DC9A" w14:textId="77777777" w:rsidR="000E5CD4" w:rsidRDefault="00000000">
      <w:pPr>
        <w:keepNext/>
        <w:pBdr>
          <w:top w:val="nil"/>
          <w:left w:val="nil"/>
          <w:bottom w:val="nil"/>
          <w:right w:val="nil"/>
          <w:between w:val="nil"/>
        </w:pBdr>
        <w:spacing w:after="200"/>
        <w:rPr>
          <w:i/>
          <w:color w:val="44546A"/>
          <w:sz w:val="18"/>
          <w:szCs w:val="18"/>
        </w:rPr>
      </w:pPr>
      <w:r>
        <w:rPr>
          <w:i/>
          <w:color w:val="44546A"/>
          <w:sz w:val="18"/>
          <w:szCs w:val="18"/>
        </w:rPr>
        <w:t>Table S9. Percentage difference in consumption between values obtained from kitchen performance tests (KPTs) and the values that would be obtained from water boil test (WBT) efficiencies</w:t>
      </w:r>
    </w:p>
    <w:tbl>
      <w:tblPr>
        <w:tblStyle w:val="a7"/>
        <w:tblW w:w="6780" w:type="dxa"/>
        <w:tblInd w:w="-115" w:type="dxa"/>
        <w:tblLayout w:type="fixed"/>
        <w:tblLook w:val="0400" w:firstRow="0" w:lastRow="0" w:firstColumn="0" w:lastColumn="0" w:noHBand="0" w:noVBand="1"/>
      </w:tblPr>
      <w:tblGrid>
        <w:gridCol w:w="1650"/>
        <w:gridCol w:w="5130"/>
      </w:tblGrid>
      <w:tr w:rsidR="000E5CD4" w14:paraId="2C79D4B4" w14:textId="77777777">
        <w:trPr>
          <w:trHeight w:val="320"/>
        </w:trPr>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0650ECF8" w14:textId="77777777" w:rsidR="000E5CD4" w:rsidRDefault="00000000">
            <w:pPr>
              <w:rPr>
                <w:rFonts w:ascii="Times New Roman" w:eastAsia="Times New Roman" w:hAnsi="Times New Roman" w:cs="Times New Roman"/>
              </w:rPr>
            </w:pPr>
            <w:r>
              <w:rPr>
                <w:b/>
                <w:color w:val="000000"/>
                <w:sz w:val="20"/>
                <w:szCs w:val="20"/>
                <w:highlight w:val="white"/>
              </w:rPr>
              <w:t>Project</w:t>
            </w:r>
          </w:p>
        </w:tc>
        <w:tc>
          <w:tcPr>
            <w:tcW w:w="513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99FA495" w14:textId="77777777" w:rsidR="000E5CD4" w:rsidRDefault="00000000">
            <w:pPr>
              <w:rPr>
                <w:rFonts w:ascii="Times New Roman" w:eastAsia="Times New Roman" w:hAnsi="Times New Roman" w:cs="Times New Roman"/>
              </w:rPr>
            </w:pPr>
            <w:r>
              <w:rPr>
                <w:b/>
                <w:color w:val="000000"/>
                <w:sz w:val="20"/>
                <w:szCs w:val="20"/>
                <w:highlight w:val="white"/>
              </w:rPr>
              <w:t>% KPT consumption value is larger than expected value given a WBT</w:t>
            </w:r>
          </w:p>
        </w:tc>
      </w:tr>
      <w:tr w:rsidR="000E5CD4" w14:paraId="0C061824" w14:textId="77777777">
        <w:trPr>
          <w:trHeight w:val="320"/>
        </w:trPr>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58E1B86F" w14:textId="77777777" w:rsidR="000E5CD4" w:rsidRDefault="00000000">
            <w:pPr>
              <w:rPr>
                <w:rFonts w:ascii="Times New Roman" w:eastAsia="Times New Roman" w:hAnsi="Times New Roman" w:cs="Times New Roman"/>
              </w:rPr>
            </w:pPr>
            <w:r>
              <w:rPr>
                <w:color w:val="000000"/>
                <w:sz w:val="20"/>
                <w:szCs w:val="20"/>
                <w:highlight w:val="white"/>
              </w:rPr>
              <w:t>GS 5642</w:t>
            </w:r>
          </w:p>
        </w:tc>
        <w:tc>
          <w:tcPr>
            <w:tcW w:w="513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66D5942" w14:textId="77777777" w:rsidR="000E5CD4" w:rsidRDefault="00000000">
            <w:pPr>
              <w:rPr>
                <w:rFonts w:ascii="Times New Roman" w:eastAsia="Times New Roman" w:hAnsi="Times New Roman" w:cs="Times New Roman"/>
              </w:rPr>
            </w:pPr>
            <w:r>
              <w:rPr>
                <w:color w:val="000000"/>
                <w:sz w:val="20"/>
                <w:szCs w:val="20"/>
                <w:highlight w:val="white"/>
              </w:rPr>
              <w:t>47%</w:t>
            </w:r>
          </w:p>
        </w:tc>
      </w:tr>
      <w:tr w:rsidR="000E5CD4" w14:paraId="096C2015" w14:textId="77777777">
        <w:trPr>
          <w:trHeight w:val="320"/>
        </w:trPr>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0D8C46A" w14:textId="77777777" w:rsidR="000E5CD4" w:rsidRDefault="00000000">
            <w:pPr>
              <w:rPr>
                <w:rFonts w:ascii="Times New Roman" w:eastAsia="Times New Roman" w:hAnsi="Times New Roman" w:cs="Times New Roman"/>
              </w:rPr>
            </w:pPr>
            <w:r>
              <w:rPr>
                <w:color w:val="000000"/>
                <w:sz w:val="20"/>
                <w:szCs w:val="20"/>
                <w:highlight w:val="white"/>
              </w:rPr>
              <w:t>GS 447</w:t>
            </w:r>
          </w:p>
        </w:tc>
        <w:tc>
          <w:tcPr>
            <w:tcW w:w="513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76F3FE35" w14:textId="77777777" w:rsidR="000E5CD4" w:rsidRDefault="00000000">
            <w:pPr>
              <w:rPr>
                <w:rFonts w:ascii="Times New Roman" w:eastAsia="Times New Roman" w:hAnsi="Times New Roman" w:cs="Times New Roman"/>
              </w:rPr>
            </w:pPr>
            <w:r>
              <w:rPr>
                <w:color w:val="000000"/>
                <w:sz w:val="20"/>
                <w:szCs w:val="20"/>
                <w:highlight w:val="white"/>
              </w:rPr>
              <w:t>32%</w:t>
            </w:r>
          </w:p>
        </w:tc>
      </w:tr>
      <w:tr w:rsidR="000E5CD4" w14:paraId="2B516384" w14:textId="77777777">
        <w:trPr>
          <w:trHeight w:val="320"/>
        </w:trPr>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14177D9A" w14:textId="77777777" w:rsidR="000E5CD4" w:rsidRDefault="00000000">
            <w:pPr>
              <w:rPr>
                <w:rFonts w:ascii="Times New Roman" w:eastAsia="Times New Roman" w:hAnsi="Times New Roman" w:cs="Times New Roman"/>
              </w:rPr>
            </w:pPr>
            <w:r>
              <w:rPr>
                <w:color w:val="000000"/>
                <w:sz w:val="20"/>
                <w:szCs w:val="20"/>
                <w:highlight w:val="white"/>
              </w:rPr>
              <w:t>GS 7312</w:t>
            </w:r>
          </w:p>
        </w:tc>
        <w:tc>
          <w:tcPr>
            <w:tcW w:w="513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43A4AB8" w14:textId="77777777" w:rsidR="000E5CD4" w:rsidRDefault="00000000">
            <w:pPr>
              <w:rPr>
                <w:rFonts w:ascii="Times New Roman" w:eastAsia="Times New Roman" w:hAnsi="Times New Roman" w:cs="Times New Roman"/>
              </w:rPr>
            </w:pPr>
            <w:r>
              <w:rPr>
                <w:color w:val="000000"/>
                <w:sz w:val="20"/>
                <w:szCs w:val="20"/>
                <w:highlight w:val="white"/>
              </w:rPr>
              <w:t>16%</w:t>
            </w:r>
          </w:p>
        </w:tc>
      </w:tr>
      <w:tr w:rsidR="000E5CD4" w14:paraId="57589576" w14:textId="77777777">
        <w:trPr>
          <w:trHeight w:val="320"/>
        </w:trPr>
        <w:tc>
          <w:tcPr>
            <w:tcW w:w="165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6C637D4B" w14:textId="77777777" w:rsidR="000E5CD4" w:rsidRDefault="00000000">
            <w:pPr>
              <w:rPr>
                <w:rFonts w:ascii="Times New Roman" w:eastAsia="Times New Roman" w:hAnsi="Times New Roman" w:cs="Times New Roman"/>
              </w:rPr>
            </w:pPr>
            <w:r>
              <w:rPr>
                <w:color w:val="000000"/>
                <w:sz w:val="20"/>
                <w:szCs w:val="20"/>
                <w:highlight w:val="white"/>
              </w:rPr>
              <w:lastRenderedPageBreak/>
              <w:t>Average</w:t>
            </w:r>
          </w:p>
        </w:tc>
        <w:tc>
          <w:tcPr>
            <w:tcW w:w="5130" w:type="dxa"/>
            <w:tcBorders>
              <w:top w:val="single" w:sz="4" w:space="0" w:color="000000"/>
              <w:left w:val="single" w:sz="4" w:space="0" w:color="000000"/>
              <w:bottom w:val="single" w:sz="4" w:space="0" w:color="000000"/>
              <w:right w:val="single" w:sz="4" w:space="0" w:color="000000"/>
            </w:tcBorders>
            <w:tcMar>
              <w:top w:w="15" w:type="dxa"/>
              <w:left w:w="115" w:type="dxa"/>
              <w:bottom w:w="15" w:type="dxa"/>
              <w:right w:w="115" w:type="dxa"/>
            </w:tcMar>
          </w:tcPr>
          <w:p w14:paraId="3FCA84E2" w14:textId="77777777" w:rsidR="000E5CD4" w:rsidRDefault="00000000">
            <w:pPr>
              <w:rPr>
                <w:rFonts w:ascii="Times New Roman" w:eastAsia="Times New Roman" w:hAnsi="Times New Roman" w:cs="Times New Roman"/>
              </w:rPr>
            </w:pPr>
            <w:r>
              <w:rPr>
                <w:color w:val="000000"/>
                <w:sz w:val="20"/>
                <w:szCs w:val="20"/>
                <w:highlight w:val="white"/>
              </w:rPr>
              <w:t>32%</w:t>
            </w:r>
          </w:p>
        </w:tc>
      </w:tr>
    </w:tbl>
    <w:p w14:paraId="7C6AB504" w14:textId="77777777" w:rsidR="000E5CD4" w:rsidRDefault="00000000">
      <w:pPr>
        <w:rPr>
          <w:rFonts w:ascii="Times New Roman" w:eastAsia="Times New Roman" w:hAnsi="Times New Roman" w:cs="Times New Roman"/>
        </w:rPr>
      </w:pPr>
      <w:r>
        <w:br w:type="page"/>
      </w:r>
    </w:p>
    <w:p w14:paraId="24AF62E6" w14:textId="77777777" w:rsidR="000E5CD4" w:rsidRDefault="000E5CD4">
      <w:pPr>
        <w:rPr>
          <w:rFonts w:ascii="Times New Roman" w:eastAsia="Times New Roman" w:hAnsi="Times New Roman" w:cs="Times New Roman"/>
        </w:rPr>
      </w:pPr>
    </w:p>
    <w:p w14:paraId="7771E28D" w14:textId="77777777" w:rsidR="000E5CD4" w:rsidRDefault="000E5CD4">
      <w:pPr>
        <w:rPr>
          <w:rFonts w:ascii="Times New Roman" w:eastAsia="Times New Roman" w:hAnsi="Times New Roman" w:cs="Times New Roman"/>
        </w:rPr>
      </w:pPr>
    </w:p>
    <w:p w14:paraId="670D229F" w14:textId="77777777" w:rsidR="000E5CD4" w:rsidRDefault="00000000">
      <w:pPr>
        <w:pStyle w:val="Heading2"/>
      </w:pPr>
      <w:bookmarkStart w:id="11" w:name="_l27roddxrggl" w:colFirst="0" w:colLast="0"/>
      <w:bookmarkEnd w:id="11"/>
      <w:r>
        <w:t>XII. Overview of types of monitoring</w:t>
      </w:r>
    </w:p>
    <w:p w14:paraId="7DF62113" w14:textId="77777777" w:rsidR="000E5CD4" w:rsidRDefault="000E5CD4"/>
    <w:p w14:paraId="665FC4A5" w14:textId="7AE5012A" w:rsidR="000E5CD4" w:rsidRDefault="00000000">
      <w:pPr>
        <w:rPr>
          <w:sz w:val="20"/>
          <w:szCs w:val="20"/>
          <w:highlight w:val="white"/>
        </w:rPr>
      </w:pPr>
      <w:r>
        <w:rPr>
          <w:sz w:val="20"/>
          <w:szCs w:val="20"/>
          <w:highlight w:val="white"/>
        </w:rPr>
        <w:t>There are four main categories of in-field monitoring: surveys, KPTs, temperature sensors, emission sensors, and fuel sensors (e.g., meters, fuel purchase data, the new FUEL monitor). Under GS-Metered, only fuel sensors would apply as these monitoring systems directly and automatically track project fuel consumption. However, the literature we rely on use, and our recommendations require a combination of these methods, except emission sensors.</w:t>
      </w:r>
      <w:r>
        <w:rPr>
          <w:b/>
          <w:sz w:val="20"/>
          <w:szCs w:val="20"/>
          <w:highlight w:val="white"/>
        </w:rPr>
        <w:t xml:space="preserve"> </w:t>
      </w:r>
      <w:r>
        <w:rPr>
          <w:sz w:val="20"/>
          <w:szCs w:val="20"/>
          <w:highlight w:val="white"/>
        </w:rPr>
        <w:t xml:space="preserve">However, these methods/sensor types are often confused or equated; thus, we delineate each here. We outline surveys and KPTs in the main text/online methods. Stove uses monitors (SUMs) record time and temperature, which can measure cooking events without input from the user. SUMs have been defined as </w:t>
      </w:r>
      <w:r>
        <w:rPr>
          <w:color w:val="212121"/>
          <w:sz w:val="20"/>
          <w:szCs w:val="20"/>
          <w:highlight w:val="white"/>
        </w:rPr>
        <w:t>“devices that objectively quantify stove use through direct measurements of physical or chemical parameters (temperature, heat flux, light, current, motion, gas concentrations, etc.) on stoves, kitchens, cookware or food.” H</w:t>
      </w:r>
      <w:r>
        <w:rPr>
          <w:sz w:val="20"/>
          <w:szCs w:val="20"/>
          <w:highlight w:val="white"/>
        </w:rPr>
        <w:t xml:space="preserve">owever, they do not track the amount of fuel or energy used directly. The monitors are typically used in conjunction with a device readout, data transmission and storage interfaces, data analysis algorithm, database </w:t>
      </w:r>
      <w:r w:rsidR="003C3E9E">
        <w:rPr>
          <w:sz w:val="20"/>
          <w:szCs w:val="20"/>
          <w:highlight w:val="white"/>
        </w:rPr>
        <w:t>management</w:t>
      </w:r>
      <w:r>
        <w:rPr>
          <w:sz w:val="20"/>
          <w:szCs w:val="20"/>
          <w:highlight w:val="white"/>
        </w:rPr>
        <w:t xml:space="preserve"> and reporting tools”</w:t>
      </w:r>
      <w:r>
        <w:fldChar w:fldCharType="begin"/>
      </w:r>
      <w:r w:rsidR="003C3E9E">
        <w:instrText xml:space="preserve"> ADDIN ZOTERO_ITEM CSL_CITATION {"citationID":"8O8ENgkq","properties":{"formattedCitation":"\\super 16\\nosupersub{}","plainCitation":"16","noteIndex":0},"citationItems":[{"id":485,"uris":["http://zotero.org/users/9292969/items/SN7TT5AW"],"itemData":{"id":485,"type":"thesis","abstract":"This dissertation presents a framework of analysis to characterize stove adoption and it introduces the field methods, signal analysis, metrics and visualization tools to quantify the adoption process using low-cost temperature dataloggers as Stove Use Monitors (SUMs). The SUMs enable the parameterization of stove usage behavior as a critical stove performance parameter that can be objectively measured, unobtrusively monitored and systematically evaluated together with the reductions in air pollution exposures, fuel consumption and greenhouse gas emissions. Data from two biomass chimney-stove case studies are presented: the Guatemala CRECER-RESPIRE stove trial and the Mexico Patsari Stove Project.     In the first two chapters I review the main approaches to study the stove adoption process. I propose a new framework that redefines the emphasis previously placed solely on the stove technology, extending it to include the whole cooking system, thereby including the dynamic complex interactions between stoves, fuels and household behavior with the greater socioeconomic and ecological contexts. Drawing from field data and well-documented experiences at the two study sites I find that at the population level the adoption process has three stages: initial adoption, sustained use, and disadoption. Further, I find that the process can be characterized by the following critical parameters: level of acceptance, level of initial use, level of sustained use, time for stabilization, and magnitude of the seasonal fluctuations.    In the third chapter I introduce the concept of Stove Use Monitors (SUMs), devices that objectively quantify stove use through direct measurements of physical or chemical parameters on stoves, cookware or food. Using Thermochron iButton temperature dataloggers as SUMs I recorded the initial adoption and sustained use by 82 households in the Guatemala CRECER stove trial. During the 32 months of the study, I recorded stove temperature signals from a total of 31,112 stove-days, with a 10% data loss rate. I present the protocols for sensor placement, data collection and data management specific to these sensors. I implemented a peak detection algorithm based on the instantaneous derivatives and the statistical long-term behavior of the stove and the ambient temperature signals to count the number of daily meals and determine daily usage.    In the fourth chapter I study the critical role of behavior in the adoption process and in the delivery of benefits from cookstoves. I focus on the patterns of stove stacking found in the RESPIRE and CRECER studies. Using graphic representations for hierarchical clustering analysis (\"heat maps\"), I identify groups of households that had similar combined stove-fire use behavioral patterns (\"stove stacking clusters\"). Despite the high levels of stove use measured with the SUMs, fifty-percent of the households reported continued use of an open fire. The preparation of animal feed was the task most commonly performed with the fire (46% of the households) followed by the boiling of corn kernels to prepare tortillas (nixtamal, 25%), space heating (13%), boiling water (11%) and preparing food for the family (11%). The stratification of the SUMs-measured stove use was strongly driven by the preferences of the households for using the stove or the fire for specific tasks.    Chapter five presents an integrated discussion and the concluding remarks of the dissertation. I conclude that when the energy end-uses of the open fires extend beyond cooking, cookstoves become imperfect substitutes for all fire tasks. Therefore, in addition to monitoring cookstove use it is crucial to include the residual use of traditional fires in the assessment of the impacts brought by the sustained use of new a cookstove. I describe current research efforts in the development of monitoring tools for stove adoption and discuss the need for open source platforms to scale up stove use monitoring and to merge fuel consumption, air pollution and emissions data with stove use parameters.  (Abstract shortened by UMI.)","event-place":"Ann Arbor","language":"English","note":"container-title: ProQuest Dissertations and Theses\nISBN: 978-1-321-26092-2","number-of-pages":"128","publisher":"University of California, Berkeley","publisher-place":"Ann Arbor","title":"The Stove Adoption Process: Quantification Using Stove Use Monitors (SUMs) in Households Cooking with Fuelwood","URL":"https://search.proquest.com/docview/1627780350?accountid=14496","author":[{"family":"Ruiz Mercado","given":"Ilse"}],"issued":{"date-parts":[["2012"]]}}}],"schema":"https://github.com/citation-style-language/schema/raw/master/csl-citation.json"} </w:instrText>
      </w:r>
      <w:r>
        <w:fldChar w:fldCharType="separate"/>
      </w:r>
      <w:r w:rsidR="003C3E9E" w:rsidRPr="003C3E9E">
        <w:rPr>
          <w:vertAlign w:val="superscript"/>
        </w:rPr>
        <w:t>16</w:t>
      </w:r>
      <w:r>
        <w:rPr>
          <w:sz w:val="20"/>
          <w:szCs w:val="20"/>
          <w:highlight w:val="white"/>
        </w:rPr>
        <w:fldChar w:fldCharType="end"/>
      </w:r>
      <w:r>
        <w:rPr>
          <w:b/>
          <w:sz w:val="20"/>
          <w:szCs w:val="20"/>
          <w:highlight w:val="white"/>
        </w:rPr>
        <w:t xml:space="preserve">. </w:t>
      </w:r>
      <w:r>
        <w:rPr>
          <w:sz w:val="20"/>
          <w:szCs w:val="20"/>
          <w:highlight w:val="white"/>
        </w:rPr>
        <w:t>There are also a range of emission sensors that directly measure pollutant for personal exposure</w:t>
      </w:r>
      <w:r w:rsidR="00C077FD">
        <w:rPr>
          <w:sz w:val="20"/>
          <w:szCs w:val="20"/>
          <w:highlight w:val="white"/>
        </w:rPr>
        <w:t xml:space="preserve">, </w:t>
      </w:r>
      <w:r>
        <w:rPr>
          <w:sz w:val="20"/>
          <w:szCs w:val="20"/>
          <w:highlight w:val="white"/>
        </w:rPr>
        <w:t xml:space="preserve">within rooms (e.g., kitchens) or outside (i.e., ambient pollution). Emissions </w:t>
      </w:r>
      <w:r w:rsidR="003C3E9E">
        <w:rPr>
          <w:sz w:val="20"/>
          <w:szCs w:val="20"/>
          <w:highlight w:val="white"/>
        </w:rPr>
        <w:t>sensors</w:t>
      </w:r>
      <w:r>
        <w:rPr>
          <w:sz w:val="20"/>
          <w:szCs w:val="20"/>
          <w:highlight w:val="white"/>
        </w:rPr>
        <w:t xml:space="preserve"> vary in quality, technique, and specific targeted pollutant etc., and report pollutant exposure as opposed to </w:t>
      </w:r>
      <w:r w:rsidR="003C3E9E">
        <w:rPr>
          <w:sz w:val="20"/>
          <w:szCs w:val="20"/>
          <w:highlight w:val="white"/>
        </w:rPr>
        <w:t>the adoption</w:t>
      </w:r>
      <w:r>
        <w:rPr>
          <w:sz w:val="20"/>
          <w:szCs w:val="20"/>
          <w:highlight w:val="white"/>
        </w:rPr>
        <w:t xml:space="preserve">, usage, or stacking </w:t>
      </w:r>
      <w:r w:rsidR="00C077FD">
        <w:rPr>
          <w:sz w:val="20"/>
          <w:szCs w:val="20"/>
          <w:highlight w:val="white"/>
        </w:rPr>
        <w:t>rates</w:t>
      </w:r>
      <w:r>
        <w:rPr>
          <w:sz w:val="20"/>
          <w:szCs w:val="20"/>
          <w:highlight w:val="white"/>
        </w:rPr>
        <w:t xml:space="preserve">. Some sensors can record the carbon dioxide, carbon monoxide, particle light scattering, temperature, and relative humidity (e.g., the STove Emissions Measurement System), while others track particulate matter or carbon monoxide explicitly (e.g., Berkeley Particle and Temperature Sensor). This sensor type is typically used for rigorous </w:t>
      </w:r>
      <w:r w:rsidR="003C3E9E">
        <w:rPr>
          <w:sz w:val="20"/>
          <w:szCs w:val="20"/>
          <w:highlight w:val="white"/>
        </w:rPr>
        <w:t>epidemiologic</w:t>
      </w:r>
      <w:r>
        <w:rPr>
          <w:sz w:val="20"/>
          <w:szCs w:val="20"/>
          <w:highlight w:val="white"/>
        </w:rPr>
        <w:t xml:space="preserve"> and climate research, or to quantify the health impact of stoves (i.e., estimate aDALYs). Finally, fuel sensors meter or track fuel consumption. There have been many advancements in this space recently with meters, pay-as-you-go stoves, and even the FUEL (see methods). These sensors are the type of monitoring required by GS-Metered; however, fuel purchase data has also been added as a method to track project fuel consumption. </w:t>
      </w:r>
    </w:p>
    <w:p w14:paraId="0307D9C4" w14:textId="77777777" w:rsidR="000E5CD4" w:rsidRDefault="000E5CD4"/>
    <w:p w14:paraId="5F39F64A" w14:textId="77777777" w:rsidR="000E5CD4" w:rsidRDefault="00000000">
      <w:pPr>
        <w:pStyle w:val="Heading2"/>
      </w:pPr>
      <w:bookmarkStart w:id="12" w:name="_y9x8glg03oj0" w:colFirst="0" w:colLast="0"/>
      <w:bookmarkEnd w:id="12"/>
      <w:r>
        <w:t xml:space="preserve">XIII. Types of Meters /Purchase Data Approaches </w:t>
      </w:r>
    </w:p>
    <w:p w14:paraId="4DAA56AB" w14:textId="77777777" w:rsidR="000E5CD4" w:rsidRDefault="000E5CD4">
      <w:pPr>
        <w:rPr>
          <w:b/>
          <w:sz w:val="20"/>
          <w:szCs w:val="20"/>
          <w:highlight w:val="white"/>
        </w:rPr>
      </w:pPr>
    </w:p>
    <w:p w14:paraId="1ACBAA2D" w14:textId="223CE340" w:rsidR="000E5CD4" w:rsidRDefault="00000000">
      <w:pPr>
        <w:rPr>
          <w:sz w:val="20"/>
          <w:szCs w:val="20"/>
          <w:highlight w:val="white"/>
        </w:rPr>
      </w:pPr>
      <w:r>
        <w:rPr>
          <w:sz w:val="20"/>
          <w:szCs w:val="20"/>
          <w:highlight w:val="white"/>
        </w:rPr>
        <w:t xml:space="preserve">GS Metered &amp; measured methodology defines a metered cooking device as </w:t>
      </w:r>
      <w:r w:rsidR="003C3E9E">
        <w:rPr>
          <w:sz w:val="20"/>
          <w:szCs w:val="20"/>
          <w:highlight w:val="white"/>
        </w:rPr>
        <w:t>“cooking</w:t>
      </w:r>
      <w:r>
        <w:rPr>
          <w:sz w:val="20"/>
          <w:szCs w:val="20"/>
          <w:highlight w:val="white"/>
        </w:rPr>
        <w:t xml:space="preserve"> devices for heating and cooking food that either record fuel or energy use directly, or through a supplementary meter with the ability to record amount of energy or fuel used for cooking over </w:t>
      </w:r>
      <w:proofErr w:type="gramStart"/>
      <w:r>
        <w:rPr>
          <w:sz w:val="20"/>
          <w:szCs w:val="20"/>
          <w:highlight w:val="white"/>
        </w:rPr>
        <w:t>a period of time</w:t>
      </w:r>
      <w:proofErr w:type="gramEnd"/>
      <w:r>
        <w:rPr>
          <w:sz w:val="20"/>
          <w:szCs w:val="20"/>
          <w:highlight w:val="white"/>
        </w:rPr>
        <w:t xml:space="preserve">. These may, amongst others, include induction cookstoves, electric pressure cookers, hot plates, rice cookers, solar electric cookers, and metered LPG and ethanol cookers when metered and sold for use in a dedicated device. We note that the ability to use purchase data lovers the barrier to entry to register under GS’s Metered &amp; measured. </w:t>
      </w:r>
    </w:p>
    <w:p w14:paraId="124C41D7" w14:textId="77777777" w:rsidR="000E5CD4" w:rsidRDefault="000E5CD4">
      <w:pPr>
        <w:rPr>
          <w:highlight w:val="white"/>
        </w:rPr>
      </w:pPr>
    </w:p>
    <w:p w14:paraId="12867F25" w14:textId="77777777" w:rsidR="000E5CD4" w:rsidRDefault="00000000">
      <w:pPr>
        <w:rPr>
          <w:sz w:val="20"/>
          <w:szCs w:val="20"/>
          <w:highlight w:val="white"/>
        </w:rPr>
      </w:pPr>
      <w:r>
        <w:rPr>
          <w:b/>
          <w:sz w:val="20"/>
          <w:szCs w:val="20"/>
          <w:highlight w:val="white"/>
        </w:rPr>
        <w:t>GS 11330</w:t>
      </w:r>
      <w:r>
        <w:rPr>
          <w:sz w:val="20"/>
          <w:szCs w:val="20"/>
          <w:highlight w:val="white"/>
        </w:rPr>
        <w:t xml:space="preserve"> uses a Smart meter, which is a proprietary technology of Circle Gas Limited that provides real time monitoring of LPG consumption as the meter releases gas to customers based on the amount of money the customer has paid through an electronic payment system. There is a customer application that allows the project to communicate with customers to provide support, maintenance, etc.  </w:t>
      </w:r>
    </w:p>
    <w:p w14:paraId="4CC85E18" w14:textId="77777777" w:rsidR="000E5CD4" w:rsidRDefault="00000000">
      <w:pPr>
        <w:rPr>
          <w:sz w:val="20"/>
          <w:szCs w:val="20"/>
          <w:highlight w:val="white"/>
        </w:rPr>
      </w:pPr>
      <w:r>
        <w:rPr>
          <w:sz w:val="20"/>
          <w:szCs w:val="20"/>
          <w:highlight w:val="white"/>
        </w:rPr>
        <w:t xml:space="preserve"> </w:t>
      </w:r>
    </w:p>
    <w:p w14:paraId="3DCEACA4" w14:textId="77777777" w:rsidR="000E5CD4" w:rsidRDefault="00000000">
      <w:pPr>
        <w:rPr>
          <w:sz w:val="20"/>
          <w:szCs w:val="20"/>
          <w:highlight w:val="white"/>
        </w:rPr>
      </w:pPr>
      <w:r>
        <w:rPr>
          <w:b/>
          <w:sz w:val="20"/>
          <w:szCs w:val="20"/>
          <w:highlight w:val="white"/>
        </w:rPr>
        <w:t>GS 11352</w:t>
      </w:r>
      <w:r>
        <w:rPr>
          <w:sz w:val="20"/>
          <w:szCs w:val="20"/>
          <w:highlight w:val="white"/>
        </w:rPr>
        <w:t xml:space="preserve"> uses purchase data from sales receipts for standardized packaged units of pellets. The project clarifies that there are no alternative uses for pellets besides cooking. The packaging is also done with calibrated equipment following industry standards and national requirements.</w:t>
      </w:r>
    </w:p>
    <w:p w14:paraId="3CC1D4F6" w14:textId="77777777" w:rsidR="000E5CD4" w:rsidRDefault="00000000">
      <w:pPr>
        <w:rPr>
          <w:sz w:val="20"/>
          <w:szCs w:val="20"/>
          <w:highlight w:val="white"/>
        </w:rPr>
      </w:pPr>
      <w:r>
        <w:rPr>
          <w:sz w:val="20"/>
          <w:szCs w:val="20"/>
          <w:highlight w:val="white"/>
        </w:rPr>
        <w:t xml:space="preserve"> </w:t>
      </w:r>
    </w:p>
    <w:p w14:paraId="7313C2D9" w14:textId="77777777" w:rsidR="000E5CD4" w:rsidRDefault="00000000">
      <w:pPr>
        <w:rPr>
          <w:sz w:val="20"/>
          <w:szCs w:val="20"/>
          <w:highlight w:val="white"/>
        </w:rPr>
      </w:pPr>
      <w:r>
        <w:rPr>
          <w:b/>
          <w:sz w:val="20"/>
          <w:szCs w:val="20"/>
          <w:highlight w:val="white"/>
        </w:rPr>
        <w:lastRenderedPageBreak/>
        <w:t>GS11509</w:t>
      </w:r>
      <w:r>
        <w:rPr>
          <w:sz w:val="20"/>
          <w:szCs w:val="20"/>
          <w:highlight w:val="white"/>
        </w:rPr>
        <w:t xml:space="preserve"> uses purchase data from pellet customers, partly clustered around each individual stove. Like GS11352, the project uses sales receipts for standardized packaged units of pellets. The project clarifies that there are no alternative uses for pellets besides cooking. The packaging is also done with calibrated equipment following industry standards and national requirements.</w:t>
      </w:r>
    </w:p>
    <w:p w14:paraId="5826E4BC" w14:textId="77777777" w:rsidR="000E5CD4" w:rsidRDefault="00000000">
      <w:pPr>
        <w:rPr>
          <w:sz w:val="20"/>
          <w:szCs w:val="20"/>
          <w:highlight w:val="white"/>
        </w:rPr>
      </w:pPr>
      <w:r>
        <w:rPr>
          <w:sz w:val="20"/>
          <w:szCs w:val="20"/>
          <w:highlight w:val="white"/>
        </w:rPr>
        <w:t xml:space="preserve"> </w:t>
      </w:r>
    </w:p>
    <w:p w14:paraId="6721DB55" w14:textId="77777777" w:rsidR="000E5CD4" w:rsidRDefault="00000000">
      <w:pPr>
        <w:rPr>
          <w:sz w:val="20"/>
          <w:szCs w:val="20"/>
          <w:highlight w:val="white"/>
        </w:rPr>
      </w:pPr>
      <w:r>
        <w:rPr>
          <w:sz w:val="20"/>
          <w:szCs w:val="20"/>
          <w:highlight w:val="white"/>
        </w:rPr>
        <w:t>The project only credits for transactions that occurred after the start of the monitoring period and will exclude the first 5kg of pellets.</w:t>
      </w:r>
    </w:p>
    <w:p w14:paraId="18E84052" w14:textId="77777777" w:rsidR="000E5CD4" w:rsidRDefault="00000000">
      <w:pPr>
        <w:rPr>
          <w:sz w:val="20"/>
          <w:szCs w:val="20"/>
          <w:highlight w:val="white"/>
        </w:rPr>
      </w:pPr>
      <w:r>
        <w:rPr>
          <w:sz w:val="20"/>
          <w:szCs w:val="20"/>
          <w:highlight w:val="white"/>
        </w:rPr>
        <w:t xml:space="preserve"> </w:t>
      </w:r>
    </w:p>
    <w:p w14:paraId="20F8479B" w14:textId="77777777" w:rsidR="000E5CD4" w:rsidRDefault="00000000">
      <w:pPr>
        <w:rPr>
          <w:sz w:val="20"/>
          <w:szCs w:val="20"/>
          <w:highlight w:val="white"/>
        </w:rPr>
      </w:pPr>
      <w:r>
        <w:rPr>
          <w:sz w:val="20"/>
          <w:szCs w:val="20"/>
          <w:highlight w:val="white"/>
        </w:rPr>
        <w:t>The project mentions real-time data on usage time; however, it does not provide further information on this meter type.</w:t>
      </w:r>
    </w:p>
    <w:p w14:paraId="6FDFD987" w14:textId="77777777" w:rsidR="000E5CD4" w:rsidRDefault="00000000">
      <w:pPr>
        <w:rPr>
          <w:sz w:val="20"/>
          <w:szCs w:val="20"/>
          <w:highlight w:val="white"/>
        </w:rPr>
      </w:pPr>
      <w:r>
        <w:rPr>
          <w:sz w:val="20"/>
          <w:szCs w:val="20"/>
          <w:highlight w:val="white"/>
        </w:rPr>
        <w:t xml:space="preserve"> </w:t>
      </w:r>
    </w:p>
    <w:p w14:paraId="79A8F02C" w14:textId="77777777" w:rsidR="000E5CD4" w:rsidRDefault="00000000">
      <w:pPr>
        <w:rPr>
          <w:sz w:val="20"/>
          <w:szCs w:val="20"/>
          <w:highlight w:val="white"/>
        </w:rPr>
      </w:pPr>
      <w:r>
        <w:rPr>
          <w:b/>
          <w:sz w:val="20"/>
          <w:szCs w:val="20"/>
          <w:highlight w:val="white"/>
        </w:rPr>
        <w:t xml:space="preserve">GS11507 </w:t>
      </w:r>
      <w:r>
        <w:rPr>
          <w:sz w:val="20"/>
          <w:szCs w:val="20"/>
          <w:highlight w:val="white"/>
        </w:rPr>
        <w:t>uses purchase data from pellet customers, partly clustered around each individual stove. Like GS11352 &amp; GS11509, the project uses sales receipts for standardized packaged units of pellets. The project clarifies that there are no alternative uses for pellets besides cooking. The packaging is also done with calibrated equipment following industry standards and national requirements.</w:t>
      </w:r>
    </w:p>
    <w:p w14:paraId="6112C9FC" w14:textId="77777777" w:rsidR="000E5CD4" w:rsidRDefault="00000000">
      <w:pPr>
        <w:rPr>
          <w:sz w:val="20"/>
          <w:szCs w:val="20"/>
          <w:highlight w:val="white"/>
        </w:rPr>
      </w:pPr>
      <w:r>
        <w:rPr>
          <w:sz w:val="20"/>
          <w:szCs w:val="20"/>
          <w:highlight w:val="white"/>
        </w:rPr>
        <w:t xml:space="preserve"> </w:t>
      </w:r>
    </w:p>
    <w:p w14:paraId="28DBA815" w14:textId="77777777" w:rsidR="000E5CD4" w:rsidRDefault="00000000">
      <w:pPr>
        <w:rPr>
          <w:sz w:val="20"/>
          <w:szCs w:val="20"/>
          <w:highlight w:val="white"/>
        </w:rPr>
      </w:pPr>
      <w:r>
        <w:rPr>
          <w:sz w:val="20"/>
          <w:szCs w:val="20"/>
          <w:highlight w:val="white"/>
        </w:rPr>
        <w:t>The project only credits for transactions that occurred after the start of the monitoring period and will exclude the first 5kg of pellets.</w:t>
      </w:r>
    </w:p>
    <w:p w14:paraId="0DCBF7D0" w14:textId="77777777" w:rsidR="000E5CD4" w:rsidRDefault="000E5CD4">
      <w:pPr>
        <w:rPr>
          <w:sz w:val="20"/>
          <w:szCs w:val="20"/>
          <w:highlight w:val="white"/>
        </w:rPr>
      </w:pPr>
    </w:p>
    <w:p w14:paraId="64EE934B" w14:textId="77777777" w:rsidR="000E5CD4" w:rsidRDefault="000E5CD4">
      <w:pPr>
        <w:rPr>
          <w:b/>
          <w:sz w:val="20"/>
          <w:szCs w:val="20"/>
          <w:highlight w:val="white"/>
        </w:rPr>
      </w:pPr>
    </w:p>
    <w:p w14:paraId="2F958EF2" w14:textId="77777777" w:rsidR="000E5CD4" w:rsidRDefault="000E5CD4">
      <w:pPr>
        <w:rPr>
          <w:sz w:val="20"/>
          <w:szCs w:val="20"/>
          <w:highlight w:val="white"/>
        </w:rPr>
      </w:pPr>
    </w:p>
    <w:p w14:paraId="1799A692" w14:textId="77777777" w:rsidR="000E5CD4" w:rsidRDefault="000E5CD4">
      <w:pPr>
        <w:rPr>
          <w:b/>
          <w:sz w:val="20"/>
          <w:szCs w:val="20"/>
          <w:highlight w:val="white"/>
        </w:rPr>
      </w:pPr>
    </w:p>
    <w:p w14:paraId="7C97DB8B" w14:textId="77777777" w:rsidR="000E5CD4" w:rsidRDefault="000E5CD4">
      <w:pPr>
        <w:rPr>
          <w:b/>
          <w:sz w:val="20"/>
          <w:szCs w:val="20"/>
          <w:highlight w:val="white"/>
        </w:rPr>
      </w:pPr>
    </w:p>
    <w:p w14:paraId="68CE5FA6" w14:textId="77777777" w:rsidR="000E5CD4" w:rsidRDefault="000E5CD4">
      <w:pPr>
        <w:rPr>
          <w:b/>
          <w:sz w:val="20"/>
          <w:szCs w:val="20"/>
          <w:highlight w:val="white"/>
        </w:rPr>
      </w:pPr>
    </w:p>
    <w:p w14:paraId="503862C2" w14:textId="77777777" w:rsidR="000E5CD4" w:rsidRDefault="000E5CD4">
      <w:pPr>
        <w:rPr>
          <w:b/>
          <w:sz w:val="20"/>
          <w:szCs w:val="20"/>
          <w:highlight w:val="white"/>
        </w:rPr>
      </w:pPr>
    </w:p>
    <w:p w14:paraId="1E318532" w14:textId="77777777" w:rsidR="000E5CD4" w:rsidRDefault="000E5CD4">
      <w:pPr>
        <w:rPr>
          <w:sz w:val="20"/>
          <w:szCs w:val="20"/>
          <w:highlight w:val="white"/>
        </w:rPr>
      </w:pPr>
    </w:p>
    <w:p w14:paraId="6CCF8509" w14:textId="77777777" w:rsidR="000E5CD4" w:rsidRDefault="000E5CD4">
      <w:pPr>
        <w:rPr>
          <w:sz w:val="20"/>
          <w:szCs w:val="20"/>
          <w:highlight w:val="white"/>
        </w:rPr>
      </w:pPr>
    </w:p>
    <w:p w14:paraId="702F9B1C" w14:textId="77777777" w:rsidR="000E5CD4" w:rsidRDefault="000E5CD4">
      <w:pPr>
        <w:rPr>
          <w:sz w:val="20"/>
          <w:szCs w:val="20"/>
          <w:highlight w:val="white"/>
        </w:rPr>
      </w:pPr>
    </w:p>
    <w:p w14:paraId="6D5E704A" w14:textId="77777777" w:rsidR="000E5CD4" w:rsidRDefault="000E5CD4">
      <w:pPr>
        <w:rPr>
          <w:sz w:val="20"/>
          <w:szCs w:val="20"/>
          <w:highlight w:val="white"/>
        </w:rPr>
      </w:pPr>
    </w:p>
    <w:p w14:paraId="5B06AF1B" w14:textId="77777777" w:rsidR="000E5CD4" w:rsidRDefault="000E5CD4">
      <w:pPr>
        <w:rPr>
          <w:sz w:val="20"/>
          <w:szCs w:val="20"/>
          <w:highlight w:val="white"/>
        </w:rPr>
      </w:pPr>
    </w:p>
    <w:p w14:paraId="2A789220" w14:textId="77777777" w:rsidR="000E5CD4" w:rsidRDefault="000E5CD4">
      <w:pPr>
        <w:rPr>
          <w:sz w:val="20"/>
          <w:szCs w:val="20"/>
          <w:highlight w:val="white"/>
        </w:rPr>
      </w:pPr>
    </w:p>
    <w:p w14:paraId="6E8A9E01" w14:textId="77777777" w:rsidR="000E5CD4" w:rsidRDefault="000E5CD4">
      <w:pPr>
        <w:rPr>
          <w:sz w:val="20"/>
          <w:szCs w:val="20"/>
          <w:highlight w:val="white"/>
        </w:rPr>
      </w:pPr>
    </w:p>
    <w:p w14:paraId="56DC7809" w14:textId="77777777" w:rsidR="000E5CD4" w:rsidRDefault="000E5CD4">
      <w:pPr>
        <w:rPr>
          <w:highlight w:val="white"/>
        </w:rPr>
      </w:pPr>
    </w:p>
    <w:p w14:paraId="62F5CBDB" w14:textId="77777777" w:rsidR="000E5CD4" w:rsidRDefault="00000000">
      <w:pPr>
        <w:rPr>
          <w:highlight w:val="white"/>
        </w:rPr>
      </w:pPr>
      <w:r>
        <w:rPr>
          <w:highlight w:val="white"/>
        </w:rPr>
        <w:t xml:space="preserve"> </w:t>
      </w:r>
    </w:p>
    <w:p w14:paraId="0A9A818E" w14:textId="77777777" w:rsidR="000E5CD4" w:rsidRDefault="00000000">
      <w:pPr>
        <w:rPr>
          <w:sz w:val="20"/>
          <w:szCs w:val="20"/>
          <w:highlight w:val="white"/>
        </w:rPr>
      </w:pPr>
      <w:r>
        <w:br w:type="page"/>
      </w:r>
    </w:p>
    <w:p w14:paraId="6468D4C3" w14:textId="77777777" w:rsidR="000E5CD4" w:rsidRDefault="000E5CD4">
      <w:pPr>
        <w:rPr>
          <w:sz w:val="20"/>
          <w:szCs w:val="20"/>
          <w:highlight w:val="white"/>
        </w:rPr>
      </w:pPr>
    </w:p>
    <w:p w14:paraId="24B7352D" w14:textId="77777777" w:rsidR="000E5CD4" w:rsidRDefault="000E5CD4">
      <w:pPr>
        <w:rPr>
          <w:b/>
          <w:sz w:val="20"/>
          <w:szCs w:val="20"/>
          <w:highlight w:val="white"/>
        </w:rPr>
      </w:pPr>
    </w:p>
    <w:p w14:paraId="237FCE40" w14:textId="77777777" w:rsidR="000E5CD4" w:rsidRDefault="000E5CD4">
      <w:pPr>
        <w:rPr>
          <w:rFonts w:ascii="Times New Roman" w:eastAsia="Times New Roman" w:hAnsi="Times New Roman" w:cs="Times New Roman"/>
        </w:rPr>
      </w:pPr>
    </w:p>
    <w:p w14:paraId="79182AFD" w14:textId="77777777" w:rsidR="000E5CD4" w:rsidRDefault="00000000">
      <w:pPr>
        <w:rPr>
          <w:rFonts w:ascii="Times New Roman" w:eastAsia="Times New Roman" w:hAnsi="Times New Roman" w:cs="Times New Roman"/>
        </w:rPr>
      </w:pPr>
      <w:r>
        <w:rPr>
          <w:b/>
          <w:sz w:val="20"/>
          <w:szCs w:val="20"/>
          <w:highlight w:val="white"/>
        </w:rPr>
        <w:t xml:space="preserve">References </w:t>
      </w:r>
    </w:p>
    <w:p w14:paraId="1C3C82A4" w14:textId="77777777" w:rsidR="003C3E9E" w:rsidRPr="003C3E9E" w:rsidRDefault="00000000" w:rsidP="003C3E9E">
      <w:pPr>
        <w:pStyle w:val="Bibliography"/>
      </w:pPr>
      <w:r>
        <w:fldChar w:fldCharType="begin"/>
      </w:r>
      <w:r w:rsidR="003C3E9E">
        <w:instrText xml:space="preserve"> ADDIN ZOTERO_BIBL {"uncited":[],"omitted":[],"custom":[]} CSL_BIBLIOGRAPHY </w:instrText>
      </w:r>
      <w:r>
        <w:fldChar w:fldCharType="separate"/>
      </w:r>
      <w:r w:rsidR="003C3E9E" w:rsidRPr="003C3E9E">
        <w:t>1.</w:t>
      </w:r>
      <w:r w:rsidR="003C3E9E" w:rsidRPr="003C3E9E">
        <w:tab/>
        <w:t xml:space="preserve">Hanna, R., Duflo, E. &amp; Greenstone, M. Up in smoke: The influence of household behavior on the long-run impact of improved cooking stoves. </w:t>
      </w:r>
      <w:r w:rsidR="003C3E9E" w:rsidRPr="003C3E9E">
        <w:rPr>
          <w:i/>
          <w:iCs/>
        </w:rPr>
        <w:t>Am. Econ. J. Econ. Policy</w:t>
      </w:r>
      <w:r w:rsidR="003C3E9E" w:rsidRPr="003C3E9E">
        <w:t xml:space="preserve"> </w:t>
      </w:r>
      <w:r w:rsidR="003C3E9E" w:rsidRPr="003C3E9E">
        <w:rPr>
          <w:b/>
          <w:bCs/>
        </w:rPr>
        <w:t>8</w:t>
      </w:r>
      <w:r w:rsidR="003C3E9E" w:rsidRPr="003C3E9E">
        <w:t>, 80–114 (2016).</w:t>
      </w:r>
    </w:p>
    <w:p w14:paraId="586C9E46" w14:textId="77777777" w:rsidR="003C3E9E" w:rsidRPr="003C3E9E" w:rsidRDefault="003C3E9E" w:rsidP="003C3E9E">
      <w:pPr>
        <w:pStyle w:val="Bibliography"/>
      </w:pPr>
      <w:r w:rsidRPr="003C3E9E">
        <w:t>2.</w:t>
      </w:r>
      <w:r w:rsidRPr="003C3E9E">
        <w:tab/>
        <w:t xml:space="preserve">Agurto Adrianzén, M. Social Capital and Improved Stoves Usage Decisions in the Northern Peruvian Andes. </w:t>
      </w:r>
      <w:r w:rsidRPr="003C3E9E">
        <w:rPr>
          <w:i/>
          <w:iCs/>
        </w:rPr>
        <w:t>World Dev.</w:t>
      </w:r>
      <w:r w:rsidRPr="003C3E9E">
        <w:t xml:space="preserve"> </w:t>
      </w:r>
      <w:r w:rsidRPr="003C3E9E">
        <w:rPr>
          <w:b/>
          <w:bCs/>
        </w:rPr>
        <w:t>54</w:t>
      </w:r>
      <w:r w:rsidRPr="003C3E9E">
        <w:t>, 1–17 (2014).</w:t>
      </w:r>
    </w:p>
    <w:p w14:paraId="5A00D552" w14:textId="77777777" w:rsidR="003C3E9E" w:rsidRPr="003C3E9E" w:rsidRDefault="003C3E9E" w:rsidP="003C3E9E">
      <w:pPr>
        <w:pStyle w:val="Bibliography"/>
      </w:pPr>
      <w:r w:rsidRPr="003C3E9E">
        <w:t>3.</w:t>
      </w:r>
      <w:r w:rsidRPr="003C3E9E">
        <w:tab/>
        <w:t xml:space="preserve">Bensch, G. &amp; Peters, J. The intensive margin of technology adoption – Experimental evidence on improved cooking stoves in rural Senegal. </w:t>
      </w:r>
      <w:r w:rsidRPr="003C3E9E">
        <w:rPr>
          <w:i/>
          <w:iCs/>
        </w:rPr>
        <w:t>J. Health Econ.</w:t>
      </w:r>
      <w:r w:rsidRPr="003C3E9E">
        <w:t xml:space="preserve"> </w:t>
      </w:r>
      <w:r w:rsidRPr="003C3E9E">
        <w:rPr>
          <w:b/>
          <w:bCs/>
        </w:rPr>
        <w:t>42</w:t>
      </w:r>
      <w:r w:rsidRPr="003C3E9E">
        <w:t>, 44–63 (2015).</w:t>
      </w:r>
    </w:p>
    <w:p w14:paraId="6D048839" w14:textId="77777777" w:rsidR="003C3E9E" w:rsidRPr="003C3E9E" w:rsidRDefault="003C3E9E" w:rsidP="003C3E9E">
      <w:pPr>
        <w:pStyle w:val="Bibliography"/>
      </w:pPr>
      <w:r w:rsidRPr="003C3E9E">
        <w:t>4.</w:t>
      </w:r>
      <w:r w:rsidRPr="003C3E9E">
        <w:tab/>
        <w:t xml:space="preserve">Stoner, O. </w:t>
      </w:r>
      <w:r w:rsidRPr="003C3E9E">
        <w:rPr>
          <w:i/>
          <w:iCs/>
        </w:rPr>
        <w:t>et al.</w:t>
      </w:r>
      <w:r w:rsidRPr="003C3E9E">
        <w:t xml:space="preserve"> Household cooking fuel estimates at global and country level for 1990 to 2030. </w:t>
      </w:r>
      <w:r w:rsidRPr="003C3E9E">
        <w:rPr>
          <w:i/>
          <w:iCs/>
        </w:rPr>
        <w:t>Nat. Commun.</w:t>
      </w:r>
      <w:r w:rsidRPr="003C3E9E">
        <w:t xml:space="preserve"> </w:t>
      </w:r>
      <w:r w:rsidRPr="003C3E9E">
        <w:rPr>
          <w:b/>
          <w:bCs/>
        </w:rPr>
        <w:t>12</w:t>
      </w:r>
      <w:r w:rsidRPr="003C3E9E">
        <w:t>, 5793 (2021).</w:t>
      </w:r>
    </w:p>
    <w:p w14:paraId="61EADFF3" w14:textId="77777777" w:rsidR="003C3E9E" w:rsidRPr="003C3E9E" w:rsidRDefault="003C3E9E" w:rsidP="003C3E9E">
      <w:pPr>
        <w:pStyle w:val="Bibliography"/>
      </w:pPr>
      <w:r w:rsidRPr="003C3E9E">
        <w:t>5.</w:t>
      </w:r>
      <w:r w:rsidRPr="003C3E9E">
        <w:tab/>
        <w:t xml:space="preserve">Burwen, J. &amp; Levine, D. I. A rapid assessment randomized-controlled trial of improved cookstoves in rural Ghana. </w:t>
      </w:r>
      <w:r w:rsidRPr="003C3E9E">
        <w:rPr>
          <w:i/>
          <w:iCs/>
        </w:rPr>
        <w:t>Energy Sustain. Dev.</w:t>
      </w:r>
      <w:r w:rsidRPr="003C3E9E">
        <w:t xml:space="preserve"> </w:t>
      </w:r>
      <w:r w:rsidRPr="003C3E9E">
        <w:rPr>
          <w:b/>
          <w:bCs/>
        </w:rPr>
        <w:t>16</w:t>
      </w:r>
      <w:r w:rsidRPr="003C3E9E">
        <w:t>, 328–338 (2012).</w:t>
      </w:r>
    </w:p>
    <w:p w14:paraId="0A9E6730" w14:textId="77777777" w:rsidR="003C3E9E" w:rsidRPr="003C3E9E" w:rsidRDefault="003C3E9E" w:rsidP="003C3E9E">
      <w:pPr>
        <w:pStyle w:val="Bibliography"/>
      </w:pPr>
      <w:r w:rsidRPr="003C3E9E">
        <w:t>6.</w:t>
      </w:r>
      <w:r w:rsidRPr="003C3E9E">
        <w:tab/>
        <w:t xml:space="preserve">Beltramo, T., Blalock, G., Levine, D. I. &amp; Simons, A. M. Does peer use influence adoption of efficient cookstoves? Evidence from a randomized controlled trial in uganda. </w:t>
      </w:r>
      <w:r w:rsidRPr="003C3E9E">
        <w:rPr>
          <w:i/>
          <w:iCs/>
        </w:rPr>
        <w:t>J. Health Commun.</w:t>
      </w:r>
      <w:r w:rsidRPr="003C3E9E">
        <w:t xml:space="preserve"> </w:t>
      </w:r>
      <w:r w:rsidRPr="003C3E9E">
        <w:rPr>
          <w:b/>
          <w:bCs/>
        </w:rPr>
        <w:t>20</w:t>
      </w:r>
      <w:r w:rsidRPr="003C3E9E">
        <w:t>, 55–66 (2015).</w:t>
      </w:r>
    </w:p>
    <w:p w14:paraId="79E96437" w14:textId="77777777" w:rsidR="003C3E9E" w:rsidRPr="003C3E9E" w:rsidRDefault="003C3E9E" w:rsidP="003C3E9E">
      <w:pPr>
        <w:pStyle w:val="Bibliography"/>
      </w:pPr>
      <w:r w:rsidRPr="003C3E9E">
        <w:t>7.</w:t>
      </w:r>
      <w:r w:rsidRPr="003C3E9E">
        <w:tab/>
        <w:t xml:space="preserve">Harrell, B. S. </w:t>
      </w:r>
      <w:r w:rsidRPr="003C3E9E">
        <w:rPr>
          <w:i/>
          <w:iCs/>
        </w:rPr>
        <w:t>et al.</w:t>
      </w:r>
      <w:r w:rsidRPr="003C3E9E">
        <w:t xml:space="preserve"> Incentivizing Elimination of Biomass Cooking Fuels with a Reversible Commitment and a Spare LPG Cylinder. </w:t>
      </w:r>
      <w:r w:rsidRPr="003C3E9E">
        <w:rPr>
          <w:i/>
          <w:iCs/>
        </w:rPr>
        <w:t>Environ. Sci. Technol.</w:t>
      </w:r>
      <w:r w:rsidRPr="003C3E9E">
        <w:t xml:space="preserve"> (2020) doi:10.1021/acs.est.0c01818.</w:t>
      </w:r>
    </w:p>
    <w:p w14:paraId="09B692A3" w14:textId="77777777" w:rsidR="003C3E9E" w:rsidRPr="003C3E9E" w:rsidRDefault="003C3E9E" w:rsidP="003C3E9E">
      <w:pPr>
        <w:pStyle w:val="Bibliography"/>
      </w:pPr>
      <w:r w:rsidRPr="003C3E9E">
        <w:t>8.</w:t>
      </w:r>
      <w:r w:rsidRPr="003C3E9E">
        <w:tab/>
        <w:t xml:space="preserve">Islam, M. M. </w:t>
      </w:r>
      <w:r w:rsidRPr="003C3E9E">
        <w:rPr>
          <w:i/>
          <w:iCs/>
        </w:rPr>
        <w:t>et al.</w:t>
      </w:r>
      <w:r w:rsidRPr="003C3E9E">
        <w:t xml:space="preserve"> Assessing the Effects of Stove Use Patterns and Kitchen Chimneys on Indoor Air Quality during a Multiyear Cookstove Randomized Control Trial in Rural India. </w:t>
      </w:r>
      <w:r w:rsidRPr="003C3E9E">
        <w:rPr>
          <w:i/>
          <w:iCs/>
        </w:rPr>
        <w:t>Environ. Sci. Technol.</w:t>
      </w:r>
      <w:r w:rsidRPr="003C3E9E">
        <w:t xml:space="preserve"> </w:t>
      </w:r>
      <w:r w:rsidRPr="003C3E9E">
        <w:rPr>
          <w:b/>
          <w:bCs/>
        </w:rPr>
        <w:t>56</w:t>
      </w:r>
      <w:r w:rsidRPr="003C3E9E">
        <w:t>, 8326–8337 (2022).</w:t>
      </w:r>
    </w:p>
    <w:p w14:paraId="3C24260C" w14:textId="77777777" w:rsidR="003C3E9E" w:rsidRPr="003C3E9E" w:rsidRDefault="003C3E9E" w:rsidP="003C3E9E">
      <w:pPr>
        <w:pStyle w:val="Bibliography"/>
      </w:pPr>
      <w:r w:rsidRPr="003C3E9E">
        <w:lastRenderedPageBreak/>
        <w:t>9.</w:t>
      </w:r>
      <w:r w:rsidRPr="003C3E9E">
        <w:tab/>
        <w:t xml:space="preserve">Smith-Sivertsen, T. </w:t>
      </w:r>
      <w:r w:rsidRPr="003C3E9E">
        <w:rPr>
          <w:i/>
          <w:iCs/>
        </w:rPr>
        <w:t>et al.</w:t>
      </w:r>
      <w:r w:rsidRPr="003C3E9E">
        <w:t xml:space="preserve"> Effect of Reducing Indoor Air Pollution on Women’s Respiratory Symptoms and Lung Function: The RESPIRE Randomized Trial, Guatemala. </w:t>
      </w:r>
      <w:r w:rsidRPr="003C3E9E">
        <w:rPr>
          <w:i/>
          <w:iCs/>
        </w:rPr>
        <w:t>Am. J. Epidemiol.</w:t>
      </w:r>
      <w:r w:rsidRPr="003C3E9E">
        <w:t xml:space="preserve"> </w:t>
      </w:r>
      <w:r w:rsidRPr="003C3E9E">
        <w:rPr>
          <w:b/>
          <w:bCs/>
        </w:rPr>
        <w:t>170</w:t>
      </w:r>
      <w:r w:rsidRPr="003C3E9E">
        <w:t>, 211–220 (2009).</w:t>
      </w:r>
    </w:p>
    <w:p w14:paraId="51D461FD" w14:textId="77777777" w:rsidR="003C3E9E" w:rsidRPr="003C3E9E" w:rsidRDefault="003C3E9E" w:rsidP="003C3E9E">
      <w:pPr>
        <w:pStyle w:val="Bibliography"/>
      </w:pPr>
      <w:r w:rsidRPr="003C3E9E">
        <w:t>10.</w:t>
      </w:r>
      <w:r w:rsidRPr="003C3E9E">
        <w:tab/>
        <w:t xml:space="preserve">Singh, D., Zerriffi, H., Bailis, R. &amp; LeMay, V. Forest, farms and fuelwood: Measuring changes in fuelwood collection and consumption behavior from a clean cooking intervention. </w:t>
      </w:r>
      <w:r w:rsidRPr="003C3E9E">
        <w:rPr>
          <w:i/>
          <w:iCs/>
        </w:rPr>
        <w:t>Energy Sustain. Dev.</w:t>
      </w:r>
      <w:r w:rsidRPr="003C3E9E">
        <w:t xml:space="preserve"> </w:t>
      </w:r>
      <w:r w:rsidRPr="003C3E9E">
        <w:rPr>
          <w:b/>
          <w:bCs/>
        </w:rPr>
        <w:t>61</w:t>
      </w:r>
      <w:r w:rsidRPr="003C3E9E">
        <w:t>, 196–205 (2021).</w:t>
      </w:r>
    </w:p>
    <w:p w14:paraId="5BC019A0" w14:textId="77777777" w:rsidR="003C3E9E" w:rsidRPr="003C3E9E" w:rsidRDefault="003C3E9E" w:rsidP="003C3E9E">
      <w:pPr>
        <w:pStyle w:val="Bibliography"/>
      </w:pPr>
      <w:r w:rsidRPr="003C3E9E">
        <w:t>11.</w:t>
      </w:r>
      <w:r w:rsidRPr="003C3E9E">
        <w:tab/>
        <w:t xml:space="preserve">Beltramo, T., Blalock, G., Harrell, S., Levine, D. &amp; Simons, A. M. The Effects of Fuel-Efficient Cookstoves on Fuel Use, Particulate Matter, and Cooking Practices: Results from a Randomized Trial in Rural Uganda. </w:t>
      </w:r>
      <w:r w:rsidRPr="003C3E9E">
        <w:rPr>
          <w:i/>
          <w:iCs/>
        </w:rPr>
        <w:t>UC Berkeley Cent. Eff. Glob. Action</w:t>
      </w:r>
      <w:r w:rsidRPr="003C3E9E">
        <w:t xml:space="preserve"> (2019).</w:t>
      </w:r>
    </w:p>
    <w:p w14:paraId="73A3EC7C" w14:textId="77777777" w:rsidR="003C3E9E" w:rsidRPr="003C3E9E" w:rsidRDefault="003C3E9E" w:rsidP="003C3E9E">
      <w:pPr>
        <w:pStyle w:val="Bibliography"/>
      </w:pPr>
      <w:r w:rsidRPr="003C3E9E">
        <w:t>12.</w:t>
      </w:r>
      <w:r w:rsidRPr="003C3E9E">
        <w:tab/>
        <w:t xml:space="preserve">World Bank Group. </w:t>
      </w:r>
      <w:r w:rsidRPr="003C3E9E">
        <w:rPr>
          <w:i/>
          <w:iCs/>
        </w:rPr>
        <w:t>Forum on Natural Capital Accounting for Better Policy Decisions : Taking Stock and Moving Forward (English).</w:t>
      </w:r>
      <w:r w:rsidRPr="003C3E9E">
        <w:t xml:space="preserve"> http://documents.worldbank.org/curated/en/904211580129561872/Forum-on-Natural-Capital-Accounting-for-Better-Policy-Decisions-Taking-Stock-and-Moving-Forward.</w:t>
      </w:r>
    </w:p>
    <w:p w14:paraId="72B43752" w14:textId="77777777" w:rsidR="003C3E9E" w:rsidRPr="003C3E9E" w:rsidRDefault="003C3E9E" w:rsidP="003C3E9E">
      <w:pPr>
        <w:pStyle w:val="Bibliography"/>
      </w:pPr>
      <w:r w:rsidRPr="003C3E9E">
        <w:t>13.</w:t>
      </w:r>
      <w:r w:rsidRPr="003C3E9E">
        <w:tab/>
        <w:t xml:space="preserve">Dufournaud, C. M., Quinn, J. T. &amp; Harrington, J. J. A Partial Equilibrium Analysis of the Impact of Introducing More-Efficient Wood-Burning Stoves into Households in the Sahelian Region. </w:t>
      </w:r>
      <w:r w:rsidRPr="003C3E9E">
        <w:rPr>
          <w:i/>
          <w:iCs/>
        </w:rPr>
        <w:t>Environ. Plan. Econ. Space</w:t>
      </w:r>
      <w:r w:rsidRPr="003C3E9E">
        <w:t xml:space="preserve"> </w:t>
      </w:r>
      <w:r w:rsidRPr="003C3E9E">
        <w:rPr>
          <w:b/>
          <w:bCs/>
        </w:rPr>
        <w:t>26</w:t>
      </w:r>
      <w:r w:rsidRPr="003C3E9E">
        <w:t>, 407–414 (1994).</w:t>
      </w:r>
    </w:p>
    <w:p w14:paraId="06BB42BF" w14:textId="77777777" w:rsidR="003C3E9E" w:rsidRPr="003C3E9E" w:rsidRDefault="003C3E9E" w:rsidP="003C3E9E">
      <w:pPr>
        <w:pStyle w:val="Bibliography"/>
      </w:pPr>
      <w:r w:rsidRPr="003C3E9E">
        <w:t>14.</w:t>
      </w:r>
      <w:r w:rsidRPr="003C3E9E">
        <w:tab/>
        <w:t xml:space="preserve">Bailis, R. </w:t>
      </w:r>
      <w:r w:rsidRPr="003C3E9E">
        <w:rPr>
          <w:i/>
          <w:iCs/>
        </w:rPr>
        <w:t>et al.</w:t>
      </w:r>
      <w:r w:rsidRPr="003C3E9E">
        <w:t xml:space="preserve"> Enhancing clean cooking options in peri-urban Kenya: A pilot study of advanced gasifier stove adoption. </w:t>
      </w:r>
      <w:r w:rsidRPr="003C3E9E">
        <w:rPr>
          <w:i/>
          <w:iCs/>
        </w:rPr>
        <w:t>Environ. Res. Lett.</w:t>
      </w:r>
      <w:r w:rsidRPr="003C3E9E">
        <w:t xml:space="preserve"> </w:t>
      </w:r>
      <w:r w:rsidRPr="003C3E9E">
        <w:rPr>
          <w:b/>
          <w:bCs/>
        </w:rPr>
        <w:t>15</w:t>
      </w:r>
      <w:r w:rsidRPr="003C3E9E">
        <w:t>, (2020).</w:t>
      </w:r>
    </w:p>
    <w:p w14:paraId="58FC59E6" w14:textId="77777777" w:rsidR="003C3E9E" w:rsidRPr="003C3E9E" w:rsidRDefault="003C3E9E" w:rsidP="003C3E9E">
      <w:pPr>
        <w:pStyle w:val="Bibliography"/>
      </w:pPr>
      <w:r w:rsidRPr="003C3E9E">
        <w:t>15.</w:t>
      </w:r>
      <w:r w:rsidRPr="003C3E9E">
        <w:tab/>
        <w:t xml:space="preserve">Lambe, F. </w:t>
      </w:r>
      <w:r w:rsidRPr="003C3E9E">
        <w:rPr>
          <w:i/>
          <w:iCs/>
        </w:rPr>
        <w:t>et al.</w:t>
      </w:r>
      <w:r w:rsidRPr="003C3E9E">
        <w:t xml:space="preserve"> Opening the black pot: A service design-driven approach to understanding the use of cleaner cookstoves in peri-urban Kenya. </w:t>
      </w:r>
      <w:r w:rsidRPr="003C3E9E">
        <w:rPr>
          <w:i/>
          <w:iCs/>
        </w:rPr>
        <w:t>Energy Res. Soc. Sci.</w:t>
      </w:r>
      <w:r w:rsidRPr="003C3E9E">
        <w:t xml:space="preserve"> </w:t>
      </w:r>
      <w:r w:rsidRPr="003C3E9E">
        <w:rPr>
          <w:b/>
          <w:bCs/>
        </w:rPr>
        <w:t>70</w:t>
      </w:r>
      <w:r w:rsidRPr="003C3E9E">
        <w:t>, 101754 (2020).</w:t>
      </w:r>
    </w:p>
    <w:p w14:paraId="6411B574" w14:textId="77777777" w:rsidR="003C3E9E" w:rsidRPr="003C3E9E" w:rsidRDefault="003C3E9E" w:rsidP="003C3E9E">
      <w:pPr>
        <w:pStyle w:val="Bibliography"/>
      </w:pPr>
      <w:r w:rsidRPr="003C3E9E">
        <w:lastRenderedPageBreak/>
        <w:t>16.</w:t>
      </w:r>
      <w:r w:rsidRPr="003C3E9E">
        <w:tab/>
        <w:t xml:space="preserve">Ruiz Mercado, I. The Stove Adoption Process: Quantification Using Stove Use Monitors (SUMs) in Households Cooking with Fuelwood. </w:t>
      </w:r>
      <w:r w:rsidRPr="003C3E9E">
        <w:rPr>
          <w:i/>
          <w:iCs/>
        </w:rPr>
        <w:t>ProQuest Dissertations and Theses</w:t>
      </w:r>
      <w:r w:rsidRPr="003C3E9E">
        <w:t xml:space="preserve"> (University of California, Berkeley, 2012).</w:t>
      </w:r>
    </w:p>
    <w:p w14:paraId="2F361F87" w14:textId="232CE733" w:rsidR="000E5CD4" w:rsidRDefault="00000000">
      <w:pPr>
        <w:widowControl w:val="0"/>
        <w:pBdr>
          <w:top w:val="nil"/>
          <w:left w:val="nil"/>
          <w:bottom w:val="nil"/>
          <w:right w:val="nil"/>
          <w:between w:val="nil"/>
        </w:pBdr>
        <w:spacing w:line="480" w:lineRule="auto"/>
        <w:ind w:left="384" w:hanging="384"/>
      </w:pPr>
      <w:r>
        <w:fldChar w:fldCharType="end"/>
      </w:r>
    </w:p>
    <w:p w14:paraId="4A643C02" w14:textId="77777777" w:rsidR="000E5CD4" w:rsidRDefault="000E5CD4">
      <w:pPr>
        <w:widowControl w:val="0"/>
        <w:pBdr>
          <w:top w:val="nil"/>
          <w:left w:val="nil"/>
          <w:bottom w:val="nil"/>
          <w:right w:val="nil"/>
          <w:between w:val="nil"/>
        </w:pBdr>
        <w:spacing w:line="276" w:lineRule="auto"/>
      </w:pPr>
    </w:p>
    <w:p w14:paraId="025EFAE3" w14:textId="77777777" w:rsidR="000E5CD4" w:rsidRDefault="000E5CD4">
      <w:pPr>
        <w:widowControl w:val="0"/>
        <w:pBdr>
          <w:top w:val="nil"/>
          <w:left w:val="nil"/>
          <w:bottom w:val="nil"/>
          <w:right w:val="nil"/>
          <w:between w:val="nil"/>
        </w:pBdr>
        <w:spacing w:line="276" w:lineRule="auto"/>
      </w:pPr>
    </w:p>
    <w:p w14:paraId="10CB87FF" w14:textId="3FA9444A" w:rsidR="000E5CD4" w:rsidRDefault="000E5CD4">
      <w:pPr>
        <w:widowControl w:val="0"/>
        <w:pBdr>
          <w:top w:val="nil"/>
          <w:left w:val="nil"/>
          <w:bottom w:val="nil"/>
          <w:right w:val="nil"/>
          <w:between w:val="nil"/>
        </w:pBdr>
        <w:spacing w:line="276" w:lineRule="auto"/>
      </w:pPr>
    </w:p>
    <w:sectPr w:rsidR="000E5CD4">
      <w:foot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C64087" w14:textId="77777777" w:rsidR="008F5CBF" w:rsidRDefault="008F5CBF">
      <w:r>
        <w:separator/>
      </w:r>
    </w:p>
  </w:endnote>
  <w:endnote w:type="continuationSeparator" w:id="0">
    <w:p w14:paraId="478C4068" w14:textId="77777777" w:rsidR="008F5CBF" w:rsidRDefault="008F5C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E4D57C" w14:textId="77777777" w:rsidR="000E5CD4" w:rsidRDefault="00000000">
    <w:pPr>
      <w:jc w:val="right"/>
    </w:pPr>
    <w:r>
      <w:fldChar w:fldCharType="begin"/>
    </w:r>
    <w:r>
      <w:instrText>PAGE</w:instrText>
    </w:r>
    <w:r>
      <w:fldChar w:fldCharType="separate"/>
    </w:r>
    <w:r w:rsidR="003C3E9E">
      <w:rPr>
        <w:noProof/>
      </w:rPr>
      <w:t>1</w:t>
    </w:r>
    <w:r>
      <w:fldChar w:fldCharType="end"/>
    </w:r>
  </w:p>
  <w:p w14:paraId="42DEA8EC" w14:textId="77777777" w:rsidR="000E5CD4" w:rsidRDefault="000E5CD4">
    <w:pP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ACC92C" w14:textId="77777777" w:rsidR="008F5CBF" w:rsidRDefault="008F5CBF">
      <w:r>
        <w:separator/>
      </w:r>
    </w:p>
  </w:footnote>
  <w:footnote w:type="continuationSeparator" w:id="0">
    <w:p w14:paraId="0052E8D3" w14:textId="77777777" w:rsidR="008F5CBF" w:rsidRDefault="008F5CB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6F6B9C"/>
    <w:multiLevelType w:val="multilevel"/>
    <w:tmpl w:val="0B3C5E2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45993C12"/>
    <w:multiLevelType w:val="multilevel"/>
    <w:tmpl w:val="9E1C3482"/>
    <w:lvl w:ilvl="0">
      <w:start w:val="1"/>
      <w:numFmt w:val="upperRoman"/>
      <w:lvlText w:val="%1."/>
      <w:lvlJc w:val="left"/>
      <w:pPr>
        <w:ind w:left="720" w:hanging="720"/>
      </w:pPr>
      <w:rPr>
        <w:rFonts w:ascii="Calibri" w:eastAsia="Calibri" w:hAnsi="Calibri" w:cs="Calibri"/>
        <w:color w:val="00000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4D527959"/>
    <w:multiLevelType w:val="multilevel"/>
    <w:tmpl w:val="18A4CA5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 w15:restartNumberingAfterBreak="0">
    <w:nsid w:val="67632076"/>
    <w:multiLevelType w:val="multilevel"/>
    <w:tmpl w:val="F7B21D96"/>
    <w:lvl w:ilvl="0">
      <w:start w:val="1"/>
      <w:numFmt w:val="upp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7D34780E"/>
    <w:multiLevelType w:val="multilevel"/>
    <w:tmpl w:val="E94A4D44"/>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170875475">
    <w:abstractNumId w:val="4"/>
  </w:num>
  <w:num w:numId="2" w16cid:durableId="241794966">
    <w:abstractNumId w:val="0"/>
  </w:num>
  <w:num w:numId="3" w16cid:durableId="1650744441">
    <w:abstractNumId w:val="2"/>
  </w:num>
  <w:num w:numId="4" w16cid:durableId="531848538">
    <w:abstractNumId w:val="1"/>
  </w:num>
  <w:num w:numId="5" w16cid:durableId="199822046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5CD4"/>
    <w:rsid w:val="0007289D"/>
    <w:rsid w:val="000E5CD4"/>
    <w:rsid w:val="00133FEA"/>
    <w:rsid w:val="00307685"/>
    <w:rsid w:val="003C3E9E"/>
    <w:rsid w:val="004F72EB"/>
    <w:rsid w:val="008F5CBF"/>
    <w:rsid w:val="00C077FD"/>
    <w:rsid w:val="00C7398F"/>
    <w:rsid w:val="00DC5418"/>
    <w:rsid w:val="00FD42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B7BE094"/>
  <w15:docId w15:val="{AA721A55-96C8-2E4C-8EF9-5781F6D64C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top w:w="15" w:type="dxa"/>
        <w:left w:w="15" w:type="dxa"/>
        <w:bottom w:w="15" w:type="dxa"/>
        <w:right w:w="15"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5" w:type="dxa"/>
        <w:left w:w="15" w:type="dxa"/>
        <w:bottom w:w="15" w:type="dxa"/>
        <w:right w:w="15" w:type="dxa"/>
      </w:tblCellMar>
    </w:tblPr>
  </w:style>
  <w:style w:type="table" w:customStyle="1" w:styleId="a4">
    <w:basedOn w:val="TableNormal"/>
    <w:tblPr>
      <w:tblStyleRowBandSize w:val="1"/>
      <w:tblStyleColBandSize w:val="1"/>
      <w:tblCellMar>
        <w:top w:w="15" w:type="dxa"/>
        <w:left w:w="15" w:type="dxa"/>
        <w:bottom w:w="15" w:type="dxa"/>
        <w:right w:w="15" w:type="dxa"/>
      </w:tblCellMar>
    </w:tblPr>
  </w:style>
  <w:style w:type="table" w:customStyle="1" w:styleId="a5">
    <w:basedOn w:val="TableNormal"/>
    <w:tblPr>
      <w:tblStyleRowBandSize w:val="1"/>
      <w:tblStyleColBandSize w:val="1"/>
      <w:tblCellMar>
        <w:top w:w="15" w:type="dxa"/>
        <w:left w:w="15" w:type="dxa"/>
        <w:bottom w:w="15" w:type="dxa"/>
        <w:right w:w="15" w:type="dxa"/>
      </w:tblCellMar>
    </w:tblPr>
  </w:style>
  <w:style w:type="table" w:customStyle="1" w:styleId="a6">
    <w:basedOn w:val="TableNormal"/>
    <w:tblPr>
      <w:tblStyleRowBandSize w:val="1"/>
      <w:tblStyleColBandSize w:val="1"/>
      <w:tblCellMar>
        <w:top w:w="15" w:type="dxa"/>
        <w:left w:w="15" w:type="dxa"/>
        <w:bottom w:w="15" w:type="dxa"/>
        <w:right w:w="15" w:type="dxa"/>
      </w:tblCellMar>
    </w:tblPr>
  </w:style>
  <w:style w:type="table" w:customStyle="1" w:styleId="a7">
    <w:basedOn w:val="TableNormal"/>
    <w:tblPr>
      <w:tblStyleRowBandSize w:val="1"/>
      <w:tblStyleColBandSize w:val="1"/>
      <w:tblCellMar>
        <w:top w:w="15" w:type="dxa"/>
        <w:left w:w="15" w:type="dxa"/>
        <w:bottom w:w="15" w:type="dxa"/>
        <w:right w:w="15" w:type="dxa"/>
      </w:tblCellMar>
    </w:tblPr>
  </w:style>
  <w:style w:type="paragraph" w:styleId="Bibliography">
    <w:name w:val="Bibliography"/>
    <w:basedOn w:val="Normal"/>
    <w:next w:val="Normal"/>
    <w:uiPriority w:val="37"/>
    <w:unhideWhenUsed/>
    <w:rsid w:val="003C3E9E"/>
    <w:pPr>
      <w:tabs>
        <w:tab w:val="left" w:pos="380"/>
      </w:tabs>
      <w:spacing w:line="480" w:lineRule="auto"/>
      <w:ind w:left="384" w:hanging="384"/>
    </w:pPr>
  </w:style>
  <w:style w:type="character" w:styleId="Hyperlink">
    <w:name w:val="Hyperlink"/>
    <w:basedOn w:val="DefaultParagraphFont"/>
    <w:uiPriority w:val="99"/>
    <w:unhideWhenUsed/>
    <w:rsid w:val="003C3E9E"/>
    <w:rPr>
      <w:color w:val="0000FF" w:themeColor="hyperlink"/>
      <w:u w:val="single"/>
    </w:rPr>
  </w:style>
  <w:style w:type="character" w:styleId="UnresolvedMention">
    <w:name w:val="Unresolved Mention"/>
    <w:basedOn w:val="DefaultParagraphFont"/>
    <w:uiPriority w:val="99"/>
    <w:semiHidden/>
    <w:unhideWhenUsed/>
    <w:rsid w:val="003C3E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5385221">
      <w:bodyDiv w:val="1"/>
      <w:marLeft w:val="0"/>
      <w:marRight w:val="0"/>
      <w:marTop w:val="0"/>
      <w:marBottom w:val="0"/>
      <w:divBdr>
        <w:top w:val="none" w:sz="0" w:space="0" w:color="auto"/>
        <w:left w:val="none" w:sz="0" w:space="0" w:color="auto"/>
        <w:bottom w:val="none" w:sz="0" w:space="0" w:color="auto"/>
        <w:right w:val="none" w:sz="0" w:space="0" w:color="auto"/>
      </w:divBdr>
    </w:div>
    <w:div w:id="20882651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agillwiehl@berkeley.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32</Pages>
  <Words>12705</Words>
  <Characters>72423</Characters>
  <Application>Microsoft Office Word</Application>
  <DocSecurity>0</DocSecurity>
  <Lines>603</Lines>
  <Paragraphs>169</Paragraphs>
  <ScaleCrop>false</ScaleCrop>
  <Company/>
  <LinksUpToDate>false</LinksUpToDate>
  <CharactersWithSpaces>84959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Annelise Gill-Wiehl</cp:lastModifiedBy>
  <cp:revision>3</cp:revision>
  <dcterms:created xsi:type="dcterms:W3CDTF">2023-02-20T03:36:00Z</dcterms:created>
  <dcterms:modified xsi:type="dcterms:W3CDTF">2023-02-20T03:51:00Z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{"style":{"styleID":"http://www.zotero.org/styles/nature","hasBibliography":true,"bibliographyStyleHasBeenSet":true},"prefs":{"fieldType":"Field","automaticJournalAbbreviations":true,"delayCitationUpdates":false,"noteType":0},"sessionID":"7PNDRFCQ","zoter</vt:lpwstr>
  </property>
  <property fmtid="{D5CDD505-2E9C-101B-9397-08002B2CF9AE}" pid="3" name="ZOTERO_PREF_2">
    <vt:lpwstr>oVersion":"6.0.21","dataVersion":4}</vt:lpwstr>
  </property>
</Properties>
</file>