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BDEBD4" w14:textId="54C811E1" w:rsidR="00294BFE" w:rsidRPr="001B1635" w:rsidRDefault="00031198">
      <w:pPr>
        <w:rPr>
          <w:rFonts w:ascii="Times" w:hAnsi="Times"/>
          <w:sz w:val="22"/>
          <w:szCs w:val="22"/>
          <w:lang w:val="fr-CA"/>
        </w:rPr>
      </w:pPr>
      <w:r w:rsidRPr="001B1635">
        <w:rPr>
          <w:rFonts w:ascii="Times" w:hAnsi="Times"/>
          <w:sz w:val="22"/>
          <w:szCs w:val="22"/>
          <w:lang w:val="fr-CA"/>
        </w:rPr>
        <w:t xml:space="preserve">Table </w:t>
      </w:r>
      <w:r w:rsidR="009F2C92" w:rsidRPr="001B1635">
        <w:rPr>
          <w:rFonts w:ascii="Times" w:hAnsi="Times"/>
          <w:sz w:val="22"/>
          <w:szCs w:val="22"/>
          <w:lang w:val="fr-CA"/>
        </w:rPr>
        <w:t>4</w:t>
      </w:r>
      <w:r w:rsidR="00FB3DE2" w:rsidRPr="001B1635">
        <w:rPr>
          <w:rFonts w:ascii="Times" w:hAnsi="Times"/>
          <w:sz w:val="22"/>
          <w:szCs w:val="22"/>
          <w:lang w:val="fr-CA"/>
        </w:rPr>
        <w:t>.</w:t>
      </w:r>
      <w:r w:rsidRPr="001B1635">
        <w:rPr>
          <w:rFonts w:ascii="Times" w:hAnsi="Times"/>
          <w:sz w:val="22"/>
          <w:szCs w:val="22"/>
          <w:lang w:val="fr-CA"/>
        </w:rPr>
        <w:t xml:space="preserve"> </w:t>
      </w:r>
      <w:r w:rsidR="009070CF">
        <w:rPr>
          <w:rFonts w:ascii="Times" w:hAnsi="Times"/>
          <w:sz w:val="22"/>
          <w:szCs w:val="22"/>
          <w:lang w:val="fr-CA"/>
        </w:rPr>
        <w:t xml:space="preserve">Supportive </w:t>
      </w:r>
      <w:r w:rsidR="00F70733">
        <w:rPr>
          <w:rFonts w:ascii="Times" w:hAnsi="Times"/>
          <w:sz w:val="22"/>
          <w:szCs w:val="22"/>
          <w:lang w:val="fr-CA"/>
        </w:rPr>
        <w:t>i</w:t>
      </w:r>
      <w:r w:rsidR="009070CF">
        <w:rPr>
          <w:rFonts w:ascii="Times" w:hAnsi="Times"/>
          <w:sz w:val="22"/>
          <w:szCs w:val="22"/>
          <w:lang w:val="fr-CA"/>
        </w:rPr>
        <w:t>nterventions</w:t>
      </w:r>
      <w:r w:rsidR="00637D4F" w:rsidRPr="001B1635">
        <w:rPr>
          <w:rFonts w:ascii="Times" w:hAnsi="Times"/>
          <w:sz w:val="22"/>
          <w:szCs w:val="22"/>
          <w:lang w:val="fr-CA"/>
        </w:rPr>
        <w:t xml:space="preserve"> identified</w:t>
      </w:r>
    </w:p>
    <w:p w14:paraId="66FF524D" w14:textId="6C053800" w:rsidR="00031198" w:rsidRPr="001B1635" w:rsidRDefault="00031198">
      <w:pPr>
        <w:rPr>
          <w:rFonts w:ascii="Times" w:hAnsi="Times"/>
          <w:sz w:val="22"/>
          <w:szCs w:val="22"/>
          <w:lang w:val="fr-CA"/>
        </w:rPr>
      </w:pP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2599"/>
        <w:gridCol w:w="4767"/>
        <w:gridCol w:w="993"/>
        <w:gridCol w:w="991"/>
      </w:tblGrid>
      <w:tr w:rsidR="009F0332" w:rsidRPr="001B1635" w14:paraId="6AE5454D" w14:textId="07F4F7EF" w:rsidTr="00C477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9" w:type="dxa"/>
          </w:tcPr>
          <w:p w14:paraId="69FCA379" w14:textId="68C29DC9" w:rsidR="009F0332" w:rsidRPr="001B1635" w:rsidRDefault="009F0332">
            <w:pPr>
              <w:rPr>
                <w:rFonts w:ascii="Times" w:hAnsi="Times"/>
                <w:sz w:val="22"/>
                <w:szCs w:val="22"/>
                <w:lang w:val="fr-CA"/>
              </w:rPr>
            </w:pPr>
            <w:r w:rsidRPr="001B1635">
              <w:rPr>
                <w:rFonts w:ascii="Times" w:hAnsi="Times"/>
                <w:sz w:val="22"/>
                <w:szCs w:val="22"/>
                <w:lang w:val="fr-CA"/>
              </w:rPr>
              <w:t>Harm Reduction strategy</w:t>
            </w:r>
          </w:p>
        </w:tc>
        <w:tc>
          <w:tcPr>
            <w:tcW w:w="4767" w:type="dxa"/>
          </w:tcPr>
          <w:p w14:paraId="00DCE938" w14:textId="5A27CD0B" w:rsidR="009F0332" w:rsidRPr="001B1635" w:rsidRDefault="00C27D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  <w:lang w:val="fr-CA"/>
              </w:rPr>
            </w:pPr>
            <w:r>
              <w:rPr>
                <w:rFonts w:ascii="Times" w:hAnsi="Times"/>
                <w:sz w:val="22"/>
                <w:szCs w:val="22"/>
                <w:lang w:val="fr-CA"/>
              </w:rPr>
              <w:t xml:space="preserve">General </w:t>
            </w:r>
            <w:r w:rsidR="009070CF">
              <w:rPr>
                <w:rFonts w:ascii="Times" w:hAnsi="Times"/>
                <w:sz w:val="22"/>
                <w:szCs w:val="22"/>
                <w:lang w:val="fr-CA"/>
              </w:rPr>
              <w:t>D</w:t>
            </w:r>
            <w:r w:rsidR="009F0332" w:rsidRPr="001B1635">
              <w:rPr>
                <w:rFonts w:ascii="Times" w:hAnsi="Times"/>
                <w:sz w:val="22"/>
                <w:szCs w:val="22"/>
                <w:lang w:val="fr-CA"/>
              </w:rPr>
              <w:t>efinition</w:t>
            </w:r>
          </w:p>
        </w:tc>
        <w:tc>
          <w:tcPr>
            <w:tcW w:w="993" w:type="dxa"/>
          </w:tcPr>
          <w:p w14:paraId="1C184A40" w14:textId="0D5C5AEB" w:rsidR="009F0332" w:rsidRPr="001B1635" w:rsidRDefault="009F03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  <w:lang w:val="fr-CA"/>
              </w:rPr>
            </w:pPr>
            <w:r w:rsidRPr="001B1635">
              <w:rPr>
                <w:rFonts w:ascii="Times" w:hAnsi="Times"/>
                <w:sz w:val="22"/>
                <w:szCs w:val="22"/>
                <w:lang w:val="fr-CA"/>
              </w:rPr>
              <w:t xml:space="preserve">Cohort </w:t>
            </w:r>
          </w:p>
        </w:tc>
        <w:tc>
          <w:tcPr>
            <w:tcW w:w="991" w:type="dxa"/>
          </w:tcPr>
          <w:p w14:paraId="5BD8321C" w14:textId="33C0C4CA" w:rsidR="009F0332" w:rsidRPr="001B1635" w:rsidRDefault="009F03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  <w:lang w:val="fr-CA"/>
              </w:rPr>
            </w:pPr>
            <w:r w:rsidRPr="001B1635">
              <w:rPr>
                <w:rFonts w:ascii="Times" w:hAnsi="Times"/>
                <w:sz w:val="22"/>
                <w:szCs w:val="22"/>
                <w:lang w:val="fr-CA"/>
              </w:rPr>
              <w:t>RCTs</w:t>
            </w:r>
          </w:p>
        </w:tc>
      </w:tr>
      <w:tr w:rsidR="009F0332" w:rsidRPr="001B1635" w14:paraId="46B2ED8E" w14:textId="10075569" w:rsidTr="00C47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9" w:type="dxa"/>
          </w:tcPr>
          <w:p w14:paraId="78A082D2" w14:textId="52455969" w:rsidR="009F0332" w:rsidRPr="001B1635" w:rsidRDefault="009F0332">
            <w:pPr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Support for patients in pain</w:t>
            </w:r>
          </w:p>
        </w:tc>
        <w:tc>
          <w:tcPr>
            <w:tcW w:w="4767" w:type="dxa"/>
          </w:tcPr>
          <w:p w14:paraId="30896C86" w14:textId="6B46B88D" w:rsidR="009F0332" w:rsidRPr="001B1635" w:rsidRDefault="009F03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Support groups, case management and pain clinic vetting and referrals.</w:t>
            </w:r>
          </w:p>
        </w:tc>
        <w:tc>
          <w:tcPr>
            <w:tcW w:w="993" w:type="dxa"/>
          </w:tcPr>
          <w:p w14:paraId="40C7A933" w14:textId="76409D9D" w:rsidR="009F0332" w:rsidRPr="001B1635" w:rsidRDefault="003535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8</w:t>
            </w:r>
          </w:p>
        </w:tc>
        <w:tc>
          <w:tcPr>
            <w:tcW w:w="991" w:type="dxa"/>
          </w:tcPr>
          <w:p w14:paraId="04644C94" w14:textId="578188BE" w:rsidR="009F0332" w:rsidRPr="001B1635" w:rsidRDefault="009F03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4</w:t>
            </w:r>
          </w:p>
        </w:tc>
      </w:tr>
      <w:tr w:rsidR="009F0332" w:rsidRPr="001B1635" w14:paraId="14CC359B" w14:textId="77777777" w:rsidTr="00C477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9" w:type="dxa"/>
          </w:tcPr>
          <w:p w14:paraId="62E70BA0" w14:textId="0FB9DFBB" w:rsidR="009F0332" w:rsidRPr="001B1635" w:rsidRDefault="009F0332">
            <w:pPr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Hospital ED policy</w:t>
            </w:r>
          </w:p>
        </w:tc>
        <w:tc>
          <w:tcPr>
            <w:tcW w:w="4767" w:type="dxa"/>
          </w:tcPr>
          <w:p w14:paraId="7ADCA6B7" w14:textId="54445F42" w:rsidR="009F0332" w:rsidRPr="001B1635" w:rsidRDefault="009F03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Local practices to limit ED or inpatient OA prescribing and checking prescription drugs monitoring programs prior to prescribing</w:t>
            </w:r>
          </w:p>
        </w:tc>
        <w:tc>
          <w:tcPr>
            <w:tcW w:w="993" w:type="dxa"/>
          </w:tcPr>
          <w:p w14:paraId="54B5EFE3" w14:textId="0A4596D7" w:rsidR="009F0332" w:rsidRPr="001B1635" w:rsidRDefault="003535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4</w:t>
            </w:r>
          </w:p>
        </w:tc>
        <w:tc>
          <w:tcPr>
            <w:tcW w:w="991" w:type="dxa"/>
          </w:tcPr>
          <w:p w14:paraId="62C0AD7B" w14:textId="77777777" w:rsidR="009F0332" w:rsidRPr="001B1635" w:rsidRDefault="009F03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</w:p>
        </w:tc>
      </w:tr>
      <w:tr w:rsidR="00990888" w:rsidRPr="001B1635" w14:paraId="33D6E2DD" w14:textId="77777777" w:rsidTr="00C47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9" w:type="dxa"/>
          </w:tcPr>
          <w:p w14:paraId="740A66AA" w14:textId="49D4CD37" w:rsidR="00990888" w:rsidRPr="001B1635" w:rsidRDefault="00990888" w:rsidP="00990888">
            <w:pPr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Electronic alert system</w:t>
            </w:r>
          </w:p>
        </w:tc>
        <w:tc>
          <w:tcPr>
            <w:tcW w:w="4767" w:type="dxa"/>
          </w:tcPr>
          <w:p w14:paraId="4E1174DB" w14:textId="03D19A57" w:rsidR="00990888" w:rsidRPr="001B1635" w:rsidRDefault="00990888" w:rsidP="00990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Systems that alert providers to possible opioid abuse situations without mandating their use</w:t>
            </w:r>
          </w:p>
        </w:tc>
        <w:tc>
          <w:tcPr>
            <w:tcW w:w="993" w:type="dxa"/>
          </w:tcPr>
          <w:p w14:paraId="0EBCC68F" w14:textId="1B1AA98A" w:rsidR="00990888" w:rsidRDefault="00990888" w:rsidP="00990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4</w:t>
            </w:r>
          </w:p>
        </w:tc>
        <w:tc>
          <w:tcPr>
            <w:tcW w:w="991" w:type="dxa"/>
          </w:tcPr>
          <w:p w14:paraId="7B1A1CFC" w14:textId="77777777" w:rsidR="00990888" w:rsidRPr="001B1635" w:rsidRDefault="00990888" w:rsidP="00990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</w:p>
        </w:tc>
      </w:tr>
      <w:tr w:rsidR="009F0332" w:rsidRPr="001B1635" w14:paraId="1C4E1269" w14:textId="77777777" w:rsidTr="00C477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9" w:type="dxa"/>
          </w:tcPr>
          <w:p w14:paraId="3AFD7698" w14:textId="2C390DCE" w:rsidR="009F0332" w:rsidRPr="001B1635" w:rsidRDefault="009F0332">
            <w:pPr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Provider education</w:t>
            </w:r>
          </w:p>
        </w:tc>
        <w:tc>
          <w:tcPr>
            <w:tcW w:w="4767" w:type="dxa"/>
          </w:tcPr>
          <w:p w14:paraId="2DC4FEB0" w14:textId="5AD4FAFD" w:rsidR="009F0332" w:rsidRPr="001B1635" w:rsidRDefault="009F03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Education of medical professionals in chronic pain treatment</w:t>
            </w:r>
          </w:p>
        </w:tc>
        <w:tc>
          <w:tcPr>
            <w:tcW w:w="993" w:type="dxa"/>
          </w:tcPr>
          <w:p w14:paraId="28BB7026" w14:textId="02608C28" w:rsidR="009F0332" w:rsidRPr="001B1635" w:rsidRDefault="003535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3</w:t>
            </w:r>
          </w:p>
        </w:tc>
        <w:tc>
          <w:tcPr>
            <w:tcW w:w="991" w:type="dxa"/>
          </w:tcPr>
          <w:p w14:paraId="39CA2DDC" w14:textId="77777777" w:rsidR="009F0332" w:rsidRPr="001B1635" w:rsidRDefault="009F03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</w:p>
        </w:tc>
      </w:tr>
      <w:tr w:rsidR="009F0332" w:rsidRPr="001B1635" w14:paraId="3672A4B6" w14:textId="77777777" w:rsidTr="00C47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9" w:type="dxa"/>
          </w:tcPr>
          <w:p w14:paraId="33601F30" w14:textId="6BA35D15" w:rsidR="009F0332" w:rsidRPr="001B1635" w:rsidRDefault="009F0332">
            <w:pPr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Statewide prescription policies</w:t>
            </w:r>
          </w:p>
        </w:tc>
        <w:tc>
          <w:tcPr>
            <w:tcW w:w="4767" w:type="dxa"/>
          </w:tcPr>
          <w:p w14:paraId="2B6B0E78" w14:textId="1AD2275A" w:rsidR="009F0332" w:rsidRPr="001B1635" w:rsidRDefault="009F03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Practices or wide-ranging regulations to limit OA prescription within a legislative territory</w:t>
            </w:r>
          </w:p>
        </w:tc>
        <w:tc>
          <w:tcPr>
            <w:tcW w:w="993" w:type="dxa"/>
          </w:tcPr>
          <w:p w14:paraId="09994FE9" w14:textId="796B7B6D" w:rsidR="009F0332" w:rsidRPr="001B1635" w:rsidRDefault="009F03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3</w:t>
            </w:r>
          </w:p>
        </w:tc>
        <w:tc>
          <w:tcPr>
            <w:tcW w:w="991" w:type="dxa"/>
          </w:tcPr>
          <w:p w14:paraId="599B50AB" w14:textId="77777777" w:rsidR="009F0332" w:rsidRPr="001B1635" w:rsidRDefault="009F03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</w:p>
        </w:tc>
      </w:tr>
      <w:tr w:rsidR="009F0332" w:rsidRPr="001B1635" w14:paraId="2611F9EC" w14:textId="77777777" w:rsidTr="00C477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9" w:type="dxa"/>
          </w:tcPr>
          <w:p w14:paraId="2B02F27B" w14:textId="6D78B457" w:rsidR="009F0332" w:rsidRPr="001B1635" w:rsidRDefault="009F0332">
            <w:pPr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Addiction treatment</w:t>
            </w:r>
          </w:p>
        </w:tc>
        <w:tc>
          <w:tcPr>
            <w:tcW w:w="4767" w:type="dxa"/>
          </w:tcPr>
          <w:p w14:paraId="16D506BB" w14:textId="2A28831E" w:rsidR="009F0332" w:rsidRPr="001B1635" w:rsidRDefault="009F03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Opioid agonist therapies and policies supporting their use</w:t>
            </w:r>
          </w:p>
        </w:tc>
        <w:tc>
          <w:tcPr>
            <w:tcW w:w="993" w:type="dxa"/>
          </w:tcPr>
          <w:p w14:paraId="2B1D2231" w14:textId="47F46F0C" w:rsidR="009F0332" w:rsidRPr="001B1635" w:rsidRDefault="003535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2</w:t>
            </w:r>
          </w:p>
        </w:tc>
        <w:tc>
          <w:tcPr>
            <w:tcW w:w="991" w:type="dxa"/>
          </w:tcPr>
          <w:p w14:paraId="17B56C8C" w14:textId="54DE6BAE" w:rsidR="009F0332" w:rsidRPr="001B1635" w:rsidRDefault="009F03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</w:p>
        </w:tc>
      </w:tr>
      <w:tr w:rsidR="009F0332" w:rsidRPr="001B1635" w14:paraId="49FE6D6C" w14:textId="77777777" w:rsidTr="00C47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9" w:type="dxa"/>
          </w:tcPr>
          <w:p w14:paraId="5AC601BE" w14:textId="63D18F74" w:rsidR="009F0332" w:rsidRPr="001B1635" w:rsidRDefault="009F0332">
            <w:pPr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Community education</w:t>
            </w:r>
          </w:p>
        </w:tc>
        <w:tc>
          <w:tcPr>
            <w:tcW w:w="4767" w:type="dxa"/>
          </w:tcPr>
          <w:p w14:paraId="3D22E431" w14:textId="507E9FBF" w:rsidR="009F0332" w:rsidRPr="001B1635" w:rsidRDefault="009F03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Promotion of public awareness of prescription opioid overdose</w:t>
            </w:r>
          </w:p>
        </w:tc>
        <w:tc>
          <w:tcPr>
            <w:tcW w:w="993" w:type="dxa"/>
          </w:tcPr>
          <w:p w14:paraId="793DB8DA" w14:textId="72D3A9B8" w:rsidR="009F0332" w:rsidRPr="001B1635" w:rsidRDefault="009F03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2</w:t>
            </w:r>
          </w:p>
        </w:tc>
        <w:tc>
          <w:tcPr>
            <w:tcW w:w="991" w:type="dxa"/>
          </w:tcPr>
          <w:p w14:paraId="4FE97370" w14:textId="77777777" w:rsidR="009F0332" w:rsidRPr="001B1635" w:rsidRDefault="009F03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</w:p>
        </w:tc>
      </w:tr>
      <w:tr w:rsidR="009F0332" w:rsidRPr="001B1635" w14:paraId="631D4F52" w14:textId="77777777" w:rsidTr="00C477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9" w:type="dxa"/>
          </w:tcPr>
          <w:p w14:paraId="41BB3342" w14:textId="3238A1E7" w:rsidR="009F0332" w:rsidRPr="001B1635" w:rsidRDefault="009F0332">
            <w:pPr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Diversion control</w:t>
            </w:r>
          </w:p>
        </w:tc>
        <w:tc>
          <w:tcPr>
            <w:tcW w:w="4767" w:type="dxa"/>
          </w:tcPr>
          <w:p w14:paraId="4D804D03" w14:textId="71F88295" w:rsidR="009F0332" w:rsidRPr="001B1635" w:rsidRDefault="009F03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Removal of unused medications and training of local law enforcement with OA diversion</w:t>
            </w:r>
          </w:p>
        </w:tc>
        <w:tc>
          <w:tcPr>
            <w:tcW w:w="993" w:type="dxa"/>
          </w:tcPr>
          <w:p w14:paraId="45AA4EDB" w14:textId="7E98F873" w:rsidR="009F0332" w:rsidRPr="001B1635" w:rsidRDefault="009F03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2</w:t>
            </w:r>
          </w:p>
        </w:tc>
        <w:tc>
          <w:tcPr>
            <w:tcW w:w="991" w:type="dxa"/>
          </w:tcPr>
          <w:p w14:paraId="31A00645" w14:textId="77777777" w:rsidR="009F0332" w:rsidRPr="001B1635" w:rsidRDefault="009F03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</w:p>
        </w:tc>
      </w:tr>
      <w:tr w:rsidR="009F0332" w:rsidRPr="001B1635" w14:paraId="23B17207" w14:textId="77777777" w:rsidTr="00C47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9" w:type="dxa"/>
          </w:tcPr>
          <w:p w14:paraId="2F4FB4C8" w14:textId="54FEFCC3" w:rsidR="009F0332" w:rsidRPr="001B1635" w:rsidRDefault="009F0332">
            <w:pPr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Naloxone policies</w:t>
            </w:r>
          </w:p>
        </w:tc>
        <w:tc>
          <w:tcPr>
            <w:tcW w:w="4767" w:type="dxa"/>
          </w:tcPr>
          <w:p w14:paraId="6F874D18" w14:textId="739449CB" w:rsidR="009F0332" w:rsidRPr="001B1635" w:rsidRDefault="009F03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Promotion of the adoption of policies to disseminate the opioid antagonist naloxone to opioid users</w:t>
            </w:r>
          </w:p>
        </w:tc>
        <w:tc>
          <w:tcPr>
            <w:tcW w:w="993" w:type="dxa"/>
          </w:tcPr>
          <w:p w14:paraId="1FD73633" w14:textId="6A8E48AF" w:rsidR="009F0332" w:rsidRPr="001B1635" w:rsidRDefault="009F03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  <w:r w:rsidRPr="001B1635">
              <w:rPr>
                <w:rFonts w:ascii="Times" w:hAnsi="Times"/>
                <w:sz w:val="22"/>
                <w:szCs w:val="22"/>
              </w:rPr>
              <w:t>2</w:t>
            </w:r>
          </w:p>
        </w:tc>
        <w:tc>
          <w:tcPr>
            <w:tcW w:w="991" w:type="dxa"/>
          </w:tcPr>
          <w:p w14:paraId="1E46F854" w14:textId="77777777" w:rsidR="009F0332" w:rsidRPr="001B1635" w:rsidRDefault="009F03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2"/>
                <w:szCs w:val="22"/>
              </w:rPr>
            </w:pPr>
          </w:p>
        </w:tc>
      </w:tr>
    </w:tbl>
    <w:p w14:paraId="6B84F741" w14:textId="79036053" w:rsidR="000B3016" w:rsidRPr="00416E39" w:rsidRDefault="000B3016">
      <w:pPr>
        <w:rPr>
          <w:rFonts w:ascii="Times" w:hAnsi="Times"/>
          <w:i/>
          <w:iCs/>
          <w:sz w:val="18"/>
          <w:szCs w:val="18"/>
        </w:rPr>
      </w:pPr>
      <w:r w:rsidRPr="00416E39">
        <w:rPr>
          <w:rFonts w:ascii="Times" w:hAnsi="Times"/>
          <w:i/>
          <w:iCs/>
          <w:sz w:val="18"/>
          <w:szCs w:val="18"/>
        </w:rPr>
        <w:t xml:space="preserve"> </w:t>
      </w:r>
    </w:p>
    <w:sectPr w:rsidR="000B3016" w:rsidRPr="00416E39" w:rsidSect="007042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198"/>
    <w:rsid w:val="00031198"/>
    <w:rsid w:val="0003691E"/>
    <w:rsid w:val="0008612F"/>
    <w:rsid w:val="000B3016"/>
    <w:rsid w:val="000F489F"/>
    <w:rsid w:val="001234B7"/>
    <w:rsid w:val="00183DCD"/>
    <w:rsid w:val="001B1635"/>
    <w:rsid w:val="0035358C"/>
    <w:rsid w:val="00387375"/>
    <w:rsid w:val="00400D53"/>
    <w:rsid w:val="00416E39"/>
    <w:rsid w:val="00432969"/>
    <w:rsid w:val="004D0732"/>
    <w:rsid w:val="005467DD"/>
    <w:rsid w:val="00555B7F"/>
    <w:rsid w:val="00637D4F"/>
    <w:rsid w:val="0070421E"/>
    <w:rsid w:val="00761161"/>
    <w:rsid w:val="007A4A53"/>
    <w:rsid w:val="007F3725"/>
    <w:rsid w:val="00835B2A"/>
    <w:rsid w:val="00875F42"/>
    <w:rsid w:val="008C3560"/>
    <w:rsid w:val="008C6187"/>
    <w:rsid w:val="009070CF"/>
    <w:rsid w:val="00990888"/>
    <w:rsid w:val="009F0332"/>
    <w:rsid w:val="009F2C92"/>
    <w:rsid w:val="00A41AE8"/>
    <w:rsid w:val="00A43442"/>
    <w:rsid w:val="00A809A0"/>
    <w:rsid w:val="00B70F85"/>
    <w:rsid w:val="00C27DB4"/>
    <w:rsid w:val="00C477A6"/>
    <w:rsid w:val="00C73B1D"/>
    <w:rsid w:val="00C81774"/>
    <w:rsid w:val="00CC4FCA"/>
    <w:rsid w:val="00DC2203"/>
    <w:rsid w:val="00E5504E"/>
    <w:rsid w:val="00EC4240"/>
    <w:rsid w:val="00F26962"/>
    <w:rsid w:val="00F62B6F"/>
    <w:rsid w:val="00F70733"/>
    <w:rsid w:val="00F93B80"/>
    <w:rsid w:val="00FB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F32F9"/>
  <w15:chartTrackingRefBased/>
  <w15:docId w15:val="{03778188-6AA0-1B4C-95B9-58FA38673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296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296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96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nuscriptTitle">
    <w:name w:val="Manuscript_Title"/>
    <w:basedOn w:val="Title"/>
    <w:next w:val="Normal"/>
    <w:autoRedefine/>
    <w:qFormat/>
    <w:rsid w:val="00432969"/>
    <w:pPr>
      <w:jc w:val="both"/>
    </w:pPr>
    <w:rPr>
      <w:rFonts w:ascii="Times" w:hAnsi="Times"/>
      <w:sz w:val="36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3296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Manuscriptbody">
    <w:name w:val="Manuscript_body"/>
    <w:basedOn w:val="Normal"/>
    <w:link w:val="ManuscriptbodyChar"/>
    <w:autoRedefine/>
    <w:qFormat/>
    <w:rsid w:val="00432969"/>
    <w:pPr>
      <w:jc w:val="both"/>
    </w:pPr>
    <w:rPr>
      <w:rFonts w:ascii="Times" w:hAnsi="Times" w:cstheme="minorHAnsi"/>
      <w:sz w:val="20"/>
      <w:szCs w:val="20"/>
    </w:rPr>
  </w:style>
  <w:style w:type="paragraph" w:customStyle="1" w:styleId="ManuscriptHeading1">
    <w:name w:val="Manuscript_Heading1"/>
    <w:basedOn w:val="Heading1"/>
    <w:next w:val="Manuscriptbody"/>
    <w:link w:val="ManuscriptHeading1Char"/>
    <w:autoRedefine/>
    <w:qFormat/>
    <w:rsid w:val="00432969"/>
    <w:pPr>
      <w:jc w:val="both"/>
    </w:pPr>
    <w:rPr>
      <w:rFonts w:ascii="Times" w:hAnsi="Times" w:cstheme="minorHAnsi"/>
      <w:b/>
      <w:sz w:val="28"/>
      <w:szCs w:val="20"/>
    </w:rPr>
  </w:style>
  <w:style w:type="character" w:customStyle="1" w:styleId="ManuscriptHeading1Char">
    <w:name w:val="Manuscript_Heading1 Char"/>
    <w:basedOn w:val="Heading1Char"/>
    <w:link w:val="ManuscriptHeading1"/>
    <w:rsid w:val="00432969"/>
    <w:rPr>
      <w:rFonts w:ascii="Times" w:eastAsiaTheme="majorEastAsia" w:hAnsi="Times" w:cstheme="minorHAnsi"/>
      <w:b/>
      <w:color w:val="2F5496" w:themeColor="accent1" w:themeShade="BF"/>
      <w:sz w:val="2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32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anuscriptHeading2">
    <w:name w:val="Manuscript_Heading2"/>
    <w:basedOn w:val="Heading2"/>
    <w:link w:val="ManuscriptHeading2Char"/>
    <w:autoRedefine/>
    <w:qFormat/>
    <w:rsid w:val="00432969"/>
    <w:pPr>
      <w:jc w:val="both"/>
    </w:pPr>
    <w:rPr>
      <w:rFonts w:ascii="Times" w:hAnsi="Times" w:cstheme="minorHAnsi"/>
      <w:b/>
      <w:sz w:val="24"/>
      <w:szCs w:val="20"/>
    </w:rPr>
  </w:style>
  <w:style w:type="character" w:customStyle="1" w:styleId="ManuscriptHeading2Char">
    <w:name w:val="Manuscript_Heading2 Char"/>
    <w:basedOn w:val="Heading2Char"/>
    <w:link w:val="ManuscriptHeading2"/>
    <w:rsid w:val="00432969"/>
    <w:rPr>
      <w:rFonts w:ascii="Times" w:eastAsiaTheme="majorEastAsia" w:hAnsi="Times" w:cstheme="minorHAnsi"/>
      <w:b/>
      <w:color w:val="2F5496" w:themeColor="accent1" w:themeShade="BF"/>
      <w:sz w:val="2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296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anuscriptHeading3">
    <w:name w:val="Manuscript_Heading3"/>
    <w:basedOn w:val="Heading3"/>
    <w:next w:val="Manuscriptbody"/>
    <w:link w:val="ManuscriptHeading3Char"/>
    <w:autoRedefine/>
    <w:qFormat/>
    <w:rsid w:val="00432969"/>
    <w:pPr>
      <w:jc w:val="both"/>
    </w:pPr>
    <w:rPr>
      <w:rFonts w:ascii="Times" w:hAnsi="Times"/>
      <w:b/>
      <w:sz w:val="20"/>
      <w:szCs w:val="20"/>
    </w:rPr>
  </w:style>
  <w:style w:type="character" w:customStyle="1" w:styleId="ManuscriptHeading3Char">
    <w:name w:val="Manuscript_Heading3 Char"/>
    <w:basedOn w:val="Heading3Char"/>
    <w:link w:val="ManuscriptHeading3"/>
    <w:rsid w:val="00432969"/>
    <w:rPr>
      <w:rFonts w:ascii="Times" w:eastAsiaTheme="majorEastAsia" w:hAnsi="Times" w:cstheme="majorBidi"/>
      <w:b/>
      <w:color w:val="1F3763" w:themeColor="accent1" w:themeShade="7F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96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ManuscriptbodyChar">
    <w:name w:val="Manuscript_body Char"/>
    <w:basedOn w:val="DefaultParagraphFont"/>
    <w:link w:val="Manuscriptbody"/>
    <w:rsid w:val="00432969"/>
    <w:rPr>
      <w:rFonts w:ascii="Times" w:hAnsi="Times" w:cstheme="minorHAnsi"/>
      <w:sz w:val="20"/>
      <w:szCs w:val="20"/>
    </w:rPr>
  </w:style>
  <w:style w:type="paragraph" w:customStyle="1" w:styleId="Manuscriptheadingnotes">
    <w:name w:val="Manuscript_heading_notes"/>
    <w:basedOn w:val="Normal"/>
    <w:link w:val="ManuscriptheadingnotesChar"/>
    <w:autoRedefine/>
    <w:qFormat/>
    <w:rsid w:val="00432969"/>
    <w:pPr>
      <w:suppressLineNumbers/>
      <w:jc w:val="both"/>
    </w:pPr>
    <w:rPr>
      <w:rFonts w:ascii="Times" w:hAnsi="Times"/>
      <w:b/>
      <w:sz w:val="16"/>
      <w:szCs w:val="20"/>
      <w:vertAlign w:val="superscript"/>
    </w:rPr>
  </w:style>
  <w:style w:type="character" w:customStyle="1" w:styleId="ManuscriptheadingnotesChar">
    <w:name w:val="Manuscript_heading_notes Char"/>
    <w:basedOn w:val="DefaultParagraphFont"/>
    <w:link w:val="Manuscriptheadingnotes"/>
    <w:rsid w:val="00432969"/>
    <w:rPr>
      <w:rFonts w:ascii="Times" w:hAnsi="Times"/>
      <w:b/>
      <w:sz w:val="16"/>
      <w:szCs w:val="20"/>
      <w:vertAlign w:val="superscript"/>
    </w:rPr>
  </w:style>
  <w:style w:type="paragraph" w:customStyle="1" w:styleId="Manuscriptbodynotes">
    <w:name w:val="Manuscript_body_notes"/>
    <w:basedOn w:val="Manuscriptheadingnotes"/>
    <w:autoRedefine/>
    <w:qFormat/>
    <w:rsid w:val="00432969"/>
    <w:rPr>
      <w:b w:val="0"/>
      <w:sz w:val="18"/>
      <w:lang w:val="en-US"/>
    </w:rPr>
  </w:style>
  <w:style w:type="paragraph" w:customStyle="1" w:styleId="Manuscriptreferences">
    <w:name w:val="Manuscript_references"/>
    <w:basedOn w:val="Manuscriptheadingnotes"/>
    <w:autoRedefine/>
    <w:qFormat/>
    <w:rsid w:val="00432969"/>
    <w:pPr>
      <w:widowControl w:val="0"/>
      <w:tabs>
        <w:tab w:val="left" w:pos="640"/>
      </w:tabs>
      <w:autoSpaceDE w:val="0"/>
      <w:autoSpaceDN w:val="0"/>
      <w:adjustRightInd w:val="0"/>
      <w:spacing w:after="240"/>
      <w:ind w:left="640" w:hanging="640"/>
      <w:jc w:val="left"/>
    </w:pPr>
    <w:rPr>
      <w:b w:val="0"/>
      <w:lang w:val="en-US"/>
    </w:rPr>
  </w:style>
  <w:style w:type="table" w:styleId="TableGrid">
    <w:name w:val="Table Grid"/>
    <w:basedOn w:val="TableNormal"/>
    <w:uiPriority w:val="39"/>
    <w:rsid w:val="000311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77A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7A6"/>
    <w:rPr>
      <w:rFonts w:ascii="Times New Roman" w:hAnsi="Times New Roman" w:cs="Times New Roman"/>
      <w:sz w:val="18"/>
      <w:szCs w:val="18"/>
    </w:rPr>
  </w:style>
  <w:style w:type="table" w:styleId="GridTable4-Accent1">
    <w:name w:val="Grid Table 4 Accent 1"/>
    <w:basedOn w:val="TableNormal"/>
    <w:uiPriority w:val="49"/>
    <w:rsid w:val="00C477A6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Deschamps</dc:creator>
  <cp:keywords/>
  <dc:description/>
  <cp:lastModifiedBy>Jean Deschamps</cp:lastModifiedBy>
  <cp:revision>19</cp:revision>
  <dcterms:created xsi:type="dcterms:W3CDTF">2019-09-09T20:25:00Z</dcterms:created>
  <dcterms:modified xsi:type="dcterms:W3CDTF">2020-09-03T04:24:00Z</dcterms:modified>
</cp:coreProperties>
</file>