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BE5711" w14:textId="77777777" w:rsidR="00757DCC" w:rsidRPr="009D1421" w:rsidRDefault="00757DCC" w:rsidP="00757DCC">
      <w:pPr>
        <w:rPr>
          <w:sz w:val="15"/>
          <w:szCs w:val="15"/>
        </w:rPr>
      </w:pPr>
      <w:r w:rsidRPr="009D1421">
        <w:rPr>
          <w:sz w:val="15"/>
          <w:szCs w:val="15"/>
        </w:rPr>
        <w:t xml:space="preserve">Table 6 </w:t>
      </w:r>
      <w:r w:rsidRPr="009D1421">
        <w:rPr>
          <w:rFonts w:hint="eastAsia"/>
          <w:sz w:val="15"/>
          <w:szCs w:val="15"/>
        </w:rPr>
        <w:t>：</w:t>
      </w:r>
      <w:r w:rsidRPr="009D1421">
        <w:rPr>
          <w:sz w:val="15"/>
          <w:szCs w:val="15"/>
        </w:rPr>
        <w:t xml:space="preserve"> Overview of common mutations in three groups except NC</w:t>
      </w:r>
    </w:p>
    <w:p w14:paraId="32C05432" w14:textId="77777777" w:rsidR="00757DCC" w:rsidRDefault="00757DCC" w:rsidP="00757DCC">
      <w:pPr>
        <w:rPr>
          <w:sz w:val="15"/>
          <w:szCs w:val="15"/>
        </w:rPr>
      </w:pPr>
      <w:r>
        <w:rPr>
          <w:noProof/>
        </w:rPr>
        <w:drawing>
          <wp:inline distT="0" distB="0" distL="0" distR="0" wp14:anchorId="5188E1D4" wp14:editId="0B4C5ABC">
            <wp:extent cx="5731510" cy="2568575"/>
            <wp:effectExtent l="0" t="0" r="2540" b="3175"/>
            <wp:docPr id="22" name="图形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6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AC00F" w14:textId="77777777" w:rsidR="00757DCC" w:rsidRDefault="00757DCC" w:rsidP="00757DCC">
      <w:pPr>
        <w:rPr>
          <w:sz w:val="15"/>
          <w:szCs w:val="15"/>
        </w:rPr>
      </w:pPr>
      <w:r w:rsidRPr="005F3DFF">
        <w:rPr>
          <w:sz w:val="15"/>
          <w:szCs w:val="15"/>
        </w:rPr>
        <w:t xml:space="preserve">Table 7 </w:t>
      </w:r>
      <w:r w:rsidRPr="005F3DFF">
        <w:rPr>
          <w:rFonts w:hint="eastAsia"/>
          <w:sz w:val="15"/>
          <w:szCs w:val="15"/>
        </w:rPr>
        <w:t>：</w:t>
      </w:r>
      <w:r w:rsidRPr="005F3DFF">
        <w:rPr>
          <w:sz w:val="15"/>
          <w:szCs w:val="15"/>
        </w:rPr>
        <w:t xml:space="preserve"> Overview of common enrichment pathways in three groups except NC</w:t>
      </w:r>
    </w:p>
    <w:p w14:paraId="1A4EBD72" w14:textId="77777777" w:rsidR="00757DCC" w:rsidRPr="006A732F" w:rsidRDefault="00757DCC" w:rsidP="00757DCC">
      <w:pPr>
        <w:rPr>
          <w:sz w:val="15"/>
          <w:szCs w:val="15"/>
        </w:rPr>
      </w:pPr>
    </w:p>
    <w:p w14:paraId="59C673FD" w14:textId="77777777" w:rsidR="00757DCC" w:rsidRDefault="00757DCC" w:rsidP="00757DCC">
      <w:pPr>
        <w:rPr>
          <w:sz w:val="15"/>
          <w:szCs w:val="15"/>
        </w:rPr>
      </w:pPr>
      <w:r>
        <w:rPr>
          <w:noProof/>
        </w:rPr>
        <w:drawing>
          <wp:inline distT="0" distB="0" distL="0" distR="0" wp14:anchorId="0B41942D" wp14:editId="6DDE2676">
            <wp:extent cx="5731510" cy="2568575"/>
            <wp:effectExtent l="0" t="0" r="2540" b="3175"/>
            <wp:docPr id="20" name="图形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6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C85E1" w14:textId="77777777" w:rsidR="00757DCC" w:rsidRDefault="00757DCC" w:rsidP="00757DCC">
      <w:pPr>
        <w:rPr>
          <w:sz w:val="15"/>
          <w:szCs w:val="15"/>
        </w:rPr>
      </w:pPr>
    </w:p>
    <w:p w14:paraId="5FDBDCC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DCC"/>
    <w:rsid w:val="00755780"/>
    <w:rsid w:val="00757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29E85"/>
  <w15:chartTrackingRefBased/>
  <w15:docId w15:val="{54D820E9-C4EF-46C0-8C48-66DEF663E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DCC"/>
    <w:pPr>
      <w:widowControl w:val="0"/>
      <w:spacing w:after="0" w:line="240" w:lineRule="auto"/>
      <w:jc w:val="both"/>
    </w:pPr>
    <w:rPr>
      <w:rFonts w:eastAsiaTheme="minorEastAsia"/>
      <w:kern w:val="2"/>
      <w:sz w:val="24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>Springer Nature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2023-02-22T06:27:00Z</dcterms:created>
  <dcterms:modified xsi:type="dcterms:W3CDTF">2023-02-22T06:28:00Z</dcterms:modified>
</cp:coreProperties>
</file>