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 xml:space="preserve">upplementary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F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ile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 xml:space="preserve"> (Appen</w:t>
      </w:r>
      <w:bookmarkStart w:id="0" w:name="_GoBack"/>
      <w:bookmarkEnd w:id="0"/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dices)</w:t>
      </w:r>
    </w:p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tbl>
      <w:tblPr>
        <w:tblStyle w:val="3"/>
        <w:tblW w:w="9366" w:type="dxa"/>
        <w:tblInd w:w="-3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2288"/>
        <w:gridCol w:w="2674"/>
        <w:gridCol w:w="1119"/>
        <w:gridCol w:w="1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6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rPr>
                <w:rStyle w:val="5"/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Appendix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 xml:space="preserve">Comparison of age, treatment duration,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 xml:space="preserve">ANB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and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 xml:space="preserve"> GoGn-SN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of sample sets in both groups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position w:val="-4"/>
                <w:sz w:val="24"/>
                <w:highlight w:val="none"/>
                <w:vertAlign w:val="baseline"/>
                <w:lang w:val="en-US" w:eastAsia="zh-CN"/>
              </w:rPr>
              <w:object>
                <v:shape id="_x0000_i1025" o:spt="75" type="#_x0000_t75" style="height:16pt;width:13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±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  <w:t>SD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2" w:firstLineChars="2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</w:p>
        </w:tc>
        <w:tc>
          <w:tcPr>
            <w:tcW w:w="228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  <w:t>Extraction (n=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  <w:t>)</w:t>
            </w:r>
          </w:p>
        </w:tc>
        <w:tc>
          <w:tcPr>
            <w:tcW w:w="26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  <w:t>Non-extraction (n=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  <w:t>)</w:t>
            </w:r>
          </w:p>
        </w:tc>
        <w:tc>
          <w:tcPr>
            <w:tcW w:w="111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0" w:firstLineChars="0"/>
              <w:jc w:val="center"/>
              <w:rPr>
                <w:rStyle w:val="4"/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31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0" w:firstLineChars="0"/>
              <w:jc w:val="center"/>
              <w:rPr>
                <w:rStyle w:val="4"/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P值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  <w:t>Age</w:t>
            </w:r>
          </w:p>
        </w:tc>
        <w:tc>
          <w:tcPr>
            <w:tcW w:w="2288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22.909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2.508</w:t>
            </w:r>
          </w:p>
        </w:tc>
        <w:tc>
          <w:tcPr>
            <w:tcW w:w="2674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23.667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4.638</w:t>
            </w:r>
          </w:p>
        </w:tc>
        <w:tc>
          <w:tcPr>
            <w:tcW w:w="1119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-0.481</w:t>
            </w:r>
          </w:p>
        </w:tc>
        <w:tc>
          <w:tcPr>
            <w:tcW w:w="1312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0.636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  <w:t>Treatment period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26.909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7.436</w:t>
            </w:r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19.667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5.630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2.648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0.015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  <w:t>ANB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3.758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0.959</w:t>
            </w:r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2.8275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1.266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1.973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0.059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  <w:t>GoGn-SN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33.160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3.012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34.249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2.714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-0.912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0.372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6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Note: *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 xml:space="preserve">means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4"/>
                <w:highlight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&lt;0.05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the difference is statistically significant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**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 xml:space="preserve">means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4"/>
                <w:highlight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&lt;0.001, the difference is statistically significant.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tbl>
      <w:tblPr>
        <w:tblStyle w:val="3"/>
        <w:tblpPr w:leftFromText="180" w:rightFromText="180" w:vertAnchor="text" w:horzAnchor="page" w:tblpX="1413" w:tblpY="183"/>
        <w:tblOverlap w:val="never"/>
        <w:tblW w:w="936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65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gridSpan w:val="2"/>
            <w:tcBorders>
              <w:top w:val="nil"/>
              <w:bottom w:val="single" w:color="auto" w:sz="12" w:space="0"/>
            </w:tcBorders>
            <w:noWrap w:val="0"/>
            <w:vAlign w:val="top"/>
          </w:tcPr>
          <w:p>
            <w:pPr>
              <w:spacing w:line="24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Appendix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Definition of facial soft tissue line distance, angle landmarks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2" w:firstLineChars="20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  <w:t>Landmarks</w:t>
            </w:r>
          </w:p>
        </w:tc>
        <w:tc>
          <w:tcPr>
            <w:tcW w:w="653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2" w:firstLineChars="20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  <w:t>Definition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Nasion (N’)</w:t>
            </w:r>
          </w:p>
        </w:tc>
        <w:tc>
          <w:tcPr>
            <w:tcW w:w="6534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The intersection of the fronto-nasal suture and the midsagittal plane is located slightly above the most concave point of the root of the nose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Pronasale (Prn)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The most prominent point on the tip of the nose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left="0"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Columella (C)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Crest between the nostrils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Subnasale (Sn)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Located at the junction of the lowest point of the columella and the upper lip soft tissue skin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Labiale superius (Ls)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Upper lip red and skin junction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Stomion (Sto)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Midpoint of transverse fissure between upper and lower lips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Labiale inferius (Li)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Lower lip red and skin junction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Sublabiale (Sl)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Horizontal depression between lower lip and chin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Pogonion (Pg’)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The foremost point in the middle of the chin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Menton (Me’)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The lowest point in the middle of the chin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Cheek right (Chk_R)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Midpoint of Right cheek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Cheek left (Chk_L)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Midpoint of left cheek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Tragion right (Tra_R)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Nodular protrusion in front of right external auditory canal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Tragion left (Tra_L)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Nodular protrusion in front of left external auditory canal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Cheilion right (Ch_R)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Right end of mouth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Cheilion left (Ch_L)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Left end of mouth cleft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Gonion right (Go_R)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The most prominent point of the right mandibular angle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Gonion left (Go_L)</w:t>
            </w:r>
          </w:p>
        </w:tc>
        <w:tc>
          <w:tcPr>
            <w:tcW w:w="6534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rtl w:val="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rtl w:val="0"/>
                <w:lang w:val="en-US" w:eastAsia="zh-CN"/>
              </w:rPr>
              <w:t>The most prominent point of the left mandibular angle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p>
      <w:pPr>
        <w:spacing w:line="240" w:lineRule="auto"/>
        <w:rPr>
          <w:rStyle w:val="5"/>
          <w:rFonts w:hint="eastAsia" w:ascii="宋体" w:hAnsi="宋体" w:eastAsia="宋体" w:cs="宋体"/>
          <w:sz w:val="24"/>
          <w:szCs w:val="24"/>
          <w:highlight w:val="none"/>
          <w:rtl w:val="0"/>
          <w:lang w:val="zh-TW" w:eastAsia="zh-CN"/>
        </w:rPr>
      </w:pPr>
      <w:r>
        <w:rPr>
          <w:rStyle w:val="5"/>
          <w:rFonts w:hint="eastAsia" w:ascii="宋体" w:hAnsi="宋体" w:eastAsia="宋体" w:cs="宋体"/>
          <w:sz w:val="24"/>
          <w:szCs w:val="24"/>
          <w:highlight w:val="none"/>
          <w:rtl w:val="0"/>
          <w:lang w:val="zh-TW" w:eastAsia="zh-CN"/>
        </w:rPr>
        <w:drawing>
          <wp:inline distT="0" distB="0" distL="114300" distR="114300">
            <wp:extent cx="5273675" cy="3955415"/>
            <wp:effectExtent l="0" t="0" r="14605" b="6985"/>
            <wp:docPr id="5" name="图片 5" descr="D:\桌面\拍摄环境及设备.jpg拍摄环境及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桌面\拍摄环境及设备.jpg拍摄环境及设备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Appendix Figure 1</w:t>
      </w:r>
      <w:r>
        <w:rPr>
          <w:rFonts w:hint="default" w:ascii="Times New Roman" w:hAnsi="Times New Roman" w:cs="Times New Roman"/>
          <w:b/>
          <w:bCs/>
          <w:sz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3dMD</w:t>
      </w:r>
      <w:r>
        <w:rPr>
          <w:rFonts w:hint="default" w:ascii="Times New Roman" w:hAnsi="Times New Roman" w:cs="Times New Roman"/>
          <w:sz w:val="24"/>
          <w:highlight w:val="none"/>
          <w:vertAlign w:val="superscript"/>
        </w:rPr>
        <w:t>®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facial three-dimensional imaging system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and capturing environment</w:t>
      </w:r>
    </w:p>
    <w:p>
      <w:pPr>
        <w:spacing w:line="240" w:lineRule="auto"/>
        <w:rPr>
          <w:rStyle w:val="5"/>
          <w:rFonts w:hint="default" w:ascii="宋体" w:hAnsi="宋体" w:eastAsia="宋体" w:cs="宋体"/>
          <w:sz w:val="24"/>
          <w:szCs w:val="24"/>
          <w:highlight w:val="none"/>
          <w:rtl w:val="0"/>
          <w:lang w:val="en-US" w:eastAsia="zh-CN"/>
        </w:rPr>
      </w:pPr>
    </w:p>
    <w:p>
      <w:pPr>
        <w:spacing w:line="240" w:lineRule="auto"/>
        <w:rPr>
          <w:rStyle w:val="5"/>
          <w:rFonts w:hint="default" w:ascii="宋体" w:hAnsi="宋体" w:eastAsia="宋体" w:cs="宋体"/>
          <w:sz w:val="24"/>
          <w:szCs w:val="24"/>
          <w:highlight w:val="none"/>
          <w:rtl w:val="0"/>
          <w:lang w:val="en-US" w:eastAsia="zh-CN"/>
        </w:rPr>
      </w:pPr>
    </w:p>
    <w:p>
      <w:pPr>
        <w:spacing w:line="240" w:lineRule="auto"/>
        <w:rPr>
          <w:rStyle w:val="5"/>
          <w:rFonts w:hint="default" w:ascii="宋体" w:hAnsi="宋体" w:eastAsia="宋体" w:cs="宋体"/>
          <w:sz w:val="24"/>
          <w:szCs w:val="24"/>
          <w:highlight w:val="none"/>
          <w:rtl w:val="0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highlight w:val="none"/>
          <w:lang w:eastAsia="zh-CN"/>
        </w:rPr>
        <w:drawing>
          <wp:inline distT="0" distB="0" distL="114300" distR="114300">
            <wp:extent cx="2773045" cy="3144520"/>
            <wp:effectExtent l="0" t="0" r="635" b="10160"/>
            <wp:docPr id="2" name="图片 2" descr="D:\桌面\微信截图_20221130161143.jpg微信截图_2022113016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桌面\微信截图_20221130161143.jpg微信截图_2022113016114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Style w:val="5"/>
          <w:rFonts w:hint="default" w:ascii="宋体" w:hAnsi="宋体" w:eastAsia="宋体" w:cs="宋体"/>
          <w:sz w:val="24"/>
          <w:szCs w:val="24"/>
          <w:highlight w:val="none"/>
          <w:rtl w:val="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Appendix Figure 2</w:t>
      </w:r>
      <w:r>
        <w:rPr>
          <w:rFonts w:hint="default" w:ascii="Times New Roman" w:hAnsi="Times New Roman" w:cs="Times New Roman"/>
          <w:b/>
          <w:bCs/>
          <w:sz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8 soft tissue line distance and angle measurement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landmarks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on 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3D images</w:t>
      </w:r>
    </w:p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hOWMzNTlmNTI3ZDMxNzM4ZWJlMzk5MWM1ZTY1NDcifQ=="/>
  </w:docVars>
  <w:rsids>
    <w:rsidRoot w:val="3D222AB6"/>
    <w:rsid w:val="3D22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无 A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1701</Characters>
  <Lines>0</Lines>
  <Paragraphs>0</Paragraphs>
  <TotalTime>2</TotalTime>
  <ScaleCrop>false</ScaleCrop>
  <LinksUpToDate>false</LinksUpToDate>
  <CharactersWithSpaces>1939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2023-02-21T16:50:00Z</dcterms:created>
  <dc:creator>探侦物语</dc:creator>
  <cp:lastModifiedBy>探侦物语</cp:lastModifiedBy>
  <dcterms:modified xsi:type="dcterms:W3CDTF">2023-02-21T16:52:47Z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B0E2EDC26A05494AADF7D207DD9246ED</vt:lpwstr>
  </property>
</Properties>
</file>