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8D44" w14:textId="77777777" w:rsidR="00433AB1" w:rsidRPr="001477FA" w:rsidRDefault="00433AB1" w:rsidP="00433AB1">
      <w:pPr>
        <w:spacing w:before="240" w:after="0" w:line="480" w:lineRule="auto"/>
        <w:jc w:val="center"/>
        <w:rPr>
          <w:rFonts w:asciiTheme="majorBidi" w:eastAsia="Calibri" w:hAnsiTheme="majorBidi" w:cstheme="majorBidi"/>
          <w:b/>
          <w:bCs/>
          <w:sz w:val="26"/>
          <w:szCs w:val="26"/>
          <w:lang w:bidi="fa-IR"/>
        </w:rPr>
      </w:pPr>
      <w:r w:rsidRPr="001477FA">
        <w:rPr>
          <w:rFonts w:asciiTheme="majorBidi" w:eastAsia="Calibri" w:hAnsiTheme="majorBidi" w:cstheme="majorBidi"/>
          <w:b/>
          <w:bCs/>
          <w:sz w:val="26"/>
          <w:szCs w:val="26"/>
          <w:lang w:bidi="fa-IR"/>
        </w:rPr>
        <w:t>Supplementary information for</w:t>
      </w:r>
    </w:p>
    <w:p w14:paraId="776D4DBB" w14:textId="77777777" w:rsidR="00433AB1" w:rsidRPr="001477FA" w:rsidRDefault="00433AB1" w:rsidP="00433AB1">
      <w:pPr>
        <w:spacing w:after="0" w:line="480" w:lineRule="auto"/>
        <w:jc w:val="center"/>
        <w:rPr>
          <w:rFonts w:asciiTheme="majorBidi" w:eastAsia="Calibri" w:hAnsiTheme="majorBidi" w:cstheme="majorBidi"/>
          <w:b/>
          <w:bCs/>
          <w:sz w:val="26"/>
          <w:szCs w:val="26"/>
          <w:lang w:bidi="fa-IR"/>
        </w:rPr>
      </w:pPr>
    </w:p>
    <w:p w14:paraId="374BEB95" w14:textId="77777777" w:rsidR="009B4A30" w:rsidRPr="001477FA" w:rsidRDefault="009B4A30" w:rsidP="009B4A30">
      <w:pPr>
        <w:spacing w:after="0" w:line="360" w:lineRule="auto"/>
        <w:jc w:val="center"/>
        <w:rPr>
          <w:rFonts w:asciiTheme="majorBidi" w:eastAsia="Calibri" w:hAnsiTheme="majorBidi" w:cstheme="majorBidi"/>
          <w:b/>
          <w:bCs/>
          <w:sz w:val="24"/>
          <w:szCs w:val="24"/>
        </w:rPr>
      </w:pPr>
      <w:r w:rsidRPr="001477FA">
        <w:rPr>
          <w:rFonts w:asciiTheme="majorBidi" w:eastAsia="Calibri" w:hAnsiTheme="majorBidi" w:cstheme="majorBidi"/>
          <w:b/>
          <w:bCs/>
          <w:sz w:val="24"/>
          <w:szCs w:val="24"/>
        </w:rPr>
        <w:t xml:space="preserve">Removal of chromium (VI) ions by a </w:t>
      </w:r>
      <w:proofErr w:type="spellStart"/>
      <w:r w:rsidRPr="001477FA">
        <w:rPr>
          <w:rFonts w:asciiTheme="majorBidi" w:eastAsia="Calibri" w:hAnsiTheme="majorBidi" w:cstheme="majorBidi"/>
          <w:b/>
          <w:bCs/>
          <w:sz w:val="24"/>
          <w:szCs w:val="24"/>
        </w:rPr>
        <w:t>bionanocomposite</w:t>
      </w:r>
      <w:proofErr w:type="spellEnd"/>
      <w:r w:rsidRPr="001477FA">
        <w:rPr>
          <w:rFonts w:asciiTheme="majorBidi" w:eastAsia="Calibri" w:hAnsiTheme="majorBidi" w:cstheme="majorBidi"/>
          <w:b/>
          <w:bCs/>
          <w:sz w:val="24"/>
          <w:szCs w:val="24"/>
        </w:rPr>
        <w:t xml:space="preserve"> hydrogel based on starch-</w:t>
      </w:r>
      <w:r w:rsidRPr="001477FA">
        <w:rPr>
          <w:rFonts w:asciiTheme="majorBidi" w:eastAsia="Calibri" w:hAnsiTheme="majorBidi" w:cstheme="majorBidi"/>
          <w:b/>
          <w:bCs/>
          <w:i/>
          <w:iCs/>
          <w:sz w:val="24"/>
          <w:szCs w:val="24"/>
        </w:rPr>
        <w:t>g</w:t>
      </w:r>
      <w:r w:rsidRPr="001477FA">
        <w:rPr>
          <w:rFonts w:asciiTheme="majorBidi" w:eastAsia="Calibri" w:hAnsiTheme="majorBidi" w:cstheme="majorBidi"/>
          <w:b/>
          <w:bCs/>
          <w:sz w:val="24"/>
          <w:szCs w:val="24"/>
        </w:rPr>
        <w:t>-</w:t>
      </w:r>
      <w:proofErr w:type="gramStart"/>
      <w:r w:rsidRPr="001477FA">
        <w:rPr>
          <w:rFonts w:asciiTheme="majorBidi" w:eastAsia="Calibri" w:hAnsiTheme="majorBidi" w:cstheme="majorBidi"/>
          <w:b/>
          <w:bCs/>
          <w:sz w:val="24"/>
          <w:szCs w:val="24"/>
        </w:rPr>
        <w:t>poly(</w:t>
      </w:r>
      <w:proofErr w:type="gramEnd"/>
      <w:r w:rsidRPr="001477FA">
        <w:rPr>
          <w:rFonts w:asciiTheme="majorBidi" w:eastAsia="Calibri" w:hAnsiTheme="majorBidi" w:cstheme="majorBidi"/>
          <w:b/>
          <w:bCs/>
          <w:sz w:val="24"/>
          <w:szCs w:val="24"/>
        </w:rPr>
        <w:t xml:space="preserve">acrylic acid) reinforced by cellulose nanofibers through a fix-bed adsorption column </w:t>
      </w:r>
    </w:p>
    <w:p w14:paraId="7699754A" w14:textId="77777777" w:rsidR="009B4A30" w:rsidRPr="001477FA" w:rsidRDefault="009B4A30" w:rsidP="009B4A30">
      <w:pPr>
        <w:spacing w:after="0" w:line="480" w:lineRule="auto"/>
        <w:jc w:val="center"/>
        <w:rPr>
          <w:rFonts w:asciiTheme="majorBidi" w:eastAsia="Calibri" w:hAnsiTheme="majorBidi" w:cstheme="majorBidi"/>
          <w:b/>
          <w:bCs/>
          <w:sz w:val="14"/>
          <w:szCs w:val="14"/>
        </w:rPr>
      </w:pPr>
    </w:p>
    <w:p w14:paraId="783580A1" w14:textId="77777777" w:rsidR="009B4A30" w:rsidRPr="001477FA" w:rsidRDefault="009B4A30" w:rsidP="009B4A30">
      <w:pPr>
        <w:autoSpaceDE w:val="0"/>
        <w:autoSpaceDN w:val="0"/>
        <w:adjustRightInd w:val="0"/>
        <w:spacing w:after="0" w:line="240" w:lineRule="auto"/>
        <w:jc w:val="center"/>
        <w:rPr>
          <w:rFonts w:asciiTheme="majorBidi" w:eastAsia="Calibri" w:hAnsiTheme="majorBidi" w:cstheme="majorBidi"/>
          <w:b/>
          <w:bCs/>
        </w:rPr>
      </w:pPr>
      <w:r w:rsidRPr="001477FA">
        <w:rPr>
          <w:rFonts w:asciiTheme="majorBidi" w:eastAsia="Calibri" w:hAnsiTheme="majorBidi" w:cstheme="majorBidi"/>
          <w:b/>
          <w:bCs/>
        </w:rPr>
        <w:t xml:space="preserve">Maryam </w:t>
      </w:r>
      <w:proofErr w:type="spellStart"/>
      <w:r w:rsidRPr="001477FA">
        <w:rPr>
          <w:rFonts w:asciiTheme="majorBidi" w:eastAsia="Calibri" w:hAnsiTheme="majorBidi" w:cstheme="majorBidi"/>
          <w:b/>
          <w:bCs/>
        </w:rPr>
        <w:t>Heidarzadeh</w:t>
      </w:r>
      <w:proofErr w:type="spellEnd"/>
      <w:r w:rsidRPr="001477FA">
        <w:rPr>
          <w:rFonts w:asciiTheme="majorBidi" w:eastAsia="Calibri" w:hAnsiTheme="majorBidi" w:cstheme="majorBidi"/>
          <w:b/>
          <w:bCs/>
        </w:rPr>
        <w:t xml:space="preserve">-Samani, </w:t>
      </w:r>
      <w:proofErr w:type="spellStart"/>
      <w:r w:rsidRPr="001477FA">
        <w:rPr>
          <w:rFonts w:asciiTheme="majorBidi" w:eastAsia="Calibri" w:hAnsiTheme="majorBidi" w:cstheme="majorBidi"/>
          <w:b/>
          <w:bCs/>
        </w:rPr>
        <w:t>Tayebeh</w:t>
      </w:r>
      <w:proofErr w:type="spellEnd"/>
      <w:r w:rsidRPr="001477FA">
        <w:rPr>
          <w:rFonts w:asciiTheme="majorBidi" w:eastAsia="Calibri" w:hAnsiTheme="majorBidi" w:cstheme="majorBidi"/>
          <w:b/>
          <w:bCs/>
        </w:rPr>
        <w:t xml:space="preserve"> Behzad</w:t>
      </w:r>
      <w:r w:rsidR="001146DC">
        <w:rPr>
          <w:rFonts w:asciiTheme="majorBidi" w:eastAsia="Calibri" w:hAnsiTheme="majorBidi" w:cstheme="majorBidi"/>
          <w:b/>
          <w:bCs/>
        </w:rPr>
        <w:t>*</w:t>
      </w:r>
      <w:r w:rsidRPr="001477FA">
        <w:rPr>
          <w:rFonts w:asciiTheme="majorBidi" w:eastAsia="Calibri" w:hAnsiTheme="majorBidi" w:cstheme="majorBidi"/>
          <w:b/>
          <w:bCs/>
        </w:rPr>
        <w:t xml:space="preserve">, </w:t>
      </w:r>
      <w:proofErr w:type="spellStart"/>
      <w:r w:rsidRPr="001477FA">
        <w:rPr>
          <w:rFonts w:asciiTheme="majorBidi" w:eastAsia="Calibri" w:hAnsiTheme="majorBidi" w:cstheme="majorBidi"/>
          <w:b/>
          <w:bCs/>
        </w:rPr>
        <w:t>Arjomand</w:t>
      </w:r>
      <w:proofErr w:type="spellEnd"/>
      <w:r w:rsidRPr="001477FA">
        <w:rPr>
          <w:rFonts w:asciiTheme="majorBidi" w:eastAsia="Calibri" w:hAnsiTheme="majorBidi" w:cstheme="majorBidi"/>
          <w:b/>
          <w:bCs/>
        </w:rPr>
        <w:t xml:space="preserve"> </w:t>
      </w:r>
      <w:proofErr w:type="spellStart"/>
      <w:r w:rsidRPr="001477FA">
        <w:rPr>
          <w:rFonts w:asciiTheme="majorBidi" w:eastAsia="Calibri" w:hAnsiTheme="majorBidi" w:cstheme="majorBidi"/>
          <w:b/>
          <w:bCs/>
        </w:rPr>
        <w:t>Mehrabani-Zeinabad</w:t>
      </w:r>
      <w:proofErr w:type="spellEnd"/>
      <w:r w:rsidRPr="001477FA">
        <w:rPr>
          <w:rFonts w:asciiTheme="majorBidi" w:eastAsia="Calibri" w:hAnsiTheme="majorBidi" w:cstheme="majorBidi"/>
          <w:b/>
          <w:bCs/>
        </w:rPr>
        <w:t>,</w:t>
      </w:r>
      <w:r w:rsidRPr="001477FA">
        <w:rPr>
          <w:rFonts w:asciiTheme="majorBidi" w:eastAsia="Calibri" w:hAnsiTheme="majorBidi" w:cstheme="majorBidi"/>
        </w:rPr>
        <w:t xml:space="preserve"> </w:t>
      </w:r>
      <w:proofErr w:type="spellStart"/>
      <w:r w:rsidRPr="001477FA">
        <w:rPr>
          <w:rFonts w:asciiTheme="majorBidi" w:eastAsia="Calibri" w:hAnsiTheme="majorBidi" w:cstheme="majorBidi"/>
          <w:b/>
          <w:bCs/>
        </w:rPr>
        <w:t>Nooshin</w:t>
      </w:r>
      <w:proofErr w:type="spellEnd"/>
      <w:r w:rsidRPr="001477FA">
        <w:rPr>
          <w:rFonts w:asciiTheme="majorBidi" w:eastAsia="Calibri" w:hAnsiTheme="majorBidi" w:cstheme="majorBidi"/>
          <w:sz w:val="23"/>
          <w:szCs w:val="23"/>
        </w:rPr>
        <w:t xml:space="preserve"> </w:t>
      </w:r>
      <w:proofErr w:type="spellStart"/>
      <w:r w:rsidRPr="001477FA">
        <w:rPr>
          <w:rFonts w:asciiTheme="majorBidi" w:eastAsia="Calibri" w:hAnsiTheme="majorBidi" w:cstheme="majorBidi"/>
          <w:b/>
          <w:bCs/>
        </w:rPr>
        <w:t>Bahadoran</w:t>
      </w:r>
      <w:proofErr w:type="spellEnd"/>
      <w:r w:rsidRPr="001477FA">
        <w:rPr>
          <w:rFonts w:asciiTheme="majorBidi" w:eastAsia="Calibri" w:hAnsiTheme="majorBidi" w:cstheme="majorBidi"/>
          <w:b/>
          <w:bCs/>
        </w:rPr>
        <w:t xml:space="preserve"> </w:t>
      </w:r>
      <w:proofErr w:type="spellStart"/>
      <w:r w:rsidRPr="001477FA">
        <w:rPr>
          <w:rFonts w:asciiTheme="majorBidi" w:eastAsia="Calibri" w:hAnsiTheme="majorBidi" w:cstheme="majorBidi"/>
          <w:b/>
          <w:bCs/>
        </w:rPr>
        <w:t>Baghbadorani</w:t>
      </w:r>
      <w:proofErr w:type="spellEnd"/>
    </w:p>
    <w:p w14:paraId="37949E4B" w14:textId="77777777" w:rsidR="009B4A30" w:rsidRPr="001477FA" w:rsidRDefault="009B4A30" w:rsidP="009B4A30">
      <w:pPr>
        <w:autoSpaceDE w:val="0"/>
        <w:autoSpaceDN w:val="0"/>
        <w:adjustRightInd w:val="0"/>
        <w:spacing w:after="0" w:line="240" w:lineRule="auto"/>
        <w:jc w:val="center"/>
        <w:rPr>
          <w:rFonts w:asciiTheme="majorBidi" w:eastAsia="Calibri" w:hAnsiTheme="majorBidi" w:cstheme="majorBidi"/>
          <w:sz w:val="24"/>
          <w:szCs w:val="24"/>
        </w:rPr>
      </w:pPr>
    </w:p>
    <w:p w14:paraId="5B897C2F" w14:textId="77777777" w:rsidR="009B4A30" w:rsidRPr="001477FA" w:rsidRDefault="009B4A30" w:rsidP="009B4A30">
      <w:pPr>
        <w:spacing w:after="0" w:line="480" w:lineRule="auto"/>
        <w:jc w:val="center"/>
        <w:rPr>
          <w:rFonts w:asciiTheme="majorBidi" w:eastAsia="Calibri" w:hAnsiTheme="majorBidi" w:cstheme="majorBidi"/>
          <w:b/>
          <w:bCs/>
          <w:i/>
          <w:iCs/>
          <w:sz w:val="20"/>
          <w:szCs w:val="20"/>
        </w:rPr>
      </w:pPr>
      <w:r w:rsidRPr="001477FA">
        <w:rPr>
          <w:rFonts w:asciiTheme="majorBidi" w:eastAsia="Calibri" w:hAnsiTheme="majorBidi" w:cstheme="majorBidi"/>
          <w:b/>
          <w:bCs/>
          <w:i/>
          <w:iCs/>
          <w:sz w:val="20"/>
          <w:szCs w:val="20"/>
        </w:rPr>
        <w:t>Department of Chemical Engineering, Isfahan University of Technology, Isfahan, 84156-83111, Iran</w:t>
      </w:r>
    </w:p>
    <w:p w14:paraId="446E0837" w14:textId="77777777" w:rsidR="001146DC" w:rsidRPr="001146DC" w:rsidRDefault="001146DC" w:rsidP="001146DC">
      <w:pPr>
        <w:spacing w:after="0" w:line="480" w:lineRule="auto"/>
        <w:jc w:val="center"/>
        <w:rPr>
          <w:rFonts w:ascii="Times New Roman" w:eastAsia="Calibri" w:hAnsi="Times New Roman" w:cs="Times New Roman"/>
          <w:b/>
          <w:bCs/>
          <w:i/>
          <w:iCs/>
          <w:sz w:val="20"/>
          <w:szCs w:val="20"/>
        </w:rPr>
      </w:pPr>
      <w:r w:rsidRPr="001146DC">
        <w:rPr>
          <w:rFonts w:ascii="Times New Roman" w:eastAsia="Calibri" w:hAnsi="Times New Roman" w:cs="Times New Roman"/>
          <w:b/>
          <w:bCs/>
          <w:i/>
          <w:iCs/>
          <w:sz w:val="20"/>
          <w:szCs w:val="20"/>
        </w:rPr>
        <w:t xml:space="preserve">*Corresponding author Email: </w:t>
      </w:r>
      <w:hyperlink r:id="rId6" w:history="1">
        <w:r w:rsidRPr="001146DC">
          <w:rPr>
            <w:rStyle w:val="Hyperlink"/>
            <w:rFonts w:ascii="Times New Roman" w:eastAsia="Calibri" w:hAnsi="Times New Roman" w:cs="Times New Roman"/>
            <w:b/>
            <w:bCs/>
            <w:i/>
            <w:iCs/>
            <w:sz w:val="20"/>
            <w:szCs w:val="20"/>
          </w:rPr>
          <w:t>tbehzad@iut.ac.ir</w:t>
        </w:r>
      </w:hyperlink>
    </w:p>
    <w:p w14:paraId="4C3E0A75" w14:textId="77777777" w:rsidR="0074395B" w:rsidRPr="001477FA" w:rsidRDefault="0074395B">
      <w:pPr>
        <w:rPr>
          <w:rFonts w:asciiTheme="majorBidi" w:hAnsiTheme="majorBidi" w:cstheme="majorBidi"/>
          <w:b/>
          <w:bCs/>
          <w:sz w:val="28"/>
          <w:szCs w:val="28"/>
        </w:rPr>
      </w:pPr>
    </w:p>
    <w:p w14:paraId="03241A9A" w14:textId="77777777" w:rsidR="00433AB1" w:rsidRPr="001477FA" w:rsidRDefault="00433AB1">
      <w:pPr>
        <w:rPr>
          <w:rFonts w:asciiTheme="majorBidi" w:hAnsiTheme="majorBidi" w:cstheme="majorBidi"/>
          <w:b/>
          <w:bCs/>
          <w:sz w:val="28"/>
          <w:szCs w:val="28"/>
        </w:rPr>
      </w:pPr>
    </w:p>
    <w:p w14:paraId="1B1D2F3C" w14:textId="77777777" w:rsidR="00281CA5" w:rsidRPr="001477FA" w:rsidRDefault="00281CA5" w:rsidP="00281CA5">
      <w:pPr>
        <w:jc w:val="both"/>
        <w:rPr>
          <w:rFonts w:asciiTheme="majorBidi" w:hAnsiTheme="majorBidi" w:cstheme="majorBidi"/>
        </w:rPr>
      </w:pPr>
      <w:r w:rsidRPr="001477FA">
        <w:rPr>
          <w:rFonts w:asciiTheme="majorBidi" w:eastAsia="Times New Roman" w:hAnsiTheme="majorBidi" w:cstheme="majorBidi"/>
          <w:b/>
          <w:bCs/>
          <w:lang w:bidi="fa-IR"/>
        </w:rPr>
        <w:t>This File includes:</w:t>
      </w:r>
    </w:p>
    <w:p w14:paraId="49A9C77F" w14:textId="77777777" w:rsidR="00281CA5" w:rsidRPr="00C720C1" w:rsidRDefault="00281CA5" w:rsidP="00281CA5">
      <w:pPr>
        <w:keepNext/>
        <w:numPr>
          <w:ilvl w:val="0"/>
          <w:numId w:val="2"/>
        </w:numPr>
        <w:ind w:left="1077" w:hanging="357"/>
        <w:jc w:val="both"/>
        <w:outlineLvl w:val="0"/>
        <w:rPr>
          <w:rFonts w:asciiTheme="majorBidi" w:hAnsiTheme="majorBidi" w:cstheme="majorBidi"/>
          <w:b/>
          <w:bCs/>
          <w:sz w:val="20"/>
          <w:szCs w:val="20"/>
        </w:rPr>
      </w:pPr>
      <w:r w:rsidRPr="00C720C1">
        <w:rPr>
          <w:rFonts w:asciiTheme="majorBidi" w:hAnsiTheme="majorBidi" w:cstheme="majorBidi"/>
          <w:b/>
          <w:bCs/>
          <w:sz w:val="20"/>
          <w:szCs w:val="20"/>
        </w:rPr>
        <w:t>Screening Experiments</w:t>
      </w:r>
    </w:p>
    <w:p w14:paraId="1157348C" w14:textId="77777777" w:rsidR="00E31CA0" w:rsidRPr="00C720C1" w:rsidRDefault="00281CA5" w:rsidP="00C720C1">
      <w:pPr>
        <w:keepNext/>
        <w:numPr>
          <w:ilvl w:val="0"/>
          <w:numId w:val="2"/>
        </w:numPr>
        <w:ind w:left="1077" w:hanging="357"/>
        <w:jc w:val="both"/>
        <w:outlineLvl w:val="0"/>
        <w:rPr>
          <w:rFonts w:asciiTheme="majorBidi" w:hAnsiTheme="majorBidi" w:cstheme="majorBidi"/>
          <w:b/>
          <w:bCs/>
          <w:sz w:val="20"/>
          <w:szCs w:val="20"/>
        </w:rPr>
      </w:pPr>
      <w:r w:rsidRPr="001477FA">
        <w:rPr>
          <w:rFonts w:asciiTheme="majorBidi" w:hAnsiTheme="majorBidi" w:cstheme="majorBidi"/>
          <w:b/>
          <w:bCs/>
          <w:sz w:val="20"/>
          <w:szCs w:val="20"/>
        </w:rPr>
        <w:t>Design of Experiment</w:t>
      </w:r>
    </w:p>
    <w:p w14:paraId="5987976E" w14:textId="77777777" w:rsidR="00281CA5" w:rsidRPr="00C720C1" w:rsidRDefault="00281CA5" w:rsidP="00C720C1">
      <w:pPr>
        <w:numPr>
          <w:ilvl w:val="0"/>
          <w:numId w:val="2"/>
        </w:numPr>
        <w:spacing w:before="240" w:after="0" w:line="480" w:lineRule="auto"/>
        <w:contextualSpacing/>
        <w:rPr>
          <w:rFonts w:asciiTheme="majorBidi" w:eastAsia="Calibri" w:hAnsiTheme="majorBidi" w:cstheme="majorBidi"/>
          <w:b/>
          <w:bCs/>
          <w:sz w:val="20"/>
          <w:szCs w:val="20"/>
        </w:rPr>
      </w:pPr>
      <w:r w:rsidRPr="001477FA">
        <w:rPr>
          <w:rFonts w:asciiTheme="majorBidi" w:eastAsia="Calibri" w:hAnsiTheme="majorBidi" w:cstheme="majorBidi"/>
          <w:b/>
          <w:bCs/>
          <w:sz w:val="20"/>
          <w:szCs w:val="20"/>
        </w:rPr>
        <w:t>Table S1</w:t>
      </w:r>
      <w:r w:rsidRPr="001477FA">
        <w:rPr>
          <w:rFonts w:asciiTheme="majorBidi" w:eastAsia="Times New Roman" w:hAnsiTheme="majorBidi" w:cstheme="majorBidi"/>
          <w:b/>
          <w:bCs/>
          <w:sz w:val="20"/>
          <w:szCs w:val="20"/>
        </w:rPr>
        <w:t>:</w:t>
      </w:r>
      <w:r w:rsidRPr="001477FA">
        <w:rPr>
          <w:rFonts w:asciiTheme="majorBidi" w:eastAsia="Calibri" w:hAnsiTheme="majorBidi" w:cstheme="majorBidi"/>
          <w:b/>
          <w:bCs/>
          <w:sz w:val="20"/>
          <w:szCs w:val="20"/>
        </w:rPr>
        <w:t xml:space="preserve"> </w:t>
      </w:r>
      <w:r w:rsidR="00C720C1" w:rsidRPr="00C720C1">
        <w:rPr>
          <w:rFonts w:asciiTheme="majorBidi" w:eastAsia="Calibri" w:hAnsiTheme="majorBidi" w:cstheme="majorBidi"/>
          <w:b/>
          <w:bCs/>
          <w:sz w:val="20"/>
          <w:szCs w:val="20"/>
        </w:rPr>
        <w:t>Independent parameters and their experimental levels</w:t>
      </w:r>
      <w:r w:rsidR="00C720C1">
        <w:rPr>
          <w:rFonts w:asciiTheme="majorBidi" w:eastAsia="Calibri" w:hAnsiTheme="majorBidi" w:cstheme="majorBidi"/>
          <w:b/>
          <w:bCs/>
          <w:sz w:val="20"/>
          <w:szCs w:val="20"/>
        </w:rPr>
        <w:t xml:space="preserve"> for the removal of Cr(VI) ions</w:t>
      </w:r>
    </w:p>
    <w:p w14:paraId="41C9361F" w14:textId="77777777" w:rsidR="00281CA5" w:rsidRPr="001477FA" w:rsidRDefault="00416841" w:rsidP="00C720C1">
      <w:pPr>
        <w:numPr>
          <w:ilvl w:val="0"/>
          <w:numId w:val="2"/>
        </w:numPr>
        <w:spacing w:after="0"/>
        <w:contextualSpacing/>
        <w:rPr>
          <w:rFonts w:asciiTheme="majorBidi" w:hAnsiTheme="majorBidi" w:cstheme="majorBidi"/>
          <w:b/>
          <w:bCs/>
          <w:sz w:val="20"/>
          <w:szCs w:val="20"/>
          <w:lang w:bidi="fa-IR"/>
        </w:rPr>
      </w:pPr>
      <w:r w:rsidRPr="001477FA">
        <w:rPr>
          <w:rFonts w:asciiTheme="majorBidi" w:hAnsiTheme="majorBidi" w:cstheme="majorBidi"/>
          <w:b/>
          <w:bCs/>
          <w:sz w:val="20"/>
          <w:szCs w:val="20"/>
          <w:lang w:bidi="fa-IR"/>
        </w:rPr>
        <w:t>Table S2:</w:t>
      </w:r>
      <w:r w:rsidR="00C720C1">
        <w:rPr>
          <w:rFonts w:asciiTheme="majorBidi" w:hAnsiTheme="majorBidi" w:cstheme="majorBidi"/>
          <w:b/>
          <w:bCs/>
          <w:sz w:val="20"/>
          <w:szCs w:val="20"/>
          <w:lang w:bidi="fa-IR"/>
        </w:rPr>
        <w:t xml:space="preserve"> </w:t>
      </w:r>
      <w:r w:rsidR="00C720C1" w:rsidRPr="00C720C1">
        <w:rPr>
          <w:rFonts w:asciiTheme="majorBidi" w:hAnsiTheme="majorBidi" w:cstheme="majorBidi"/>
          <w:b/>
          <w:bCs/>
          <w:sz w:val="20"/>
          <w:szCs w:val="20"/>
          <w:lang w:bidi="fa-IR"/>
        </w:rPr>
        <w:t>The results of removal efficiency using BBM</w:t>
      </w:r>
    </w:p>
    <w:p w14:paraId="5F2E10F6" w14:textId="77777777" w:rsidR="00281CA5" w:rsidRPr="001477FA" w:rsidRDefault="00281CA5" w:rsidP="00281CA5">
      <w:pPr>
        <w:spacing w:after="0"/>
        <w:ind w:left="720"/>
        <w:rPr>
          <w:rFonts w:asciiTheme="majorBidi" w:hAnsiTheme="majorBidi" w:cstheme="majorBidi"/>
          <w:b/>
          <w:bCs/>
          <w:sz w:val="20"/>
          <w:szCs w:val="20"/>
          <w:lang w:bidi="fa-IR"/>
        </w:rPr>
      </w:pPr>
    </w:p>
    <w:p w14:paraId="054D9512" w14:textId="77777777" w:rsidR="00281CA5" w:rsidRPr="001477FA" w:rsidRDefault="00416841" w:rsidP="00C94A2F">
      <w:pPr>
        <w:numPr>
          <w:ilvl w:val="0"/>
          <w:numId w:val="2"/>
        </w:numPr>
        <w:contextualSpacing/>
        <w:rPr>
          <w:rFonts w:asciiTheme="majorBidi" w:hAnsiTheme="majorBidi" w:cstheme="majorBidi"/>
          <w:b/>
          <w:bCs/>
          <w:sz w:val="20"/>
          <w:szCs w:val="20"/>
          <w:lang w:bidi="fa-IR"/>
        </w:rPr>
      </w:pPr>
      <w:r w:rsidRPr="001477FA">
        <w:rPr>
          <w:rFonts w:asciiTheme="majorBidi" w:hAnsiTheme="majorBidi" w:cstheme="majorBidi"/>
          <w:b/>
          <w:bCs/>
          <w:sz w:val="20"/>
          <w:szCs w:val="20"/>
        </w:rPr>
        <w:t>Table S3:</w:t>
      </w:r>
      <w:r w:rsidR="00281CA5" w:rsidRPr="001477FA">
        <w:rPr>
          <w:rFonts w:asciiTheme="majorBidi" w:hAnsiTheme="majorBidi" w:cstheme="majorBidi"/>
          <w:b/>
          <w:bCs/>
          <w:sz w:val="20"/>
          <w:szCs w:val="20"/>
        </w:rPr>
        <w:t xml:space="preserve"> </w:t>
      </w:r>
      <w:r w:rsidR="00C94A2F" w:rsidRPr="00C94A2F">
        <w:rPr>
          <w:rFonts w:asciiTheme="majorBidi" w:hAnsiTheme="majorBidi" w:cstheme="majorBidi"/>
          <w:b/>
          <w:bCs/>
          <w:sz w:val="20"/>
          <w:szCs w:val="20"/>
        </w:rPr>
        <w:t>Standard deviation analysis (ANOVA) for the obtained data of removal efficiency</w:t>
      </w:r>
    </w:p>
    <w:p w14:paraId="0C5C9601" w14:textId="77777777" w:rsidR="00281CA5" w:rsidRPr="001477FA" w:rsidRDefault="00281CA5" w:rsidP="00281CA5">
      <w:pPr>
        <w:ind w:left="720"/>
        <w:contextualSpacing/>
        <w:rPr>
          <w:rFonts w:asciiTheme="majorBidi" w:hAnsiTheme="majorBidi" w:cstheme="majorBidi"/>
          <w:b/>
          <w:bCs/>
          <w:sz w:val="20"/>
          <w:szCs w:val="20"/>
          <w:lang w:bidi="fa-IR"/>
        </w:rPr>
      </w:pPr>
    </w:p>
    <w:p w14:paraId="56F35C42" w14:textId="77777777" w:rsidR="00281CA5" w:rsidRPr="00BA3BB9" w:rsidRDefault="00BA3BB9" w:rsidP="00BA3BB9">
      <w:pPr>
        <w:numPr>
          <w:ilvl w:val="0"/>
          <w:numId w:val="2"/>
        </w:numPr>
        <w:spacing w:after="0"/>
        <w:contextualSpacing/>
        <w:jc w:val="both"/>
        <w:rPr>
          <w:rFonts w:asciiTheme="majorBidi" w:hAnsiTheme="majorBidi" w:cstheme="majorBidi"/>
          <w:b/>
          <w:bCs/>
          <w:sz w:val="20"/>
          <w:szCs w:val="20"/>
          <w:lang w:bidi="fa-IR"/>
        </w:rPr>
      </w:pPr>
      <w:r>
        <w:rPr>
          <w:rFonts w:asciiTheme="majorBidi" w:hAnsiTheme="majorBidi" w:cstheme="majorBidi"/>
          <w:b/>
          <w:bCs/>
          <w:sz w:val="20"/>
          <w:szCs w:val="20"/>
          <w:lang w:bidi="fa-IR"/>
        </w:rPr>
        <w:t>Table</w:t>
      </w:r>
      <w:r w:rsidR="00416841" w:rsidRPr="001477FA">
        <w:rPr>
          <w:rFonts w:asciiTheme="majorBidi" w:hAnsiTheme="majorBidi" w:cstheme="majorBidi"/>
          <w:b/>
          <w:bCs/>
          <w:sz w:val="20"/>
          <w:szCs w:val="20"/>
          <w:lang w:bidi="fa-IR"/>
        </w:rPr>
        <w:t xml:space="preserve"> S</w:t>
      </w:r>
      <w:r>
        <w:rPr>
          <w:rFonts w:asciiTheme="majorBidi" w:hAnsiTheme="majorBidi" w:cstheme="majorBidi"/>
          <w:b/>
          <w:bCs/>
          <w:sz w:val="20"/>
          <w:szCs w:val="20"/>
          <w:lang w:bidi="fa-IR"/>
        </w:rPr>
        <w:t>4</w:t>
      </w:r>
      <w:r w:rsidR="00416841" w:rsidRPr="001477FA">
        <w:rPr>
          <w:rFonts w:asciiTheme="majorBidi" w:hAnsiTheme="majorBidi" w:cstheme="majorBidi"/>
          <w:b/>
          <w:bCs/>
          <w:sz w:val="20"/>
          <w:szCs w:val="20"/>
          <w:lang w:bidi="fa-IR"/>
        </w:rPr>
        <w:t>:</w:t>
      </w:r>
      <w:r w:rsidR="00281CA5" w:rsidRPr="001477FA">
        <w:rPr>
          <w:rFonts w:asciiTheme="majorBidi" w:hAnsiTheme="majorBidi" w:cstheme="majorBidi"/>
          <w:b/>
          <w:bCs/>
          <w:sz w:val="20"/>
          <w:szCs w:val="20"/>
          <w:lang w:bidi="fa-IR"/>
        </w:rPr>
        <w:t xml:space="preserve"> </w:t>
      </w:r>
      <w:r w:rsidRPr="00BA3BB9">
        <w:rPr>
          <w:rFonts w:asciiTheme="majorBidi" w:hAnsiTheme="majorBidi" w:cstheme="majorBidi"/>
          <w:b/>
          <w:bCs/>
          <w:sz w:val="20"/>
          <w:szCs w:val="20"/>
          <w:lang w:bidi="fa-IR"/>
        </w:rPr>
        <w:t xml:space="preserve">Obtained statistical </w:t>
      </w:r>
      <w:r>
        <w:rPr>
          <w:rFonts w:asciiTheme="majorBidi" w:hAnsiTheme="majorBidi" w:cstheme="majorBidi"/>
          <w:b/>
          <w:bCs/>
          <w:sz w:val="20"/>
          <w:szCs w:val="20"/>
          <w:lang w:bidi="fa-IR"/>
        </w:rPr>
        <w:t>data for the second-order model</w:t>
      </w:r>
    </w:p>
    <w:p w14:paraId="51273D25" w14:textId="77777777" w:rsidR="00281CA5" w:rsidRPr="001477FA" w:rsidRDefault="00281CA5" w:rsidP="00281CA5">
      <w:pPr>
        <w:spacing w:after="0"/>
        <w:ind w:left="1080"/>
        <w:contextualSpacing/>
        <w:jc w:val="both"/>
        <w:rPr>
          <w:rFonts w:asciiTheme="majorBidi" w:hAnsiTheme="majorBidi" w:cstheme="majorBidi"/>
          <w:b/>
          <w:bCs/>
        </w:rPr>
      </w:pPr>
    </w:p>
    <w:p w14:paraId="6961A73B" w14:textId="77777777" w:rsidR="00281CA5" w:rsidRDefault="00281CA5" w:rsidP="00BA3BB9">
      <w:pPr>
        <w:numPr>
          <w:ilvl w:val="0"/>
          <w:numId w:val="2"/>
        </w:numPr>
        <w:spacing w:after="0"/>
        <w:contextualSpacing/>
        <w:jc w:val="both"/>
        <w:rPr>
          <w:rFonts w:asciiTheme="majorBidi" w:hAnsiTheme="majorBidi" w:cstheme="majorBidi"/>
          <w:b/>
          <w:bCs/>
          <w:sz w:val="20"/>
          <w:szCs w:val="20"/>
        </w:rPr>
      </w:pPr>
      <w:r w:rsidRPr="001477FA">
        <w:rPr>
          <w:rFonts w:asciiTheme="majorBidi" w:hAnsiTheme="majorBidi" w:cstheme="majorBidi"/>
          <w:b/>
          <w:bCs/>
          <w:sz w:val="20"/>
          <w:szCs w:val="20"/>
        </w:rPr>
        <w:t>Figure S</w:t>
      </w:r>
      <w:r w:rsidR="00BA3BB9">
        <w:rPr>
          <w:rFonts w:asciiTheme="majorBidi" w:hAnsiTheme="majorBidi" w:cstheme="majorBidi"/>
          <w:b/>
          <w:bCs/>
          <w:sz w:val="20"/>
          <w:szCs w:val="20"/>
        </w:rPr>
        <w:t>1</w:t>
      </w:r>
      <w:r w:rsidR="00416841" w:rsidRPr="001477FA">
        <w:rPr>
          <w:rFonts w:asciiTheme="majorBidi" w:hAnsiTheme="majorBidi" w:cstheme="majorBidi"/>
          <w:b/>
          <w:bCs/>
          <w:sz w:val="20"/>
          <w:szCs w:val="20"/>
        </w:rPr>
        <w:t>:</w:t>
      </w:r>
      <w:r w:rsidRPr="001477FA">
        <w:rPr>
          <w:rFonts w:asciiTheme="majorBidi" w:hAnsiTheme="majorBidi" w:cstheme="majorBidi"/>
          <w:b/>
          <w:bCs/>
          <w:sz w:val="20"/>
          <w:szCs w:val="20"/>
        </w:rPr>
        <w:t xml:space="preserve"> </w:t>
      </w:r>
      <w:r w:rsidR="00BA3BB9" w:rsidRPr="00BA3BB9">
        <w:rPr>
          <w:rFonts w:asciiTheme="majorBidi" w:hAnsiTheme="majorBidi" w:cstheme="majorBidi"/>
          <w:b/>
          <w:bCs/>
          <w:sz w:val="20"/>
          <w:szCs w:val="20"/>
        </w:rPr>
        <w:t xml:space="preserve">The relationship between predicted removal efficiency from </w:t>
      </w:r>
      <w:r w:rsidR="00BA3BB9">
        <w:rPr>
          <w:rFonts w:asciiTheme="majorBidi" w:hAnsiTheme="majorBidi" w:cstheme="majorBidi"/>
          <w:b/>
          <w:bCs/>
          <w:sz w:val="20"/>
          <w:szCs w:val="20"/>
        </w:rPr>
        <w:t>statistical model and real data</w:t>
      </w:r>
    </w:p>
    <w:p w14:paraId="625966C3" w14:textId="77777777" w:rsidR="00A14FCF" w:rsidRDefault="00A14FCF" w:rsidP="00A14FCF">
      <w:pPr>
        <w:pStyle w:val="ListParagraph"/>
        <w:spacing w:after="0"/>
        <w:rPr>
          <w:rFonts w:asciiTheme="majorBidi" w:hAnsiTheme="majorBidi" w:cstheme="majorBidi"/>
          <w:b/>
          <w:bCs/>
          <w:sz w:val="20"/>
          <w:szCs w:val="20"/>
        </w:rPr>
      </w:pPr>
    </w:p>
    <w:p w14:paraId="1AC82900" w14:textId="77777777" w:rsidR="00A14FCF" w:rsidRPr="001477FA" w:rsidRDefault="00A14FCF" w:rsidP="00BA3BB9">
      <w:pPr>
        <w:numPr>
          <w:ilvl w:val="0"/>
          <w:numId w:val="2"/>
        </w:numPr>
        <w:spacing w:after="0"/>
        <w:contextualSpacing/>
        <w:jc w:val="both"/>
        <w:rPr>
          <w:rFonts w:asciiTheme="majorBidi" w:hAnsiTheme="majorBidi" w:cstheme="majorBidi"/>
          <w:b/>
          <w:bCs/>
          <w:sz w:val="20"/>
          <w:szCs w:val="20"/>
        </w:rPr>
      </w:pPr>
      <w:r>
        <w:rPr>
          <w:rFonts w:asciiTheme="majorBidi" w:hAnsiTheme="majorBidi" w:cstheme="majorBidi"/>
          <w:b/>
          <w:bCs/>
          <w:sz w:val="20"/>
          <w:szCs w:val="20"/>
        </w:rPr>
        <w:t>References</w:t>
      </w:r>
    </w:p>
    <w:p w14:paraId="0BD99688" w14:textId="77777777" w:rsidR="00281CA5" w:rsidRPr="001477FA" w:rsidRDefault="00281CA5" w:rsidP="00B21E47">
      <w:pPr>
        <w:spacing w:before="240"/>
        <w:jc w:val="both"/>
        <w:rPr>
          <w:rFonts w:asciiTheme="majorBidi" w:hAnsiTheme="majorBidi" w:cstheme="majorBidi"/>
          <w:b/>
          <w:bCs/>
          <w:sz w:val="24"/>
          <w:szCs w:val="24"/>
        </w:rPr>
      </w:pPr>
    </w:p>
    <w:p w14:paraId="3570955B" w14:textId="77777777" w:rsidR="00B21E47" w:rsidRDefault="00B21E47" w:rsidP="0056537E">
      <w:pPr>
        <w:spacing w:after="0"/>
        <w:jc w:val="both"/>
        <w:rPr>
          <w:rFonts w:asciiTheme="majorBidi" w:hAnsiTheme="majorBidi" w:cstheme="majorBidi"/>
          <w:b/>
          <w:bCs/>
          <w:sz w:val="24"/>
          <w:szCs w:val="24"/>
        </w:rPr>
      </w:pPr>
    </w:p>
    <w:p w14:paraId="3B1E9582" w14:textId="77777777" w:rsidR="00723AB8" w:rsidRPr="001477FA" w:rsidRDefault="00723AB8" w:rsidP="0056537E">
      <w:pPr>
        <w:spacing w:after="0"/>
        <w:jc w:val="both"/>
        <w:rPr>
          <w:rFonts w:asciiTheme="majorBidi" w:hAnsiTheme="majorBidi" w:cstheme="majorBidi"/>
          <w:b/>
          <w:bCs/>
          <w:sz w:val="24"/>
          <w:szCs w:val="24"/>
        </w:rPr>
      </w:pPr>
      <w:r w:rsidRPr="001477FA">
        <w:rPr>
          <w:rFonts w:asciiTheme="majorBidi" w:hAnsiTheme="majorBidi" w:cstheme="majorBidi"/>
          <w:b/>
          <w:bCs/>
          <w:sz w:val="24"/>
          <w:szCs w:val="24"/>
        </w:rPr>
        <w:t>Supporting information:</w:t>
      </w:r>
    </w:p>
    <w:p w14:paraId="1F5A60B7" w14:textId="77777777" w:rsidR="00281CA5" w:rsidRPr="001477FA" w:rsidRDefault="00281CA5" w:rsidP="0056537E">
      <w:pPr>
        <w:spacing w:after="0"/>
        <w:jc w:val="both"/>
        <w:rPr>
          <w:rFonts w:asciiTheme="majorBidi" w:hAnsiTheme="majorBidi" w:cstheme="majorBidi"/>
          <w:b/>
          <w:bCs/>
          <w:sz w:val="24"/>
          <w:szCs w:val="24"/>
        </w:rPr>
      </w:pPr>
    </w:p>
    <w:p w14:paraId="693D00B4" w14:textId="77777777" w:rsidR="00723AB8" w:rsidRPr="001477FA" w:rsidRDefault="00723AB8" w:rsidP="00723AB8">
      <w:pPr>
        <w:pStyle w:val="ListParagraph"/>
        <w:numPr>
          <w:ilvl w:val="0"/>
          <w:numId w:val="3"/>
        </w:numPr>
        <w:jc w:val="both"/>
        <w:rPr>
          <w:rFonts w:asciiTheme="majorBidi" w:hAnsiTheme="majorBidi" w:cstheme="majorBidi"/>
          <w:b/>
          <w:bCs/>
          <w:sz w:val="24"/>
          <w:szCs w:val="24"/>
        </w:rPr>
      </w:pPr>
      <w:r w:rsidRPr="001477FA">
        <w:rPr>
          <w:rFonts w:asciiTheme="majorBidi" w:hAnsiTheme="majorBidi" w:cstheme="majorBidi"/>
          <w:b/>
          <w:bCs/>
          <w:sz w:val="24"/>
          <w:szCs w:val="24"/>
        </w:rPr>
        <w:t>Screening experiments</w:t>
      </w:r>
    </w:p>
    <w:p w14:paraId="6450EA61" w14:textId="08983AA1" w:rsidR="00265B97" w:rsidRDefault="004A2E42" w:rsidP="00265B97">
      <w:pPr>
        <w:jc w:val="both"/>
        <w:rPr>
          <w:rFonts w:asciiTheme="majorBidi" w:hAnsiTheme="majorBidi" w:cstheme="majorBidi"/>
          <w:sz w:val="24"/>
          <w:szCs w:val="24"/>
        </w:rPr>
      </w:pPr>
      <w:r w:rsidRPr="004A2E42">
        <w:rPr>
          <w:rFonts w:asciiTheme="majorBidi" w:hAnsiTheme="majorBidi" w:cstheme="majorBidi"/>
          <w:sz w:val="24"/>
          <w:szCs w:val="24"/>
        </w:rPr>
        <w:t xml:space="preserve">Some of the parameters in the system under study have significant effects. Basic knowledge of the process system's factors is acquired by carrying out a series of preliminary tests. Meanwhile, those factors that need further study are identified. Screening designs are effective methods that include the least number of tests to determine the essential factors influencing the process. If the goal is to </w:t>
      </w:r>
      <w:r w:rsidRPr="004A2E42">
        <w:rPr>
          <w:rFonts w:asciiTheme="majorBidi" w:hAnsiTheme="majorBidi" w:cstheme="majorBidi"/>
          <w:sz w:val="24"/>
          <w:szCs w:val="24"/>
        </w:rPr>
        <w:lastRenderedPageBreak/>
        <w:t>use response surface methods, these designs are typically applied in the first step. After knowing the variables affecting the response, the next step is optimization. In other words, they are ascertaining where the substantial variables are placed and producing the best response. For instance, if efficiency is considered the response variable, the area with the highest efficiency needs to be determined</w:t>
      </w:r>
      <w:r w:rsidR="00981E3D">
        <w:rPr>
          <w:rFonts w:asciiTheme="majorBidi" w:hAnsiTheme="majorBidi" w:cstheme="majorBidi"/>
          <w:sz w:val="24"/>
          <w:szCs w:val="24"/>
        </w:rPr>
        <w:t xml:space="preserve"> </w:t>
      </w:r>
      <w:r w:rsidR="00981E3D">
        <w:rPr>
          <w:rFonts w:asciiTheme="majorBidi" w:hAnsiTheme="majorBidi" w:cstheme="majorBidi"/>
          <w:sz w:val="24"/>
          <w:szCs w:val="24"/>
        </w:rPr>
        <w:fldChar w:fldCharType="begin" w:fldLock="1"/>
      </w:r>
      <w:r w:rsidR="00C0404D">
        <w:rPr>
          <w:rFonts w:asciiTheme="majorBidi" w:hAnsiTheme="majorBidi" w:cstheme="majorBidi"/>
          <w:sz w:val="24"/>
          <w:szCs w:val="24"/>
        </w:rPr>
        <w:instrText>ADDIN CSL_CITATION {"citationItems":[{"id":"ITEM-1","itemData":{"DOI":"10.1002/cite.201800100","ISSN":"15222640","abstract":"Design of experiments (DoE) is a family of methods for performing experiments that are maximally informative for a chosen mathematical model. Statistical design of experiments focuses on empirical models that are sufficiently flexible as to describe a wide variety of systems, while having favorable mathematical properties for convenient estimation and optimization. This review describes approaches in statistical DoE for screening through many potential influencing factors and finding optimum process conditions.","author":[{"dropping-particle":"","family":"Lee","given":"Robert","non-dropping-particle":"","parse-names":false,"suffix":""}],"container-title":"Chemie-Ingenieur-Technik","id":"ITEM-1","issue":"3","issued":{"date-parts":[["2019"]]},"page":"191-200","title":"Statistical Design of Experiments for Screening and Optimization","type":"article-journal","volume":"91"},"uris":["http://www.mendeley.com/documents/?uuid=7135d0e2-0d5b-4bf4-8237-9687e8dfa92e"]}],"mendeley":{"formattedCitation":"(Lee 2019)","plainTextFormattedCitation":"(Lee 2019)","previouslyFormattedCitation":"[1]"},"properties":{"noteIndex":0},"schema":"https://github.com/citation-style-language/schema/raw/master/csl-citation.json"}</w:instrText>
      </w:r>
      <w:r w:rsidR="00981E3D">
        <w:rPr>
          <w:rFonts w:asciiTheme="majorBidi" w:hAnsiTheme="majorBidi" w:cstheme="majorBidi"/>
          <w:sz w:val="24"/>
          <w:szCs w:val="24"/>
        </w:rPr>
        <w:fldChar w:fldCharType="separate"/>
      </w:r>
      <w:r w:rsidR="00C0404D" w:rsidRPr="00C0404D">
        <w:rPr>
          <w:rFonts w:asciiTheme="majorBidi" w:hAnsiTheme="majorBidi" w:cstheme="majorBidi"/>
          <w:noProof/>
          <w:sz w:val="24"/>
          <w:szCs w:val="24"/>
        </w:rPr>
        <w:t>(Lee 2019)</w:t>
      </w:r>
      <w:r w:rsidR="00981E3D">
        <w:rPr>
          <w:rFonts w:asciiTheme="majorBidi" w:hAnsiTheme="majorBidi" w:cstheme="majorBidi"/>
          <w:sz w:val="24"/>
          <w:szCs w:val="24"/>
        </w:rPr>
        <w:fldChar w:fldCharType="end"/>
      </w:r>
      <w:r w:rsidR="00265B97" w:rsidRPr="0094164B">
        <w:rPr>
          <w:rFonts w:asciiTheme="majorBidi" w:hAnsiTheme="majorBidi" w:cstheme="majorBidi"/>
          <w:sz w:val="24"/>
          <w:szCs w:val="24"/>
        </w:rPr>
        <w:t>.</w:t>
      </w:r>
    </w:p>
    <w:p w14:paraId="0F3C8826" w14:textId="77777777" w:rsidR="00265B97" w:rsidRDefault="004A2E42" w:rsidP="004A2E42">
      <w:pPr>
        <w:spacing w:after="200" w:line="276" w:lineRule="auto"/>
        <w:jc w:val="both"/>
        <w:rPr>
          <w:rFonts w:ascii="Times New Roman" w:eastAsia="Calibri" w:hAnsi="Times New Roman" w:cs="Times New Roman"/>
          <w:sz w:val="24"/>
          <w:szCs w:val="24"/>
        </w:rPr>
      </w:pPr>
      <w:r w:rsidRPr="004A2E42">
        <w:rPr>
          <w:rFonts w:ascii="Times New Roman" w:eastAsia="Calibri" w:hAnsi="Times New Roman" w:cs="Times New Roman"/>
          <w:sz w:val="24"/>
          <w:szCs w:val="24"/>
        </w:rPr>
        <w:t>Initial experiments were done to study these values to specify the optimal ranges for each parameter. In order to find the proper range of pH for the final test, five experiments at pH 2,4,6,8, and 10, at the flow rate of 5 mL/min and with the initial concentration of 20 mg/L, were carried out. The results showed that a higher efficiency was obtained at the pH of 4 and 6, so the suitable pH values were at 4-6. With regard to the study on the initial concentration of the solution, five experiments were conducted with the initial concentrations of 20, 40, 60, 80, and 100 mg/L, at pH=6 and the flow rate of 5mL/min. Findings represented that the efficiency is higher in the initial concentrations from 20 to 60 mg/L. Then to investigate the effect of input flow rate on the adsorption rate, five experiments at the flow rates equal to 5, 10, 15, 20, and 25 mL/min at pH of 6 and the initial concentrat</w:t>
      </w:r>
      <w:r>
        <w:rPr>
          <w:rFonts w:ascii="Times New Roman" w:eastAsia="Calibri" w:hAnsi="Times New Roman" w:cs="Times New Roman"/>
          <w:sz w:val="24"/>
          <w:szCs w:val="24"/>
        </w:rPr>
        <w:t>ion of 20 mg/L were undertaken.</w:t>
      </w:r>
      <w:r w:rsidR="00265B97" w:rsidRPr="00265B97">
        <w:rPr>
          <w:rFonts w:ascii="Times New Roman" w:eastAsia="Calibri" w:hAnsi="Times New Roman" w:cs="Times New Roman"/>
          <w:sz w:val="24"/>
          <w:szCs w:val="24"/>
        </w:rPr>
        <w:t xml:space="preserve"> </w:t>
      </w:r>
      <w:r w:rsidRPr="004A2E42">
        <w:rPr>
          <w:rFonts w:ascii="Times New Roman" w:eastAsia="Calibri" w:hAnsi="Times New Roman" w:cs="Times New Roman"/>
          <w:sz w:val="24"/>
          <w:szCs w:val="24"/>
        </w:rPr>
        <w:t>The optimum figures were achieved at 5-15 mL/min</w:t>
      </w:r>
      <w:r>
        <w:rPr>
          <w:rFonts w:ascii="Times New Roman" w:eastAsia="Calibri" w:hAnsi="Times New Roman" w:cs="Times New Roman"/>
          <w:sz w:val="24"/>
          <w:szCs w:val="24"/>
        </w:rPr>
        <w:t>.</w:t>
      </w:r>
      <w:r w:rsidR="00265B97" w:rsidRPr="00265B97">
        <w:rPr>
          <w:rFonts w:ascii="Times New Roman" w:eastAsia="Calibri" w:hAnsi="Times New Roman" w:cs="Times New Roman"/>
          <w:sz w:val="24"/>
          <w:szCs w:val="24"/>
        </w:rPr>
        <w:t xml:space="preserve"> </w:t>
      </w:r>
    </w:p>
    <w:p w14:paraId="203FC56A" w14:textId="77777777" w:rsidR="0056537E" w:rsidRPr="0056537E" w:rsidRDefault="0056537E" w:rsidP="0056537E">
      <w:pPr>
        <w:spacing w:after="0" w:line="276" w:lineRule="auto"/>
        <w:jc w:val="both"/>
        <w:rPr>
          <w:rFonts w:ascii="Times New Roman" w:eastAsia="Calibri" w:hAnsi="Times New Roman" w:cs="Times New Roman"/>
          <w:sz w:val="24"/>
          <w:szCs w:val="24"/>
        </w:rPr>
      </w:pPr>
    </w:p>
    <w:p w14:paraId="49854268" w14:textId="77777777" w:rsidR="0074395B" w:rsidRPr="001477FA" w:rsidRDefault="0074395B" w:rsidP="00723AB8">
      <w:pPr>
        <w:pStyle w:val="ListParagraph"/>
        <w:numPr>
          <w:ilvl w:val="0"/>
          <w:numId w:val="3"/>
        </w:numPr>
        <w:jc w:val="both"/>
        <w:rPr>
          <w:rFonts w:asciiTheme="majorBidi" w:hAnsiTheme="majorBidi" w:cstheme="majorBidi"/>
          <w:b/>
          <w:bCs/>
          <w:sz w:val="24"/>
          <w:szCs w:val="24"/>
        </w:rPr>
      </w:pPr>
      <w:r w:rsidRPr="001477FA">
        <w:rPr>
          <w:rFonts w:asciiTheme="majorBidi" w:hAnsiTheme="majorBidi" w:cstheme="majorBidi"/>
          <w:b/>
          <w:bCs/>
          <w:sz w:val="24"/>
          <w:szCs w:val="24"/>
        </w:rPr>
        <w:t>Design of experiment</w:t>
      </w:r>
    </w:p>
    <w:p w14:paraId="185173E3" w14:textId="77777777" w:rsidR="0074395B" w:rsidRPr="001477FA" w:rsidRDefault="0074395B" w:rsidP="0081375F">
      <w:pPr>
        <w:jc w:val="both"/>
        <w:rPr>
          <w:rFonts w:asciiTheme="majorBidi" w:hAnsiTheme="majorBidi" w:cstheme="majorBidi"/>
          <w:sz w:val="24"/>
          <w:szCs w:val="24"/>
        </w:rPr>
      </w:pPr>
      <w:r w:rsidRPr="001477FA">
        <w:rPr>
          <w:rFonts w:asciiTheme="majorBidi" w:hAnsiTheme="majorBidi" w:cstheme="majorBidi"/>
          <w:sz w:val="24"/>
          <w:szCs w:val="24"/>
        </w:rPr>
        <w:t>In this study, surface respons</w:t>
      </w:r>
      <w:r w:rsidR="0081375F" w:rsidRPr="001477FA">
        <w:rPr>
          <w:rFonts w:asciiTheme="majorBidi" w:hAnsiTheme="majorBidi" w:cstheme="majorBidi"/>
          <w:sz w:val="24"/>
          <w:szCs w:val="24"/>
        </w:rPr>
        <w:t>e methodology (SRM) based on Box-Behnken Model (BBM)</w:t>
      </w:r>
      <w:r w:rsidRPr="001477FA">
        <w:rPr>
          <w:rFonts w:asciiTheme="majorBidi" w:hAnsiTheme="majorBidi" w:cstheme="majorBidi"/>
          <w:sz w:val="24"/>
          <w:szCs w:val="24"/>
        </w:rPr>
        <w:t xml:space="preserve"> was used in conjunction with Design Expert 11.0.3.0 to evaluate the impacts of independent factors on response performance [removal efficiency of Cr(VI) ions] and prediction of the optimum response model. Three independent parameters were selected and employed at three levels of -1, 0, and +1 with three components, including the pH of the solution, the starting concentration of Cr(VI) ions, and the flow rate. Table 1 shows the concentrations of each component used to remove Cr(VI) ions. For the experimental approach, 15 trials in the intended range with three center points were recommended to run in terms of variables and chosen levels.</w:t>
      </w:r>
    </w:p>
    <w:p w14:paraId="07D798B8" w14:textId="77777777" w:rsidR="00C935C6" w:rsidRPr="001477FA" w:rsidRDefault="00C935C6" w:rsidP="0056537E">
      <w:pPr>
        <w:spacing w:after="0"/>
        <w:jc w:val="both"/>
        <w:rPr>
          <w:rFonts w:asciiTheme="majorBidi" w:hAnsiTheme="majorBidi" w:cstheme="majorBidi"/>
          <w:sz w:val="24"/>
          <w:szCs w:val="24"/>
        </w:rPr>
      </w:pPr>
    </w:p>
    <w:p w14:paraId="750A88BB" w14:textId="77777777" w:rsidR="0074395B" w:rsidRPr="001477FA" w:rsidRDefault="0074395B" w:rsidP="0074395B">
      <w:pPr>
        <w:jc w:val="center"/>
        <w:rPr>
          <w:rFonts w:asciiTheme="majorBidi" w:hAnsiTheme="majorBidi" w:cstheme="majorBidi"/>
          <w:b/>
          <w:bCs/>
          <w:sz w:val="24"/>
          <w:szCs w:val="24"/>
        </w:rPr>
      </w:pPr>
      <w:r w:rsidRPr="001477FA">
        <w:rPr>
          <w:rFonts w:asciiTheme="majorBidi" w:hAnsiTheme="majorBidi" w:cstheme="majorBidi"/>
          <w:b/>
          <w:bCs/>
          <w:sz w:val="24"/>
          <w:szCs w:val="24"/>
        </w:rPr>
        <w:t xml:space="preserve">Table </w:t>
      </w:r>
      <w:r w:rsidR="005A70B5">
        <w:rPr>
          <w:rFonts w:asciiTheme="majorBidi" w:hAnsiTheme="majorBidi" w:cstheme="majorBidi"/>
          <w:b/>
          <w:bCs/>
          <w:sz w:val="24"/>
          <w:szCs w:val="24"/>
        </w:rPr>
        <w:t>S</w:t>
      </w:r>
      <w:r w:rsidRPr="001477FA">
        <w:rPr>
          <w:rFonts w:asciiTheme="majorBidi" w:hAnsiTheme="majorBidi" w:cstheme="majorBidi"/>
          <w:b/>
          <w:bCs/>
          <w:sz w:val="24"/>
          <w:szCs w:val="24"/>
        </w:rPr>
        <w:t xml:space="preserve">1. </w:t>
      </w:r>
      <w:r w:rsidRPr="001477FA">
        <w:rPr>
          <w:rFonts w:asciiTheme="majorBidi" w:hAnsiTheme="majorBidi" w:cstheme="majorBidi"/>
          <w:sz w:val="24"/>
          <w:szCs w:val="24"/>
        </w:rPr>
        <w:t>Independent parameters and their experimental levels for the removal of Cr(VI) ions.</w:t>
      </w:r>
    </w:p>
    <w:tbl>
      <w:tblPr>
        <w:tblW w:w="4974" w:type="pct"/>
        <w:tblLook w:val="04A0" w:firstRow="1" w:lastRow="0" w:firstColumn="1" w:lastColumn="0" w:noHBand="0" w:noVBand="1"/>
      </w:tblPr>
      <w:tblGrid>
        <w:gridCol w:w="2530"/>
        <w:gridCol w:w="1102"/>
        <w:gridCol w:w="1102"/>
        <w:gridCol w:w="1536"/>
        <w:gridCol w:w="1521"/>
        <w:gridCol w:w="1520"/>
      </w:tblGrid>
      <w:tr w:rsidR="0074395B" w:rsidRPr="001477FA" w14:paraId="05B0FF6E" w14:textId="77777777" w:rsidTr="0074395B">
        <w:trPr>
          <w:trHeight w:val="337"/>
        </w:trPr>
        <w:tc>
          <w:tcPr>
            <w:tcW w:w="1358" w:type="pct"/>
            <w:tcBorders>
              <w:top w:val="single" w:sz="12" w:space="0" w:color="auto"/>
              <w:left w:val="nil"/>
              <w:bottom w:val="single" w:sz="12" w:space="0" w:color="auto"/>
              <w:right w:val="nil"/>
            </w:tcBorders>
            <w:vAlign w:val="center"/>
          </w:tcPr>
          <w:p w14:paraId="302C6F7C" w14:textId="77777777" w:rsidR="0074395B" w:rsidRPr="001477FA" w:rsidRDefault="0074395B" w:rsidP="0074395B">
            <w:pPr>
              <w:jc w:val="center"/>
              <w:rPr>
                <w:rFonts w:asciiTheme="majorBidi" w:hAnsiTheme="majorBidi" w:cstheme="majorBidi"/>
                <w:b/>
                <w:bCs/>
                <w:sz w:val="24"/>
                <w:szCs w:val="24"/>
              </w:rPr>
            </w:pPr>
            <w:r w:rsidRPr="001477FA">
              <w:rPr>
                <w:rFonts w:asciiTheme="majorBidi" w:hAnsiTheme="majorBidi" w:cstheme="majorBidi"/>
                <w:b/>
                <w:bCs/>
                <w:sz w:val="24"/>
                <w:szCs w:val="24"/>
              </w:rPr>
              <w:t>Variable</w:t>
            </w:r>
          </w:p>
        </w:tc>
        <w:tc>
          <w:tcPr>
            <w:tcW w:w="592" w:type="pct"/>
            <w:tcBorders>
              <w:top w:val="single" w:sz="12" w:space="0" w:color="auto"/>
              <w:left w:val="nil"/>
              <w:bottom w:val="single" w:sz="12" w:space="0" w:color="auto"/>
              <w:right w:val="nil"/>
            </w:tcBorders>
            <w:vAlign w:val="center"/>
          </w:tcPr>
          <w:p w14:paraId="33BDC423" w14:textId="77777777" w:rsidR="0074395B" w:rsidRPr="001477FA" w:rsidRDefault="0074395B" w:rsidP="0074395B">
            <w:pPr>
              <w:jc w:val="center"/>
              <w:rPr>
                <w:rFonts w:asciiTheme="majorBidi" w:hAnsiTheme="majorBidi" w:cstheme="majorBidi"/>
                <w:b/>
                <w:bCs/>
                <w:sz w:val="24"/>
                <w:szCs w:val="24"/>
              </w:rPr>
            </w:pPr>
            <w:r w:rsidRPr="001477FA">
              <w:rPr>
                <w:rFonts w:asciiTheme="majorBidi" w:hAnsiTheme="majorBidi" w:cstheme="majorBidi"/>
                <w:b/>
                <w:bCs/>
                <w:sz w:val="24"/>
                <w:szCs w:val="24"/>
              </w:rPr>
              <w:t>Unit</w:t>
            </w:r>
          </w:p>
        </w:tc>
        <w:tc>
          <w:tcPr>
            <w:tcW w:w="592" w:type="pct"/>
            <w:tcBorders>
              <w:top w:val="single" w:sz="12" w:space="0" w:color="auto"/>
              <w:left w:val="nil"/>
              <w:bottom w:val="single" w:sz="12" w:space="0" w:color="auto"/>
              <w:right w:val="nil"/>
            </w:tcBorders>
            <w:vAlign w:val="center"/>
          </w:tcPr>
          <w:p w14:paraId="121A2F43" w14:textId="77777777" w:rsidR="0074395B" w:rsidRPr="001477FA" w:rsidRDefault="0074395B" w:rsidP="0074395B">
            <w:pPr>
              <w:jc w:val="center"/>
              <w:rPr>
                <w:rFonts w:asciiTheme="majorBidi" w:hAnsiTheme="majorBidi" w:cstheme="majorBidi"/>
                <w:b/>
                <w:bCs/>
                <w:sz w:val="24"/>
                <w:szCs w:val="24"/>
              </w:rPr>
            </w:pPr>
            <w:r w:rsidRPr="001477FA">
              <w:rPr>
                <w:rFonts w:asciiTheme="majorBidi" w:hAnsiTheme="majorBidi" w:cstheme="majorBidi"/>
                <w:b/>
                <w:bCs/>
                <w:sz w:val="24"/>
                <w:szCs w:val="24"/>
              </w:rPr>
              <w:t>Factors</w:t>
            </w:r>
          </w:p>
        </w:tc>
        <w:tc>
          <w:tcPr>
            <w:tcW w:w="825" w:type="pct"/>
            <w:tcBorders>
              <w:top w:val="single" w:sz="12" w:space="0" w:color="auto"/>
              <w:left w:val="nil"/>
              <w:bottom w:val="single" w:sz="12" w:space="0" w:color="auto"/>
              <w:right w:val="nil"/>
            </w:tcBorders>
            <w:vAlign w:val="center"/>
          </w:tcPr>
          <w:p w14:paraId="1193C7D4" w14:textId="77777777" w:rsidR="0074395B" w:rsidRPr="001477FA" w:rsidRDefault="0074395B" w:rsidP="0074395B">
            <w:pPr>
              <w:jc w:val="center"/>
              <w:rPr>
                <w:rFonts w:asciiTheme="majorBidi" w:hAnsiTheme="majorBidi" w:cstheme="majorBidi"/>
                <w:b/>
                <w:bCs/>
                <w:sz w:val="24"/>
                <w:szCs w:val="24"/>
              </w:rPr>
            </w:pPr>
          </w:p>
        </w:tc>
        <w:tc>
          <w:tcPr>
            <w:tcW w:w="817" w:type="pct"/>
            <w:tcBorders>
              <w:top w:val="single" w:sz="12" w:space="0" w:color="auto"/>
              <w:left w:val="nil"/>
              <w:bottom w:val="single" w:sz="12" w:space="0" w:color="auto"/>
              <w:right w:val="nil"/>
            </w:tcBorders>
            <w:vAlign w:val="center"/>
          </w:tcPr>
          <w:p w14:paraId="6D65C31D" w14:textId="77777777" w:rsidR="0074395B" w:rsidRPr="001477FA" w:rsidRDefault="0074395B" w:rsidP="0074395B">
            <w:pPr>
              <w:jc w:val="center"/>
              <w:rPr>
                <w:rFonts w:asciiTheme="majorBidi" w:hAnsiTheme="majorBidi" w:cstheme="majorBidi"/>
                <w:b/>
                <w:bCs/>
                <w:sz w:val="24"/>
                <w:szCs w:val="24"/>
              </w:rPr>
            </w:pPr>
            <w:r w:rsidRPr="001477FA">
              <w:rPr>
                <w:rFonts w:asciiTheme="majorBidi" w:hAnsiTheme="majorBidi" w:cstheme="majorBidi"/>
                <w:b/>
                <w:bCs/>
                <w:sz w:val="24"/>
                <w:szCs w:val="24"/>
              </w:rPr>
              <w:t>Level</w:t>
            </w:r>
          </w:p>
        </w:tc>
        <w:tc>
          <w:tcPr>
            <w:tcW w:w="816" w:type="pct"/>
            <w:tcBorders>
              <w:top w:val="single" w:sz="12" w:space="0" w:color="auto"/>
              <w:left w:val="nil"/>
              <w:bottom w:val="single" w:sz="12" w:space="0" w:color="auto"/>
              <w:right w:val="nil"/>
            </w:tcBorders>
            <w:vAlign w:val="center"/>
          </w:tcPr>
          <w:p w14:paraId="73FB2B17" w14:textId="77777777" w:rsidR="0074395B" w:rsidRPr="001477FA" w:rsidRDefault="0074395B" w:rsidP="0074395B">
            <w:pPr>
              <w:jc w:val="center"/>
              <w:rPr>
                <w:rFonts w:asciiTheme="majorBidi" w:hAnsiTheme="majorBidi" w:cstheme="majorBidi"/>
                <w:b/>
                <w:bCs/>
                <w:sz w:val="24"/>
                <w:szCs w:val="24"/>
              </w:rPr>
            </w:pPr>
          </w:p>
        </w:tc>
      </w:tr>
      <w:tr w:rsidR="0074395B" w:rsidRPr="001477FA" w14:paraId="2AA507E7" w14:textId="77777777" w:rsidTr="0074395B">
        <w:trPr>
          <w:trHeight w:val="337"/>
        </w:trPr>
        <w:tc>
          <w:tcPr>
            <w:tcW w:w="1358" w:type="pct"/>
            <w:tcBorders>
              <w:top w:val="single" w:sz="12" w:space="0" w:color="auto"/>
              <w:left w:val="nil"/>
              <w:bottom w:val="nil"/>
              <w:right w:val="nil"/>
            </w:tcBorders>
            <w:vAlign w:val="center"/>
          </w:tcPr>
          <w:p w14:paraId="7243CBFD" w14:textId="77777777" w:rsidR="0074395B" w:rsidRPr="001477FA" w:rsidRDefault="0074395B" w:rsidP="0074395B">
            <w:pPr>
              <w:jc w:val="center"/>
              <w:rPr>
                <w:rFonts w:asciiTheme="majorBidi" w:hAnsiTheme="majorBidi" w:cstheme="majorBidi"/>
                <w:sz w:val="24"/>
                <w:szCs w:val="24"/>
              </w:rPr>
            </w:pPr>
          </w:p>
        </w:tc>
        <w:tc>
          <w:tcPr>
            <w:tcW w:w="592" w:type="pct"/>
            <w:tcBorders>
              <w:top w:val="single" w:sz="12" w:space="0" w:color="auto"/>
              <w:left w:val="nil"/>
              <w:bottom w:val="nil"/>
              <w:right w:val="nil"/>
            </w:tcBorders>
            <w:vAlign w:val="center"/>
          </w:tcPr>
          <w:p w14:paraId="2DF5AF7C" w14:textId="77777777" w:rsidR="0074395B" w:rsidRPr="001477FA" w:rsidRDefault="0074395B" w:rsidP="0074395B">
            <w:pPr>
              <w:jc w:val="center"/>
              <w:rPr>
                <w:rFonts w:asciiTheme="majorBidi" w:hAnsiTheme="majorBidi" w:cstheme="majorBidi"/>
                <w:sz w:val="24"/>
                <w:szCs w:val="24"/>
              </w:rPr>
            </w:pPr>
          </w:p>
        </w:tc>
        <w:tc>
          <w:tcPr>
            <w:tcW w:w="592" w:type="pct"/>
            <w:tcBorders>
              <w:top w:val="single" w:sz="12" w:space="0" w:color="auto"/>
              <w:left w:val="nil"/>
              <w:bottom w:val="nil"/>
              <w:right w:val="nil"/>
            </w:tcBorders>
            <w:vAlign w:val="center"/>
          </w:tcPr>
          <w:p w14:paraId="4559E437" w14:textId="77777777" w:rsidR="0074395B" w:rsidRPr="001477FA" w:rsidRDefault="0074395B" w:rsidP="0074395B">
            <w:pPr>
              <w:jc w:val="center"/>
              <w:rPr>
                <w:rFonts w:asciiTheme="majorBidi" w:hAnsiTheme="majorBidi" w:cstheme="majorBidi"/>
                <w:sz w:val="24"/>
                <w:szCs w:val="24"/>
              </w:rPr>
            </w:pPr>
          </w:p>
        </w:tc>
        <w:tc>
          <w:tcPr>
            <w:tcW w:w="825" w:type="pct"/>
            <w:tcBorders>
              <w:top w:val="single" w:sz="12" w:space="0" w:color="auto"/>
              <w:left w:val="nil"/>
              <w:bottom w:val="single" w:sz="2" w:space="0" w:color="auto"/>
              <w:right w:val="nil"/>
            </w:tcBorders>
            <w:vAlign w:val="center"/>
          </w:tcPr>
          <w:p w14:paraId="2494E65A"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Low (-1)</w:t>
            </w:r>
          </w:p>
        </w:tc>
        <w:tc>
          <w:tcPr>
            <w:tcW w:w="817" w:type="pct"/>
            <w:tcBorders>
              <w:top w:val="single" w:sz="12" w:space="0" w:color="auto"/>
              <w:left w:val="nil"/>
              <w:bottom w:val="single" w:sz="2" w:space="0" w:color="auto"/>
              <w:right w:val="nil"/>
            </w:tcBorders>
            <w:vAlign w:val="center"/>
          </w:tcPr>
          <w:p w14:paraId="7F55D266"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Middle (0)</w:t>
            </w:r>
          </w:p>
        </w:tc>
        <w:tc>
          <w:tcPr>
            <w:tcW w:w="816" w:type="pct"/>
            <w:tcBorders>
              <w:top w:val="single" w:sz="12" w:space="0" w:color="auto"/>
              <w:left w:val="nil"/>
              <w:bottom w:val="single" w:sz="2" w:space="0" w:color="auto"/>
              <w:right w:val="nil"/>
            </w:tcBorders>
            <w:vAlign w:val="center"/>
          </w:tcPr>
          <w:p w14:paraId="1A758CBE"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High (+1)</w:t>
            </w:r>
          </w:p>
        </w:tc>
      </w:tr>
      <w:tr w:rsidR="0074395B" w:rsidRPr="001477FA" w14:paraId="3056A49B" w14:textId="77777777" w:rsidTr="00B21E47">
        <w:trPr>
          <w:trHeight w:val="374"/>
        </w:trPr>
        <w:tc>
          <w:tcPr>
            <w:tcW w:w="1358" w:type="pct"/>
            <w:vAlign w:val="center"/>
          </w:tcPr>
          <w:p w14:paraId="182CE936"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pH</w:t>
            </w:r>
          </w:p>
        </w:tc>
        <w:tc>
          <w:tcPr>
            <w:tcW w:w="592" w:type="pct"/>
            <w:vAlign w:val="center"/>
          </w:tcPr>
          <w:p w14:paraId="0DFB6A40"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w:t>
            </w:r>
          </w:p>
        </w:tc>
        <w:tc>
          <w:tcPr>
            <w:tcW w:w="592" w:type="pct"/>
            <w:vAlign w:val="center"/>
          </w:tcPr>
          <w:p w14:paraId="0127E47B"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A</w:t>
            </w:r>
          </w:p>
        </w:tc>
        <w:tc>
          <w:tcPr>
            <w:tcW w:w="825" w:type="pct"/>
            <w:tcBorders>
              <w:top w:val="single" w:sz="2" w:space="0" w:color="auto"/>
              <w:left w:val="nil"/>
              <w:bottom w:val="nil"/>
              <w:right w:val="nil"/>
            </w:tcBorders>
            <w:vAlign w:val="center"/>
          </w:tcPr>
          <w:p w14:paraId="7275043E"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4</w:t>
            </w:r>
          </w:p>
        </w:tc>
        <w:tc>
          <w:tcPr>
            <w:tcW w:w="817" w:type="pct"/>
            <w:tcBorders>
              <w:top w:val="single" w:sz="2" w:space="0" w:color="auto"/>
              <w:left w:val="nil"/>
              <w:bottom w:val="nil"/>
              <w:right w:val="nil"/>
            </w:tcBorders>
            <w:vAlign w:val="center"/>
          </w:tcPr>
          <w:p w14:paraId="0E30BC42"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5</w:t>
            </w:r>
          </w:p>
        </w:tc>
        <w:tc>
          <w:tcPr>
            <w:tcW w:w="816" w:type="pct"/>
            <w:tcBorders>
              <w:top w:val="single" w:sz="2" w:space="0" w:color="auto"/>
              <w:left w:val="nil"/>
              <w:bottom w:val="nil"/>
              <w:right w:val="nil"/>
            </w:tcBorders>
            <w:vAlign w:val="center"/>
          </w:tcPr>
          <w:p w14:paraId="7EB2E70C"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6</w:t>
            </w:r>
          </w:p>
        </w:tc>
      </w:tr>
      <w:tr w:rsidR="0074395B" w:rsidRPr="001477FA" w14:paraId="335E46FC" w14:textId="77777777" w:rsidTr="00B21E47">
        <w:trPr>
          <w:trHeight w:val="343"/>
        </w:trPr>
        <w:tc>
          <w:tcPr>
            <w:tcW w:w="1358" w:type="pct"/>
            <w:vAlign w:val="center"/>
          </w:tcPr>
          <w:p w14:paraId="06F5A1DC"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Initial concentration</w:t>
            </w:r>
          </w:p>
        </w:tc>
        <w:tc>
          <w:tcPr>
            <w:tcW w:w="592" w:type="pct"/>
            <w:vAlign w:val="center"/>
          </w:tcPr>
          <w:p w14:paraId="184F1658"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mg/L</w:t>
            </w:r>
          </w:p>
        </w:tc>
        <w:tc>
          <w:tcPr>
            <w:tcW w:w="592" w:type="pct"/>
            <w:vAlign w:val="center"/>
          </w:tcPr>
          <w:p w14:paraId="2D18E1E5"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B</w:t>
            </w:r>
          </w:p>
        </w:tc>
        <w:tc>
          <w:tcPr>
            <w:tcW w:w="825" w:type="pct"/>
            <w:vAlign w:val="center"/>
          </w:tcPr>
          <w:p w14:paraId="2E9EE350"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20</w:t>
            </w:r>
          </w:p>
        </w:tc>
        <w:tc>
          <w:tcPr>
            <w:tcW w:w="817" w:type="pct"/>
            <w:vAlign w:val="center"/>
          </w:tcPr>
          <w:p w14:paraId="208334BA"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40</w:t>
            </w:r>
          </w:p>
        </w:tc>
        <w:tc>
          <w:tcPr>
            <w:tcW w:w="816" w:type="pct"/>
            <w:vAlign w:val="center"/>
          </w:tcPr>
          <w:p w14:paraId="648A940B"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60</w:t>
            </w:r>
          </w:p>
        </w:tc>
      </w:tr>
      <w:tr w:rsidR="0074395B" w:rsidRPr="001477FA" w14:paraId="177390A0" w14:textId="77777777" w:rsidTr="00B21E47">
        <w:trPr>
          <w:trHeight w:val="307"/>
        </w:trPr>
        <w:tc>
          <w:tcPr>
            <w:tcW w:w="1358" w:type="pct"/>
            <w:tcBorders>
              <w:top w:val="nil"/>
              <w:left w:val="nil"/>
              <w:bottom w:val="single" w:sz="12" w:space="0" w:color="auto"/>
              <w:right w:val="nil"/>
            </w:tcBorders>
            <w:vAlign w:val="center"/>
          </w:tcPr>
          <w:p w14:paraId="42D5F4FC"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Flow rate</w:t>
            </w:r>
          </w:p>
        </w:tc>
        <w:tc>
          <w:tcPr>
            <w:tcW w:w="592" w:type="pct"/>
            <w:tcBorders>
              <w:top w:val="nil"/>
              <w:left w:val="nil"/>
              <w:bottom w:val="single" w:sz="12" w:space="0" w:color="auto"/>
              <w:right w:val="nil"/>
            </w:tcBorders>
            <w:vAlign w:val="center"/>
          </w:tcPr>
          <w:p w14:paraId="25242D4F" w14:textId="77777777" w:rsidR="0074395B" w:rsidRPr="001477FA" w:rsidRDefault="0074395B" w:rsidP="00B21E47">
            <w:pPr>
              <w:jc w:val="center"/>
              <w:rPr>
                <w:rFonts w:asciiTheme="majorBidi" w:hAnsiTheme="majorBidi" w:cstheme="majorBidi"/>
                <w:sz w:val="24"/>
                <w:szCs w:val="24"/>
              </w:rPr>
            </w:pPr>
            <w:r w:rsidRPr="001477FA">
              <w:rPr>
                <w:rFonts w:asciiTheme="majorBidi" w:hAnsiTheme="majorBidi" w:cstheme="majorBidi"/>
                <w:sz w:val="24"/>
                <w:szCs w:val="24"/>
              </w:rPr>
              <w:t>mL/min</w:t>
            </w:r>
          </w:p>
        </w:tc>
        <w:tc>
          <w:tcPr>
            <w:tcW w:w="592" w:type="pct"/>
            <w:tcBorders>
              <w:top w:val="nil"/>
              <w:left w:val="nil"/>
              <w:bottom w:val="single" w:sz="12" w:space="0" w:color="auto"/>
              <w:right w:val="nil"/>
            </w:tcBorders>
            <w:vAlign w:val="center"/>
          </w:tcPr>
          <w:p w14:paraId="77EAE74B"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C</w:t>
            </w:r>
          </w:p>
        </w:tc>
        <w:tc>
          <w:tcPr>
            <w:tcW w:w="825" w:type="pct"/>
            <w:tcBorders>
              <w:top w:val="nil"/>
              <w:left w:val="nil"/>
              <w:bottom w:val="single" w:sz="12" w:space="0" w:color="auto"/>
              <w:right w:val="nil"/>
            </w:tcBorders>
            <w:vAlign w:val="center"/>
          </w:tcPr>
          <w:p w14:paraId="09B81FE9"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5</w:t>
            </w:r>
          </w:p>
        </w:tc>
        <w:tc>
          <w:tcPr>
            <w:tcW w:w="817" w:type="pct"/>
            <w:tcBorders>
              <w:top w:val="nil"/>
              <w:left w:val="nil"/>
              <w:bottom w:val="single" w:sz="12" w:space="0" w:color="auto"/>
              <w:right w:val="nil"/>
            </w:tcBorders>
            <w:vAlign w:val="center"/>
          </w:tcPr>
          <w:p w14:paraId="77ACE444"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10</w:t>
            </w:r>
          </w:p>
        </w:tc>
        <w:tc>
          <w:tcPr>
            <w:tcW w:w="816" w:type="pct"/>
            <w:tcBorders>
              <w:top w:val="nil"/>
              <w:left w:val="nil"/>
              <w:bottom w:val="single" w:sz="12" w:space="0" w:color="auto"/>
              <w:right w:val="nil"/>
            </w:tcBorders>
            <w:vAlign w:val="center"/>
          </w:tcPr>
          <w:p w14:paraId="3EBDEE81" w14:textId="77777777" w:rsidR="0074395B" w:rsidRPr="001477FA" w:rsidRDefault="0074395B" w:rsidP="0074395B">
            <w:pPr>
              <w:jc w:val="center"/>
              <w:rPr>
                <w:rFonts w:asciiTheme="majorBidi" w:hAnsiTheme="majorBidi" w:cstheme="majorBidi"/>
                <w:sz w:val="24"/>
                <w:szCs w:val="24"/>
              </w:rPr>
            </w:pPr>
            <w:r w:rsidRPr="001477FA">
              <w:rPr>
                <w:rFonts w:asciiTheme="majorBidi" w:hAnsiTheme="majorBidi" w:cstheme="majorBidi"/>
                <w:sz w:val="24"/>
                <w:szCs w:val="24"/>
              </w:rPr>
              <w:t>15</w:t>
            </w:r>
          </w:p>
        </w:tc>
      </w:tr>
    </w:tbl>
    <w:p w14:paraId="478001B9" w14:textId="77777777" w:rsidR="0074395B" w:rsidRPr="001477FA" w:rsidRDefault="0074395B">
      <w:pPr>
        <w:rPr>
          <w:rFonts w:asciiTheme="majorBidi" w:hAnsiTheme="majorBidi" w:cstheme="majorBidi"/>
          <w:sz w:val="24"/>
          <w:szCs w:val="24"/>
        </w:rPr>
      </w:pPr>
    </w:p>
    <w:p w14:paraId="14CEE782" w14:textId="77777777" w:rsidR="00B21E47" w:rsidRDefault="00B21E47" w:rsidP="00265B97">
      <w:pPr>
        <w:jc w:val="both"/>
        <w:rPr>
          <w:rFonts w:asciiTheme="majorBidi" w:hAnsiTheme="majorBidi" w:cstheme="majorBidi"/>
          <w:sz w:val="24"/>
          <w:szCs w:val="24"/>
        </w:rPr>
      </w:pPr>
    </w:p>
    <w:p w14:paraId="60941CC6" w14:textId="77777777" w:rsidR="00C22AFC" w:rsidRDefault="00DF12F6" w:rsidP="00265B97">
      <w:pPr>
        <w:jc w:val="both"/>
        <w:rPr>
          <w:rFonts w:asciiTheme="majorBidi" w:hAnsiTheme="majorBidi" w:cstheme="majorBidi"/>
          <w:sz w:val="24"/>
          <w:szCs w:val="24"/>
        </w:rPr>
      </w:pPr>
      <w:r w:rsidRPr="001477FA">
        <w:rPr>
          <w:rFonts w:asciiTheme="majorBidi" w:hAnsiTheme="majorBidi" w:cstheme="majorBidi"/>
          <w:sz w:val="24"/>
          <w:szCs w:val="24"/>
        </w:rPr>
        <w:lastRenderedPageBreak/>
        <w:t>After identifying the required range for each parameter, BBM was used to construct and evaluate the prediction and influence of each parameter on removal efficiency. The elimination efficiency in each experimental condition was determined by recording the beginning and end concentrations of Cr(VI) ions (Table 2).</w:t>
      </w:r>
    </w:p>
    <w:p w14:paraId="2D20BAC3" w14:textId="77777777" w:rsidR="00265B97" w:rsidRPr="001477FA" w:rsidRDefault="00265B97" w:rsidP="003E7A1C">
      <w:pPr>
        <w:spacing w:after="0"/>
        <w:jc w:val="both"/>
        <w:rPr>
          <w:rFonts w:asciiTheme="majorBidi" w:hAnsiTheme="majorBidi" w:cstheme="majorBidi"/>
          <w:sz w:val="24"/>
          <w:szCs w:val="24"/>
        </w:rPr>
      </w:pPr>
    </w:p>
    <w:p w14:paraId="5BA994B8"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b/>
          <w:bCs/>
          <w:sz w:val="24"/>
          <w:szCs w:val="24"/>
        </w:rPr>
        <w:t xml:space="preserve">Table </w:t>
      </w:r>
      <w:r w:rsidR="005A70B5">
        <w:rPr>
          <w:rFonts w:asciiTheme="majorBidi" w:hAnsiTheme="majorBidi" w:cstheme="majorBidi"/>
          <w:b/>
          <w:bCs/>
          <w:sz w:val="24"/>
          <w:szCs w:val="24"/>
        </w:rPr>
        <w:t>S</w:t>
      </w:r>
      <w:r w:rsidRPr="001477FA">
        <w:rPr>
          <w:rFonts w:asciiTheme="majorBidi" w:hAnsiTheme="majorBidi" w:cstheme="majorBidi"/>
          <w:b/>
          <w:bCs/>
          <w:sz w:val="24"/>
          <w:szCs w:val="24"/>
        </w:rPr>
        <w:t xml:space="preserve">2. </w:t>
      </w:r>
      <w:r w:rsidRPr="001477FA">
        <w:rPr>
          <w:rFonts w:asciiTheme="majorBidi" w:hAnsiTheme="majorBidi" w:cstheme="majorBidi"/>
          <w:sz w:val="24"/>
          <w:szCs w:val="24"/>
        </w:rPr>
        <w:t>The results of removal efficiency using BBM</w:t>
      </w:r>
    </w:p>
    <w:tbl>
      <w:tblPr>
        <w:tblW w:w="5000" w:type="pct"/>
        <w:jc w:val="center"/>
        <w:tblLook w:val="04A0" w:firstRow="1" w:lastRow="0" w:firstColumn="1" w:lastColumn="0" w:noHBand="0" w:noVBand="1"/>
      </w:tblPr>
      <w:tblGrid>
        <w:gridCol w:w="1251"/>
        <w:gridCol w:w="1406"/>
        <w:gridCol w:w="2385"/>
        <w:gridCol w:w="1664"/>
        <w:gridCol w:w="2654"/>
      </w:tblGrid>
      <w:tr w:rsidR="00DF12F6" w:rsidRPr="001477FA" w14:paraId="43539C6A" w14:textId="77777777" w:rsidTr="00DF12F6">
        <w:trPr>
          <w:trHeight w:val="38"/>
          <w:jc w:val="center"/>
        </w:trPr>
        <w:tc>
          <w:tcPr>
            <w:tcW w:w="668" w:type="pct"/>
            <w:tcBorders>
              <w:top w:val="single" w:sz="12" w:space="0" w:color="auto"/>
              <w:left w:val="nil"/>
              <w:bottom w:val="nil"/>
              <w:right w:val="nil"/>
            </w:tcBorders>
            <w:vAlign w:val="center"/>
          </w:tcPr>
          <w:p w14:paraId="13BB346F"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Run no.</w:t>
            </w:r>
          </w:p>
        </w:tc>
        <w:tc>
          <w:tcPr>
            <w:tcW w:w="751" w:type="pct"/>
            <w:tcBorders>
              <w:top w:val="single" w:sz="12" w:space="0" w:color="auto"/>
              <w:left w:val="nil"/>
              <w:bottom w:val="single" w:sz="4" w:space="0" w:color="auto"/>
              <w:right w:val="nil"/>
            </w:tcBorders>
            <w:vAlign w:val="center"/>
          </w:tcPr>
          <w:p w14:paraId="0FD734C8"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Factor A</w:t>
            </w:r>
          </w:p>
        </w:tc>
        <w:tc>
          <w:tcPr>
            <w:tcW w:w="1274" w:type="pct"/>
            <w:tcBorders>
              <w:top w:val="single" w:sz="12" w:space="0" w:color="auto"/>
              <w:left w:val="nil"/>
              <w:bottom w:val="single" w:sz="4" w:space="0" w:color="auto"/>
              <w:right w:val="nil"/>
            </w:tcBorders>
            <w:vAlign w:val="center"/>
          </w:tcPr>
          <w:p w14:paraId="4E10A7CF"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Factor B</w:t>
            </w:r>
          </w:p>
        </w:tc>
        <w:tc>
          <w:tcPr>
            <w:tcW w:w="889" w:type="pct"/>
            <w:tcBorders>
              <w:top w:val="single" w:sz="12" w:space="0" w:color="auto"/>
              <w:left w:val="nil"/>
              <w:bottom w:val="single" w:sz="4" w:space="0" w:color="auto"/>
              <w:right w:val="nil"/>
            </w:tcBorders>
            <w:vAlign w:val="center"/>
          </w:tcPr>
          <w:p w14:paraId="70029127"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Factor C</w:t>
            </w:r>
          </w:p>
        </w:tc>
        <w:tc>
          <w:tcPr>
            <w:tcW w:w="1419" w:type="pct"/>
            <w:tcBorders>
              <w:top w:val="single" w:sz="12" w:space="0" w:color="auto"/>
              <w:left w:val="nil"/>
              <w:bottom w:val="single" w:sz="4" w:space="0" w:color="auto"/>
              <w:right w:val="nil"/>
            </w:tcBorders>
            <w:vAlign w:val="center"/>
          </w:tcPr>
          <w:p w14:paraId="2D878705"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Response Y</w:t>
            </w:r>
          </w:p>
        </w:tc>
      </w:tr>
      <w:tr w:rsidR="00DF12F6" w:rsidRPr="001477FA" w14:paraId="40705BDD" w14:textId="77777777" w:rsidTr="00DF12F6">
        <w:trPr>
          <w:trHeight w:val="58"/>
          <w:jc w:val="center"/>
        </w:trPr>
        <w:tc>
          <w:tcPr>
            <w:tcW w:w="668" w:type="pct"/>
            <w:tcBorders>
              <w:top w:val="nil"/>
              <w:left w:val="nil"/>
              <w:bottom w:val="nil"/>
              <w:right w:val="nil"/>
            </w:tcBorders>
            <w:vAlign w:val="center"/>
          </w:tcPr>
          <w:p w14:paraId="79A460ED" w14:textId="77777777" w:rsidR="00DF12F6" w:rsidRPr="001477FA" w:rsidRDefault="00DF12F6" w:rsidP="00DF12F6">
            <w:pPr>
              <w:jc w:val="center"/>
              <w:rPr>
                <w:rFonts w:asciiTheme="majorBidi" w:hAnsiTheme="majorBidi" w:cstheme="majorBidi"/>
                <w:b/>
                <w:bCs/>
                <w:sz w:val="24"/>
                <w:szCs w:val="24"/>
              </w:rPr>
            </w:pPr>
          </w:p>
        </w:tc>
        <w:tc>
          <w:tcPr>
            <w:tcW w:w="751" w:type="pct"/>
            <w:tcBorders>
              <w:top w:val="single" w:sz="4" w:space="0" w:color="auto"/>
              <w:left w:val="nil"/>
              <w:bottom w:val="nil"/>
              <w:right w:val="nil"/>
            </w:tcBorders>
            <w:vAlign w:val="center"/>
          </w:tcPr>
          <w:p w14:paraId="32275CCF"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pH</w:t>
            </w:r>
          </w:p>
        </w:tc>
        <w:tc>
          <w:tcPr>
            <w:tcW w:w="1274" w:type="pct"/>
            <w:tcBorders>
              <w:top w:val="single" w:sz="4" w:space="0" w:color="auto"/>
              <w:left w:val="nil"/>
              <w:bottom w:val="single" w:sz="4" w:space="0" w:color="auto"/>
              <w:right w:val="nil"/>
            </w:tcBorders>
            <w:vAlign w:val="center"/>
          </w:tcPr>
          <w:p w14:paraId="2B203CA7"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Initial concentration</w:t>
            </w:r>
          </w:p>
        </w:tc>
        <w:tc>
          <w:tcPr>
            <w:tcW w:w="889" w:type="pct"/>
            <w:tcBorders>
              <w:top w:val="single" w:sz="4" w:space="0" w:color="auto"/>
              <w:left w:val="nil"/>
              <w:bottom w:val="single" w:sz="4" w:space="0" w:color="auto"/>
              <w:right w:val="nil"/>
            </w:tcBorders>
            <w:vAlign w:val="center"/>
          </w:tcPr>
          <w:p w14:paraId="0EC3A923"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Flow rate</w:t>
            </w:r>
          </w:p>
        </w:tc>
        <w:tc>
          <w:tcPr>
            <w:tcW w:w="1419" w:type="pct"/>
            <w:tcBorders>
              <w:top w:val="single" w:sz="4" w:space="0" w:color="auto"/>
              <w:left w:val="nil"/>
              <w:bottom w:val="single" w:sz="4" w:space="0" w:color="auto"/>
              <w:right w:val="nil"/>
            </w:tcBorders>
            <w:vAlign w:val="center"/>
          </w:tcPr>
          <w:p w14:paraId="033C6EB9"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Ions removal efficiency</w:t>
            </w:r>
          </w:p>
        </w:tc>
      </w:tr>
      <w:tr w:rsidR="00DF12F6" w:rsidRPr="001477FA" w14:paraId="3267D3B6" w14:textId="77777777" w:rsidTr="00DF12F6">
        <w:trPr>
          <w:trHeight w:val="58"/>
          <w:jc w:val="center"/>
        </w:trPr>
        <w:tc>
          <w:tcPr>
            <w:tcW w:w="668" w:type="pct"/>
            <w:tcBorders>
              <w:top w:val="nil"/>
              <w:left w:val="nil"/>
              <w:bottom w:val="single" w:sz="12" w:space="0" w:color="auto"/>
              <w:right w:val="nil"/>
            </w:tcBorders>
            <w:vAlign w:val="center"/>
          </w:tcPr>
          <w:p w14:paraId="31811105" w14:textId="77777777" w:rsidR="00DF12F6" w:rsidRPr="001477FA" w:rsidRDefault="00DF12F6" w:rsidP="00DF12F6">
            <w:pPr>
              <w:jc w:val="center"/>
              <w:rPr>
                <w:rFonts w:asciiTheme="majorBidi" w:hAnsiTheme="majorBidi" w:cstheme="majorBidi"/>
                <w:b/>
                <w:bCs/>
                <w:sz w:val="24"/>
                <w:szCs w:val="24"/>
              </w:rPr>
            </w:pPr>
          </w:p>
        </w:tc>
        <w:tc>
          <w:tcPr>
            <w:tcW w:w="751" w:type="pct"/>
            <w:tcBorders>
              <w:top w:val="nil"/>
              <w:left w:val="nil"/>
              <w:bottom w:val="single" w:sz="12" w:space="0" w:color="auto"/>
              <w:right w:val="nil"/>
            </w:tcBorders>
            <w:vAlign w:val="center"/>
          </w:tcPr>
          <w:p w14:paraId="3F76AE3B" w14:textId="77777777" w:rsidR="00DF12F6" w:rsidRPr="001477FA" w:rsidRDefault="00DF12F6" w:rsidP="00DF12F6">
            <w:pPr>
              <w:jc w:val="center"/>
              <w:rPr>
                <w:rFonts w:asciiTheme="majorBidi" w:hAnsiTheme="majorBidi" w:cstheme="majorBidi"/>
                <w:b/>
                <w:bCs/>
                <w:sz w:val="24"/>
                <w:szCs w:val="24"/>
              </w:rPr>
            </w:pPr>
          </w:p>
        </w:tc>
        <w:tc>
          <w:tcPr>
            <w:tcW w:w="1274" w:type="pct"/>
            <w:tcBorders>
              <w:top w:val="single" w:sz="4" w:space="0" w:color="auto"/>
              <w:left w:val="nil"/>
              <w:bottom w:val="single" w:sz="12" w:space="0" w:color="auto"/>
              <w:right w:val="nil"/>
            </w:tcBorders>
            <w:vAlign w:val="center"/>
          </w:tcPr>
          <w:p w14:paraId="4706D6DD"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mg/L</w:t>
            </w:r>
          </w:p>
        </w:tc>
        <w:tc>
          <w:tcPr>
            <w:tcW w:w="889" w:type="pct"/>
            <w:tcBorders>
              <w:top w:val="single" w:sz="4" w:space="0" w:color="auto"/>
              <w:left w:val="nil"/>
              <w:bottom w:val="single" w:sz="12" w:space="0" w:color="auto"/>
              <w:right w:val="nil"/>
            </w:tcBorders>
            <w:vAlign w:val="center"/>
          </w:tcPr>
          <w:p w14:paraId="6C6DB66C"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mL/min</w:t>
            </w:r>
          </w:p>
        </w:tc>
        <w:tc>
          <w:tcPr>
            <w:tcW w:w="1419" w:type="pct"/>
            <w:tcBorders>
              <w:top w:val="single" w:sz="4" w:space="0" w:color="auto"/>
              <w:left w:val="nil"/>
              <w:bottom w:val="single" w:sz="12" w:space="0" w:color="auto"/>
              <w:right w:val="nil"/>
            </w:tcBorders>
            <w:vAlign w:val="center"/>
          </w:tcPr>
          <w:p w14:paraId="47FC3AC8" w14:textId="77777777" w:rsidR="00DF12F6" w:rsidRPr="001477FA" w:rsidRDefault="00DF12F6" w:rsidP="00DF12F6">
            <w:pPr>
              <w:jc w:val="center"/>
              <w:rPr>
                <w:rFonts w:asciiTheme="majorBidi" w:hAnsiTheme="majorBidi" w:cstheme="majorBidi"/>
                <w:b/>
                <w:bCs/>
                <w:sz w:val="24"/>
                <w:szCs w:val="24"/>
              </w:rPr>
            </w:pPr>
            <w:r w:rsidRPr="001477FA">
              <w:rPr>
                <w:rFonts w:asciiTheme="majorBidi" w:hAnsiTheme="majorBidi" w:cstheme="majorBidi"/>
                <w:b/>
                <w:bCs/>
                <w:sz w:val="24"/>
                <w:szCs w:val="24"/>
              </w:rPr>
              <w:t>%</w:t>
            </w:r>
          </w:p>
        </w:tc>
      </w:tr>
      <w:tr w:rsidR="00DF12F6" w:rsidRPr="001477FA" w14:paraId="39726633" w14:textId="77777777" w:rsidTr="00DF12F6">
        <w:trPr>
          <w:trHeight w:val="109"/>
          <w:jc w:val="center"/>
        </w:trPr>
        <w:tc>
          <w:tcPr>
            <w:tcW w:w="668" w:type="pct"/>
            <w:tcBorders>
              <w:top w:val="single" w:sz="12" w:space="0" w:color="auto"/>
              <w:left w:val="nil"/>
              <w:bottom w:val="nil"/>
              <w:right w:val="nil"/>
            </w:tcBorders>
            <w:vAlign w:val="center"/>
          </w:tcPr>
          <w:p w14:paraId="5431CAC7"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w:t>
            </w:r>
          </w:p>
        </w:tc>
        <w:tc>
          <w:tcPr>
            <w:tcW w:w="751" w:type="pct"/>
            <w:tcBorders>
              <w:top w:val="single" w:sz="12" w:space="0" w:color="auto"/>
              <w:left w:val="nil"/>
              <w:bottom w:val="nil"/>
              <w:right w:val="nil"/>
            </w:tcBorders>
            <w:vAlign w:val="center"/>
          </w:tcPr>
          <w:p w14:paraId="153D1015"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(0)</w:t>
            </w:r>
          </w:p>
        </w:tc>
        <w:tc>
          <w:tcPr>
            <w:tcW w:w="1274" w:type="pct"/>
            <w:tcBorders>
              <w:top w:val="single" w:sz="12" w:space="0" w:color="auto"/>
              <w:left w:val="nil"/>
              <w:bottom w:val="nil"/>
              <w:right w:val="nil"/>
            </w:tcBorders>
            <w:vAlign w:val="center"/>
          </w:tcPr>
          <w:p w14:paraId="629EBCA9" w14:textId="77777777" w:rsidR="00DF12F6" w:rsidRPr="001477FA" w:rsidRDefault="00DF12F6" w:rsidP="00DF12F6">
            <w:pPr>
              <w:jc w:val="center"/>
              <w:rPr>
                <w:rFonts w:asciiTheme="majorBidi" w:hAnsiTheme="majorBidi" w:cstheme="majorBidi"/>
                <w:sz w:val="24"/>
                <w:szCs w:val="24"/>
                <w:rtl/>
              </w:rPr>
            </w:pPr>
            <w:r w:rsidRPr="001477FA">
              <w:rPr>
                <w:rFonts w:asciiTheme="majorBidi" w:hAnsiTheme="majorBidi" w:cstheme="majorBidi"/>
                <w:sz w:val="24"/>
                <w:szCs w:val="24"/>
              </w:rPr>
              <w:t>20 (-1)</w:t>
            </w:r>
          </w:p>
        </w:tc>
        <w:tc>
          <w:tcPr>
            <w:tcW w:w="889" w:type="pct"/>
            <w:tcBorders>
              <w:top w:val="single" w:sz="12" w:space="0" w:color="auto"/>
              <w:left w:val="nil"/>
              <w:bottom w:val="nil"/>
              <w:right w:val="nil"/>
            </w:tcBorders>
            <w:vAlign w:val="center"/>
          </w:tcPr>
          <w:p w14:paraId="7EB880B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(-1)</w:t>
            </w:r>
          </w:p>
        </w:tc>
        <w:tc>
          <w:tcPr>
            <w:tcW w:w="1419" w:type="pct"/>
            <w:tcBorders>
              <w:top w:val="single" w:sz="12" w:space="0" w:color="auto"/>
              <w:left w:val="nil"/>
              <w:bottom w:val="nil"/>
              <w:right w:val="nil"/>
            </w:tcBorders>
            <w:vAlign w:val="center"/>
          </w:tcPr>
          <w:p w14:paraId="072F378A"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45.88</w:t>
            </w:r>
          </w:p>
        </w:tc>
      </w:tr>
      <w:tr w:rsidR="00DF12F6" w:rsidRPr="001477FA" w14:paraId="2DF53774" w14:textId="77777777" w:rsidTr="00DF12F6">
        <w:trPr>
          <w:trHeight w:val="108"/>
          <w:jc w:val="center"/>
        </w:trPr>
        <w:tc>
          <w:tcPr>
            <w:tcW w:w="668" w:type="pct"/>
            <w:tcBorders>
              <w:top w:val="nil"/>
              <w:left w:val="nil"/>
              <w:bottom w:val="nil"/>
              <w:right w:val="nil"/>
            </w:tcBorders>
            <w:vAlign w:val="center"/>
          </w:tcPr>
          <w:p w14:paraId="74C78DC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w:t>
            </w:r>
          </w:p>
        </w:tc>
        <w:tc>
          <w:tcPr>
            <w:tcW w:w="751" w:type="pct"/>
            <w:tcBorders>
              <w:top w:val="nil"/>
              <w:left w:val="nil"/>
              <w:bottom w:val="nil"/>
              <w:right w:val="nil"/>
            </w:tcBorders>
            <w:vAlign w:val="center"/>
          </w:tcPr>
          <w:p w14:paraId="2697615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(0)</w:t>
            </w:r>
          </w:p>
        </w:tc>
        <w:tc>
          <w:tcPr>
            <w:tcW w:w="1274" w:type="pct"/>
            <w:tcBorders>
              <w:top w:val="nil"/>
              <w:left w:val="nil"/>
              <w:bottom w:val="nil"/>
              <w:right w:val="nil"/>
            </w:tcBorders>
            <w:vAlign w:val="center"/>
          </w:tcPr>
          <w:p w14:paraId="187F04AE" w14:textId="77777777" w:rsidR="00DF12F6" w:rsidRPr="001477FA" w:rsidRDefault="00DF12F6" w:rsidP="00DF12F6">
            <w:pPr>
              <w:jc w:val="center"/>
              <w:rPr>
                <w:rFonts w:asciiTheme="majorBidi" w:hAnsiTheme="majorBidi" w:cstheme="majorBidi"/>
                <w:sz w:val="24"/>
                <w:szCs w:val="24"/>
                <w:rtl/>
              </w:rPr>
            </w:pPr>
            <w:r w:rsidRPr="001477FA">
              <w:rPr>
                <w:rFonts w:asciiTheme="majorBidi" w:hAnsiTheme="majorBidi" w:cstheme="majorBidi"/>
                <w:sz w:val="24"/>
                <w:szCs w:val="24"/>
              </w:rPr>
              <w:t>40 (0)</w:t>
            </w:r>
          </w:p>
        </w:tc>
        <w:tc>
          <w:tcPr>
            <w:tcW w:w="889" w:type="pct"/>
            <w:tcBorders>
              <w:top w:val="nil"/>
              <w:left w:val="nil"/>
              <w:bottom w:val="nil"/>
              <w:right w:val="nil"/>
            </w:tcBorders>
            <w:vAlign w:val="center"/>
          </w:tcPr>
          <w:p w14:paraId="5BE33D28"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10 (0)</w:t>
            </w:r>
          </w:p>
        </w:tc>
        <w:tc>
          <w:tcPr>
            <w:tcW w:w="1419" w:type="pct"/>
            <w:tcBorders>
              <w:top w:val="nil"/>
              <w:left w:val="nil"/>
              <w:bottom w:val="nil"/>
              <w:right w:val="nil"/>
            </w:tcBorders>
            <w:vAlign w:val="center"/>
          </w:tcPr>
          <w:p w14:paraId="37AE1F58"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31.52</w:t>
            </w:r>
          </w:p>
        </w:tc>
      </w:tr>
      <w:tr w:rsidR="00DF12F6" w:rsidRPr="001477FA" w14:paraId="4CA0CC71" w14:textId="77777777" w:rsidTr="00DF12F6">
        <w:trPr>
          <w:trHeight w:val="68"/>
          <w:jc w:val="center"/>
        </w:trPr>
        <w:tc>
          <w:tcPr>
            <w:tcW w:w="668" w:type="pct"/>
            <w:tcBorders>
              <w:top w:val="nil"/>
              <w:left w:val="nil"/>
              <w:bottom w:val="nil"/>
              <w:right w:val="nil"/>
            </w:tcBorders>
            <w:vAlign w:val="center"/>
          </w:tcPr>
          <w:p w14:paraId="335D37BB"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3</w:t>
            </w:r>
          </w:p>
        </w:tc>
        <w:tc>
          <w:tcPr>
            <w:tcW w:w="751" w:type="pct"/>
            <w:tcBorders>
              <w:top w:val="nil"/>
              <w:left w:val="nil"/>
              <w:bottom w:val="nil"/>
              <w:right w:val="nil"/>
            </w:tcBorders>
            <w:vAlign w:val="center"/>
          </w:tcPr>
          <w:p w14:paraId="1A2FCB91"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 (+1)</w:t>
            </w:r>
          </w:p>
        </w:tc>
        <w:tc>
          <w:tcPr>
            <w:tcW w:w="1274" w:type="pct"/>
            <w:tcBorders>
              <w:top w:val="nil"/>
              <w:left w:val="nil"/>
              <w:bottom w:val="nil"/>
              <w:right w:val="nil"/>
            </w:tcBorders>
            <w:vAlign w:val="center"/>
          </w:tcPr>
          <w:p w14:paraId="36A129DB"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20 (-1)</w:t>
            </w:r>
          </w:p>
        </w:tc>
        <w:tc>
          <w:tcPr>
            <w:tcW w:w="889" w:type="pct"/>
            <w:tcBorders>
              <w:top w:val="nil"/>
              <w:left w:val="nil"/>
              <w:bottom w:val="nil"/>
              <w:right w:val="nil"/>
            </w:tcBorders>
            <w:vAlign w:val="center"/>
          </w:tcPr>
          <w:p w14:paraId="5FCF8887"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10 (0)</w:t>
            </w:r>
          </w:p>
        </w:tc>
        <w:tc>
          <w:tcPr>
            <w:tcW w:w="1419" w:type="pct"/>
            <w:tcBorders>
              <w:top w:val="nil"/>
              <w:left w:val="nil"/>
              <w:bottom w:val="nil"/>
              <w:right w:val="nil"/>
            </w:tcBorders>
            <w:vAlign w:val="center"/>
          </w:tcPr>
          <w:p w14:paraId="37B5984E"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50.26</w:t>
            </w:r>
          </w:p>
        </w:tc>
      </w:tr>
      <w:tr w:rsidR="00DF12F6" w:rsidRPr="001477FA" w14:paraId="4F0CCDB1" w14:textId="77777777" w:rsidTr="00DF12F6">
        <w:trPr>
          <w:trHeight w:val="68"/>
          <w:jc w:val="center"/>
        </w:trPr>
        <w:tc>
          <w:tcPr>
            <w:tcW w:w="668" w:type="pct"/>
            <w:tcBorders>
              <w:top w:val="nil"/>
              <w:left w:val="nil"/>
              <w:bottom w:val="nil"/>
              <w:right w:val="nil"/>
            </w:tcBorders>
            <w:vAlign w:val="center"/>
          </w:tcPr>
          <w:p w14:paraId="4FCFD84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w:t>
            </w:r>
          </w:p>
        </w:tc>
        <w:tc>
          <w:tcPr>
            <w:tcW w:w="751" w:type="pct"/>
            <w:tcBorders>
              <w:top w:val="nil"/>
              <w:left w:val="nil"/>
              <w:bottom w:val="nil"/>
              <w:right w:val="nil"/>
            </w:tcBorders>
            <w:vAlign w:val="center"/>
          </w:tcPr>
          <w:p w14:paraId="73A9E63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 (+1)</w:t>
            </w:r>
          </w:p>
        </w:tc>
        <w:tc>
          <w:tcPr>
            <w:tcW w:w="1274" w:type="pct"/>
            <w:tcBorders>
              <w:top w:val="nil"/>
              <w:left w:val="nil"/>
              <w:bottom w:val="nil"/>
              <w:right w:val="nil"/>
            </w:tcBorders>
            <w:vAlign w:val="center"/>
          </w:tcPr>
          <w:p w14:paraId="57F21A42"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60 (+1)</w:t>
            </w:r>
          </w:p>
        </w:tc>
        <w:tc>
          <w:tcPr>
            <w:tcW w:w="889" w:type="pct"/>
            <w:tcBorders>
              <w:top w:val="nil"/>
              <w:left w:val="nil"/>
              <w:bottom w:val="nil"/>
              <w:right w:val="nil"/>
            </w:tcBorders>
            <w:vAlign w:val="center"/>
          </w:tcPr>
          <w:p w14:paraId="7DE6320F"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10 (0)</w:t>
            </w:r>
          </w:p>
        </w:tc>
        <w:tc>
          <w:tcPr>
            <w:tcW w:w="1419" w:type="pct"/>
            <w:tcBorders>
              <w:top w:val="nil"/>
              <w:left w:val="nil"/>
              <w:bottom w:val="nil"/>
              <w:right w:val="nil"/>
            </w:tcBorders>
            <w:vAlign w:val="center"/>
          </w:tcPr>
          <w:p w14:paraId="031B72B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35.96</w:t>
            </w:r>
          </w:p>
        </w:tc>
      </w:tr>
      <w:tr w:rsidR="00DF12F6" w:rsidRPr="001477FA" w14:paraId="10956316" w14:textId="77777777" w:rsidTr="00DF12F6">
        <w:trPr>
          <w:trHeight w:val="102"/>
          <w:jc w:val="center"/>
        </w:trPr>
        <w:tc>
          <w:tcPr>
            <w:tcW w:w="668" w:type="pct"/>
            <w:tcBorders>
              <w:top w:val="nil"/>
              <w:left w:val="nil"/>
              <w:bottom w:val="nil"/>
              <w:right w:val="nil"/>
            </w:tcBorders>
            <w:vAlign w:val="center"/>
          </w:tcPr>
          <w:p w14:paraId="393BD8C5"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w:t>
            </w:r>
          </w:p>
        </w:tc>
        <w:tc>
          <w:tcPr>
            <w:tcW w:w="751" w:type="pct"/>
            <w:tcBorders>
              <w:top w:val="nil"/>
              <w:left w:val="nil"/>
              <w:bottom w:val="nil"/>
              <w:right w:val="nil"/>
            </w:tcBorders>
            <w:vAlign w:val="center"/>
          </w:tcPr>
          <w:p w14:paraId="47F7C366"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 (-1)</w:t>
            </w:r>
          </w:p>
        </w:tc>
        <w:tc>
          <w:tcPr>
            <w:tcW w:w="1274" w:type="pct"/>
            <w:tcBorders>
              <w:top w:val="nil"/>
              <w:left w:val="nil"/>
              <w:bottom w:val="nil"/>
              <w:right w:val="nil"/>
            </w:tcBorders>
            <w:vAlign w:val="center"/>
          </w:tcPr>
          <w:p w14:paraId="071004F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40 (0)</w:t>
            </w:r>
          </w:p>
        </w:tc>
        <w:tc>
          <w:tcPr>
            <w:tcW w:w="889" w:type="pct"/>
            <w:tcBorders>
              <w:top w:val="nil"/>
              <w:left w:val="nil"/>
              <w:bottom w:val="nil"/>
              <w:right w:val="nil"/>
            </w:tcBorders>
            <w:vAlign w:val="center"/>
          </w:tcPr>
          <w:p w14:paraId="0C9C04BA"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15 (+1)</w:t>
            </w:r>
          </w:p>
        </w:tc>
        <w:tc>
          <w:tcPr>
            <w:tcW w:w="1419" w:type="pct"/>
            <w:tcBorders>
              <w:top w:val="nil"/>
              <w:left w:val="nil"/>
              <w:bottom w:val="nil"/>
              <w:right w:val="nil"/>
            </w:tcBorders>
            <w:vAlign w:val="center"/>
          </w:tcPr>
          <w:p w14:paraId="586E0A7E"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19.08</w:t>
            </w:r>
          </w:p>
        </w:tc>
      </w:tr>
      <w:tr w:rsidR="00DF12F6" w:rsidRPr="001477FA" w14:paraId="6C3AF1BE" w14:textId="77777777" w:rsidTr="00DF12F6">
        <w:trPr>
          <w:trHeight w:val="177"/>
          <w:jc w:val="center"/>
        </w:trPr>
        <w:tc>
          <w:tcPr>
            <w:tcW w:w="668" w:type="pct"/>
            <w:tcBorders>
              <w:top w:val="nil"/>
              <w:left w:val="nil"/>
              <w:bottom w:val="nil"/>
              <w:right w:val="nil"/>
            </w:tcBorders>
            <w:vAlign w:val="center"/>
          </w:tcPr>
          <w:p w14:paraId="4E06F844"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w:t>
            </w:r>
          </w:p>
        </w:tc>
        <w:tc>
          <w:tcPr>
            <w:tcW w:w="751" w:type="pct"/>
            <w:tcBorders>
              <w:top w:val="nil"/>
              <w:left w:val="nil"/>
              <w:bottom w:val="nil"/>
              <w:right w:val="nil"/>
            </w:tcBorders>
            <w:vAlign w:val="center"/>
          </w:tcPr>
          <w:p w14:paraId="7C6F282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(0)</w:t>
            </w:r>
          </w:p>
        </w:tc>
        <w:tc>
          <w:tcPr>
            <w:tcW w:w="1274" w:type="pct"/>
            <w:tcBorders>
              <w:top w:val="nil"/>
              <w:left w:val="nil"/>
              <w:bottom w:val="nil"/>
              <w:right w:val="nil"/>
            </w:tcBorders>
            <w:vAlign w:val="center"/>
          </w:tcPr>
          <w:p w14:paraId="4F649678"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40 (0)</w:t>
            </w:r>
          </w:p>
        </w:tc>
        <w:tc>
          <w:tcPr>
            <w:tcW w:w="889" w:type="pct"/>
            <w:tcBorders>
              <w:top w:val="nil"/>
              <w:left w:val="nil"/>
              <w:bottom w:val="nil"/>
              <w:right w:val="nil"/>
            </w:tcBorders>
            <w:vAlign w:val="center"/>
          </w:tcPr>
          <w:p w14:paraId="60ED50E2"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10 (0)</w:t>
            </w:r>
          </w:p>
        </w:tc>
        <w:tc>
          <w:tcPr>
            <w:tcW w:w="1419" w:type="pct"/>
            <w:tcBorders>
              <w:top w:val="nil"/>
              <w:left w:val="nil"/>
              <w:bottom w:val="nil"/>
              <w:right w:val="nil"/>
            </w:tcBorders>
            <w:vAlign w:val="center"/>
          </w:tcPr>
          <w:p w14:paraId="0B44DF66"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31.84</w:t>
            </w:r>
          </w:p>
        </w:tc>
      </w:tr>
      <w:tr w:rsidR="00DF12F6" w:rsidRPr="001477FA" w14:paraId="65340ED8" w14:textId="77777777" w:rsidTr="00DF12F6">
        <w:trPr>
          <w:trHeight w:val="125"/>
          <w:jc w:val="center"/>
        </w:trPr>
        <w:tc>
          <w:tcPr>
            <w:tcW w:w="668" w:type="pct"/>
            <w:tcBorders>
              <w:top w:val="nil"/>
              <w:left w:val="nil"/>
              <w:bottom w:val="nil"/>
              <w:right w:val="nil"/>
            </w:tcBorders>
            <w:vAlign w:val="center"/>
          </w:tcPr>
          <w:p w14:paraId="2C58EDE0"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7</w:t>
            </w:r>
          </w:p>
        </w:tc>
        <w:tc>
          <w:tcPr>
            <w:tcW w:w="751" w:type="pct"/>
            <w:tcBorders>
              <w:top w:val="nil"/>
              <w:left w:val="nil"/>
              <w:bottom w:val="nil"/>
              <w:right w:val="nil"/>
            </w:tcBorders>
            <w:vAlign w:val="center"/>
          </w:tcPr>
          <w:p w14:paraId="6AAA7AEC"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(0)</w:t>
            </w:r>
          </w:p>
        </w:tc>
        <w:tc>
          <w:tcPr>
            <w:tcW w:w="1274" w:type="pct"/>
            <w:tcBorders>
              <w:top w:val="nil"/>
              <w:left w:val="nil"/>
              <w:bottom w:val="nil"/>
              <w:right w:val="nil"/>
            </w:tcBorders>
            <w:vAlign w:val="center"/>
          </w:tcPr>
          <w:p w14:paraId="293A93B1"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20 (-1)</w:t>
            </w:r>
          </w:p>
        </w:tc>
        <w:tc>
          <w:tcPr>
            <w:tcW w:w="889" w:type="pct"/>
            <w:tcBorders>
              <w:top w:val="nil"/>
              <w:left w:val="nil"/>
              <w:bottom w:val="nil"/>
              <w:right w:val="nil"/>
            </w:tcBorders>
            <w:vAlign w:val="center"/>
          </w:tcPr>
          <w:p w14:paraId="4740AC9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15 (+1)</w:t>
            </w:r>
          </w:p>
        </w:tc>
        <w:tc>
          <w:tcPr>
            <w:tcW w:w="1419" w:type="pct"/>
            <w:tcBorders>
              <w:top w:val="nil"/>
              <w:left w:val="nil"/>
              <w:bottom w:val="nil"/>
              <w:right w:val="nil"/>
            </w:tcBorders>
            <w:vAlign w:val="center"/>
          </w:tcPr>
          <w:p w14:paraId="172AEF8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32.26</w:t>
            </w:r>
          </w:p>
        </w:tc>
      </w:tr>
      <w:tr w:rsidR="00DF12F6" w:rsidRPr="001477FA" w14:paraId="4CDC9DA2" w14:textId="77777777" w:rsidTr="00DF12F6">
        <w:trPr>
          <w:trHeight w:val="68"/>
          <w:jc w:val="center"/>
        </w:trPr>
        <w:tc>
          <w:tcPr>
            <w:tcW w:w="668" w:type="pct"/>
            <w:tcBorders>
              <w:top w:val="nil"/>
              <w:left w:val="nil"/>
              <w:bottom w:val="nil"/>
              <w:right w:val="nil"/>
            </w:tcBorders>
            <w:vAlign w:val="center"/>
          </w:tcPr>
          <w:p w14:paraId="192A5787"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8</w:t>
            </w:r>
          </w:p>
        </w:tc>
        <w:tc>
          <w:tcPr>
            <w:tcW w:w="751" w:type="pct"/>
            <w:tcBorders>
              <w:top w:val="nil"/>
              <w:left w:val="nil"/>
              <w:bottom w:val="nil"/>
              <w:right w:val="nil"/>
            </w:tcBorders>
            <w:vAlign w:val="center"/>
          </w:tcPr>
          <w:p w14:paraId="086C8E78"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 (+1)</w:t>
            </w:r>
          </w:p>
        </w:tc>
        <w:tc>
          <w:tcPr>
            <w:tcW w:w="1274" w:type="pct"/>
            <w:tcBorders>
              <w:top w:val="nil"/>
              <w:left w:val="nil"/>
              <w:bottom w:val="nil"/>
              <w:right w:val="nil"/>
            </w:tcBorders>
            <w:vAlign w:val="center"/>
          </w:tcPr>
          <w:p w14:paraId="47A23C74"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40 (0)</w:t>
            </w:r>
          </w:p>
        </w:tc>
        <w:tc>
          <w:tcPr>
            <w:tcW w:w="889" w:type="pct"/>
            <w:tcBorders>
              <w:top w:val="nil"/>
              <w:left w:val="nil"/>
              <w:bottom w:val="nil"/>
              <w:right w:val="nil"/>
            </w:tcBorders>
            <w:vAlign w:val="center"/>
          </w:tcPr>
          <w:p w14:paraId="35F60416"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15 (+1)</w:t>
            </w:r>
          </w:p>
        </w:tc>
        <w:tc>
          <w:tcPr>
            <w:tcW w:w="1419" w:type="pct"/>
            <w:tcBorders>
              <w:top w:val="nil"/>
              <w:left w:val="nil"/>
              <w:bottom w:val="nil"/>
              <w:right w:val="nil"/>
            </w:tcBorders>
            <w:vAlign w:val="center"/>
          </w:tcPr>
          <w:p w14:paraId="3A078095"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41.17</w:t>
            </w:r>
          </w:p>
        </w:tc>
      </w:tr>
      <w:tr w:rsidR="00DF12F6" w:rsidRPr="001477FA" w14:paraId="2CE8C3AA" w14:textId="77777777" w:rsidTr="00DF12F6">
        <w:trPr>
          <w:trHeight w:val="68"/>
          <w:jc w:val="center"/>
        </w:trPr>
        <w:tc>
          <w:tcPr>
            <w:tcW w:w="668" w:type="pct"/>
            <w:tcBorders>
              <w:top w:val="nil"/>
              <w:left w:val="nil"/>
              <w:bottom w:val="nil"/>
              <w:right w:val="nil"/>
            </w:tcBorders>
            <w:vAlign w:val="center"/>
          </w:tcPr>
          <w:p w14:paraId="469830F5"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9</w:t>
            </w:r>
          </w:p>
        </w:tc>
        <w:tc>
          <w:tcPr>
            <w:tcW w:w="751" w:type="pct"/>
            <w:tcBorders>
              <w:top w:val="nil"/>
              <w:left w:val="nil"/>
              <w:bottom w:val="nil"/>
              <w:right w:val="nil"/>
            </w:tcBorders>
            <w:vAlign w:val="center"/>
          </w:tcPr>
          <w:p w14:paraId="579B106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(0)</w:t>
            </w:r>
          </w:p>
        </w:tc>
        <w:tc>
          <w:tcPr>
            <w:tcW w:w="1274" w:type="pct"/>
            <w:tcBorders>
              <w:top w:val="nil"/>
              <w:left w:val="nil"/>
              <w:bottom w:val="nil"/>
              <w:right w:val="nil"/>
            </w:tcBorders>
            <w:vAlign w:val="center"/>
          </w:tcPr>
          <w:p w14:paraId="72D2153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60 (+1)</w:t>
            </w:r>
          </w:p>
        </w:tc>
        <w:tc>
          <w:tcPr>
            <w:tcW w:w="889" w:type="pct"/>
            <w:tcBorders>
              <w:top w:val="nil"/>
              <w:left w:val="nil"/>
              <w:bottom w:val="nil"/>
              <w:right w:val="nil"/>
            </w:tcBorders>
            <w:vAlign w:val="center"/>
          </w:tcPr>
          <w:p w14:paraId="0085B7BB"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15 (+1)</w:t>
            </w:r>
          </w:p>
        </w:tc>
        <w:tc>
          <w:tcPr>
            <w:tcW w:w="1419" w:type="pct"/>
            <w:tcBorders>
              <w:top w:val="nil"/>
              <w:left w:val="nil"/>
              <w:bottom w:val="nil"/>
              <w:right w:val="nil"/>
            </w:tcBorders>
            <w:vAlign w:val="center"/>
          </w:tcPr>
          <w:p w14:paraId="24E62A12"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23.60</w:t>
            </w:r>
          </w:p>
        </w:tc>
      </w:tr>
      <w:tr w:rsidR="00DF12F6" w:rsidRPr="001477FA" w14:paraId="2502EFDF" w14:textId="77777777" w:rsidTr="00DF12F6">
        <w:trPr>
          <w:trHeight w:val="68"/>
          <w:jc w:val="center"/>
        </w:trPr>
        <w:tc>
          <w:tcPr>
            <w:tcW w:w="668" w:type="pct"/>
            <w:tcBorders>
              <w:top w:val="nil"/>
              <w:left w:val="nil"/>
              <w:bottom w:val="nil"/>
              <w:right w:val="nil"/>
            </w:tcBorders>
            <w:vAlign w:val="center"/>
          </w:tcPr>
          <w:p w14:paraId="78A72EE7" w14:textId="77777777" w:rsidR="00DF12F6" w:rsidRPr="001477FA" w:rsidRDefault="00DF12F6" w:rsidP="00DF12F6">
            <w:pPr>
              <w:jc w:val="center"/>
              <w:rPr>
                <w:rFonts w:asciiTheme="majorBidi" w:hAnsiTheme="majorBidi" w:cstheme="majorBidi"/>
                <w:sz w:val="24"/>
                <w:szCs w:val="24"/>
                <w:rtl/>
                <w:lang w:bidi="fa-IR"/>
              </w:rPr>
            </w:pPr>
            <w:r w:rsidRPr="001477FA">
              <w:rPr>
                <w:rFonts w:asciiTheme="majorBidi" w:hAnsiTheme="majorBidi" w:cstheme="majorBidi"/>
                <w:sz w:val="24"/>
                <w:szCs w:val="24"/>
              </w:rPr>
              <w:t>10</w:t>
            </w:r>
          </w:p>
        </w:tc>
        <w:tc>
          <w:tcPr>
            <w:tcW w:w="751" w:type="pct"/>
            <w:tcBorders>
              <w:top w:val="nil"/>
              <w:left w:val="nil"/>
              <w:bottom w:val="nil"/>
              <w:right w:val="nil"/>
            </w:tcBorders>
            <w:vAlign w:val="center"/>
          </w:tcPr>
          <w:p w14:paraId="40BF49D1"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 (+1)</w:t>
            </w:r>
          </w:p>
        </w:tc>
        <w:tc>
          <w:tcPr>
            <w:tcW w:w="1274" w:type="pct"/>
            <w:tcBorders>
              <w:top w:val="nil"/>
              <w:left w:val="nil"/>
              <w:bottom w:val="nil"/>
              <w:right w:val="nil"/>
            </w:tcBorders>
            <w:vAlign w:val="center"/>
          </w:tcPr>
          <w:p w14:paraId="057FBCC2"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40 (0)</w:t>
            </w:r>
          </w:p>
        </w:tc>
        <w:tc>
          <w:tcPr>
            <w:tcW w:w="889" w:type="pct"/>
            <w:tcBorders>
              <w:top w:val="nil"/>
              <w:left w:val="nil"/>
              <w:bottom w:val="nil"/>
              <w:right w:val="nil"/>
            </w:tcBorders>
            <w:vAlign w:val="center"/>
          </w:tcPr>
          <w:p w14:paraId="10790C30"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(-1)</w:t>
            </w:r>
          </w:p>
        </w:tc>
        <w:tc>
          <w:tcPr>
            <w:tcW w:w="1419" w:type="pct"/>
            <w:tcBorders>
              <w:top w:val="nil"/>
              <w:left w:val="nil"/>
              <w:bottom w:val="nil"/>
              <w:right w:val="nil"/>
            </w:tcBorders>
            <w:vAlign w:val="center"/>
          </w:tcPr>
          <w:p w14:paraId="0ED53946"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47.92</w:t>
            </w:r>
          </w:p>
        </w:tc>
      </w:tr>
      <w:tr w:rsidR="00DF12F6" w:rsidRPr="001477FA" w14:paraId="6DD070D9" w14:textId="77777777" w:rsidTr="00DF12F6">
        <w:trPr>
          <w:trHeight w:val="68"/>
          <w:jc w:val="center"/>
        </w:trPr>
        <w:tc>
          <w:tcPr>
            <w:tcW w:w="668" w:type="pct"/>
            <w:tcBorders>
              <w:top w:val="nil"/>
              <w:left w:val="nil"/>
              <w:bottom w:val="nil"/>
              <w:right w:val="nil"/>
            </w:tcBorders>
            <w:vAlign w:val="center"/>
          </w:tcPr>
          <w:p w14:paraId="7CB915C0"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11</w:t>
            </w:r>
          </w:p>
        </w:tc>
        <w:tc>
          <w:tcPr>
            <w:tcW w:w="751" w:type="pct"/>
            <w:tcBorders>
              <w:top w:val="nil"/>
              <w:left w:val="nil"/>
              <w:bottom w:val="nil"/>
              <w:right w:val="nil"/>
            </w:tcBorders>
            <w:vAlign w:val="center"/>
          </w:tcPr>
          <w:p w14:paraId="63845B7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 (-1)</w:t>
            </w:r>
          </w:p>
        </w:tc>
        <w:tc>
          <w:tcPr>
            <w:tcW w:w="1274" w:type="pct"/>
            <w:tcBorders>
              <w:top w:val="nil"/>
              <w:left w:val="nil"/>
              <w:bottom w:val="nil"/>
              <w:right w:val="nil"/>
            </w:tcBorders>
            <w:vAlign w:val="center"/>
          </w:tcPr>
          <w:p w14:paraId="67B6A43F"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40 (0)</w:t>
            </w:r>
          </w:p>
        </w:tc>
        <w:tc>
          <w:tcPr>
            <w:tcW w:w="889" w:type="pct"/>
            <w:tcBorders>
              <w:top w:val="nil"/>
              <w:left w:val="nil"/>
              <w:bottom w:val="nil"/>
              <w:right w:val="nil"/>
            </w:tcBorders>
            <w:vAlign w:val="center"/>
          </w:tcPr>
          <w:p w14:paraId="64C7FCEB"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(-1)</w:t>
            </w:r>
          </w:p>
        </w:tc>
        <w:tc>
          <w:tcPr>
            <w:tcW w:w="1419" w:type="pct"/>
            <w:tcBorders>
              <w:top w:val="nil"/>
              <w:left w:val="nil"/>
              <w:bottom w:val="nil"/>
              <w:right w:val="nil"/>
            </w:tcBorders>
            <w:vAlign w:val="center"/>
          </w:tcPr>
          <w:p w14:paraId="673EC31F"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24.98</w:t>
            </w:r>
          </w:p>
        </w:tc>
      </w:tr>
      <w:tr w:rsidR="00DF12F6" w:rsidRPr="001477FA" w14:paraId="4C7FAF7F" w14:textId="77777777" w:rsidTr="00DF12F6">
        <w:trPr>
          <w:trHeight w:val="68"/>
          <w:jc w:val="center"/>
        </w:trPr>
        <w:tc>
          <w:tcPr>
            <w:tcW w:w="668" w:type="pct"/>
            <w:tcBorders>
              <w:top w:val="nil"/>
              <w:left w:val="nil"/>
              <w:bottom w:val="nil"/>
              <w:right w:val="nil"/>
            </w:tcBorders>
            <w:vAlign w:val="center"/>
          </w:tcPr>
          <w:p w14:paraId="708626F2"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12</w:t>
            </w:r>
          </w:p>
        </w:tc>
        <w:tc>
          <w:tcPr>
            <w:tcW w:w="751" w:type="pct"/>
            <w:tcBorders>
              <w:top w:val="nil"/>
              <w:left w:val="nil"/>
              <w:bottom w:val="nil"/>
              <w:right w:val="nil"/>
            </w:tcBorders>
            <w:vAlign w:val="center"/>
          </w:tcPr>
          <w:p w14:paraId="65910454"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(0)</w:t>
            </w:r>
          </w:p>
        </w:tc>
        <w:tc>
          <w:tcPr>
            <w:tcW w:w="1274" w:type="pct"/>
            <w:tcBorders>
              <w:top w:val="nil"/>
              <w:left w:val="nil"/>
              <w:bottom w:val="nil"/>
              <w:right w:val="nil"/>
            </w:tcBorders>
            <w:vAlign w:val="center"/>
          </w:tcPr>
          <w:p w14:paraId="075FF272"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60 (+1)</w:t>
            </w:r>
          </w:p>
        </w:tc>
        <w:tc>
          <w:tcPr>
            <w:tcW w:w="889" w:type="pct"/>
            <w:tcBorders>
              <w:top w:val="nil"/>
              <w:left w:val="nil"/>
              <w:bottom w:val="nil"/>
              <w:right w:val="nil"/>
            </w:tcBorders>
            <w:vAlign w:val="center"/>
          </w:tcPr>
          <w:p w14:paraId="06E4B06C"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(-1)</w:t>
            </w:r>
          </w:p>
        </w:tc>
        <w:tc>
          <w:tcPr>
            <w:tcW w:w="1419" w:type="pct"/>
            <w:tcBorders>
              <w:top w:val="nil"/>
              <w:left w:val="nil"/>
              <w:bottom w:val="nil"/>
              <w:right w:val="nil"/>
            </w:tcBorders>
            <w:vAlign w:val="center"/>
          </w:tcPr>
          <w:p w14:paraId="0E50CAC5"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26.19</w:t>
            </w:r>
          </w:p>
        </w:tc>
      </w:tr>
      <w:tr w:rsidR="00DF12F6" w:rsidRPr="001477FA" w14:paraId="641A068F" w14:textId="77777777" w:rsidTr="00DF12F6">
        <w:trPr>
          <w:trHeight w:val="68"/>
          <w:jc w:val="center"/>
        </w:trPr>
        <w:tc>
          <w:tcPr>
            <w:tcW w:w="668" w:type="pct"/>
            <w:tcBorders>
              <w:top w:val="nil"/>
              <w:left w:val="nil"/>
              <w:bottom w:val="nil"/>
              <w:right w:val="nil"/>
            </w:tcBorders>
            <w:vAlign w:val="center"/>
          </w:tcPr>
          <w:p w14:paraId="597C835C"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13</w:t>
            </w:r>
          </w:p>
        </w:tc>
        <w:tc>
          <w:tcPr>
            <w:tcW w:w="751" w:type="pct"/>
            <w:tcBorders>
              <w:top w:val="nil"/>
              <w:left w:val="nil"/>
              <w:bottom w:val="nil"/>
              <w:right w:val="nil"/>
            </w:tcBorders>
            <w:vAlign w:val="center"/>
          </w:tcPr>
          <w:p w14:paraId="18C853AA"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5 (0)</w:t>
            </w:r>
          </w:p>
        </w:tc>
        <w:tc>
          <w:tcPr>
            <w:tcW w:w="1274" w:type="pct"/>
            <w:tcBorders>
              <w:top w:val="nil"/>
              <w:left w:val="nil"/>
              <w:bottom w:val="nil"/>
              <w:right w:val="nil"/>
            </w:tcBorders>
            <w:vAlign w:val="center"/>
          </w:tcPr>
          <w:p w14:paraId="583E622B"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40 (0)</w:t>
            </w:r>
          </w:p>
        </w:tc>
        <w:tc>
          <w:tcPr>
            <w:tcW w:w="889" w:type="pct"/>
            <w:tcBorders>
              <w:top w:val="nil"/>
              <w:left w:val="nil"/>
              <w:bottom w:val="nil"/>
              <w:right w:val="nil"/>
            </w:tcBorders>
            <w:vAlign w:val="center"/>
          </w:tcPr>
          <w:p w14:paraId="6C48FB6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10 (0)</w:t>
            </w:r>
          </w:p>
        </w:tc>
        <w:tc>
          <w:tcPr>
            <w:tcW w:w="1419" w:type="pct"/>
            <w:tcBorders>
              <w:top w:val="nil"/>
              <w:left w:val="nil"/>
              <w:bottom w:val="nil"/>
              <w:right w:val="nil"/>
            </w:tcBorders>
            <w:vAlign w:val="center"/>
          </w:tcPr>
          <w:p w14:paraId="46E1EBA5"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32.12</w:t>
            </w:r>
          </w:p>
        </w:tc>
      </w:tr>
      <w:tr w:rsidR="00DF12F6" w:rsidRPr="001477FA" w14:paraId="76EF466C" w14:textId="77777777" w:rsidTr="00DF12F6">
        <w:trPr>
          <w:trHeight w:val="68"/>
          <w:jc w:val="center"/>
        </w:trPr>
        <w:tc>
          <w:tcPr>
            <w:tcW w:w="668" w:type="pct"/>
            <w:tcBorders>
              <w:top w:val="nil"/>
              <w:left w:val="nil"/>
              <w:bottom w:val="nil"/>
              <w:right w:val="nil"/>
            </w:tcBorders>
            <w:vAlign w:val="center"/>
          </w:tcPr>
          <w:p w14:paraId="557A922F"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14</w:t>
            </w:r>
          </w:p>
        </w:tc>
        <w:tc>
          <w:tcPr>
            <w:tcW w:w="751" w:type="pct"/>
            <w:tcBorders>
              <w:top w:val="nil"/>
              <w:left w:val="nil"/>
              <w:bottom w:val="nil"/>
              <w:right w:val="nil"/>
            </w:tcBorders>
            <w:vAlign w:val="center"/>
          </w:tcPr>
          <w:p w14:paraId="5A47070A"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 (-1)</w:t>
            </w:r>
          </w:p>
        </w:tc>
        <w:tc>
          <w:tcPr>
            <w:tcW w:w="1274" w:type="pct"/>
            <w:tcBorders>
              <w:top w:val="nil"/>
              <w:left w:val="nil"/>
              <w:bottom w:val="nil"/>
              <w:right w:val="nil"/>
            </w:tcBorders>
            <w:vAlign w:val="center"/>
          </w:tcPr>
          <w:p w14:paraId="71E5EF0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60 (+1)</w:t>
            </w:r>
          </w:p>
        </w:tc>
        <w:tc>
          <w:tcPr>
            <w:tcW w:w="889" w:type="pct"/>
            <w:tcBorders>
              <w:top w:val="nil"/>
              <w:left w:val="nil"/>
              <w:bottom w:val="nil"/>
              <w:right w:val="nil"/>
            </w:tcBorders>
            <w:vAlign w:val="center"/>
          </w:tcPr>
          <w:p w14:paraId="1D101565"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10 (0)</w:t>
            </w:r>
          </w:p>
        </w:tc>
        <w:tc>
          <w:tcPr>
            <w:tcW w:w="1419" w:type="pct"/>
            <w:tcBorders>
              <w:top w:val="nil"/>
              <w:left w:val="nil"/>
              <w:bottom w:val="nil"/>
              <w:right w:val="nil"/>
            </w:tcBorders>
            <w:vAlign w:val="center"/>
          </w:tcPr>
          <w:p w14:paraId="0D11978A"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16.43</w:t>
            </w:r>
          </w:p>
        </w:tc>
      </w:tr>
      <w:tr w:rsidR="00DF12F6" w:rsidRPr="001477FA" w14:paraId="79B9DF14" w14:textId="77777777" w:rsidTr="00DF12F6">
        <w:trPr>
          <w:trHeight w:val="68"/>
          <w:jc w:val="center"/>
        </w:trPr>
        <w:tc>
          <w:tcPr>
            <w:tcW w:w="668" w:type="pct"/>
            <w:tcBorders>
              <w:top w:val="nil"/>
              <w:left w:val="nil"/>
              <w:bottom w:val="single" w:sz="12" w:space="0" w:color="auto"/>
              <w:right w:val="nil"/>
            </w:tcBorders>
            <w:vAlign w:val="center"/>
          </w:tcPr>
          <w:p w14:paraId="546D8D67"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15</w:t>
            </w:r>
          </w:p>
        </w:tc>
        <w:tc>
          <w:tcPr>
            <w:tcW w:w="751" w:type="pct"/>
            <w:tcBorders>
              <w:top w:val="nil"/>
              <w:left w:val="nil"/>
              <w:bottom w:val="single" w:sz="12" w:space="0" w:color="auto"/>
              <w:right w:val="nil"/>
            </w:tcBorders>
            <w:vAlign w:val="center"/>
          </w:tcPr>
          <w:p w14:paraId="09D67F1D"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4 (-1)</w:t>
            </w:r>
          </w:p>
        </w:tc>
        <w:tc>
          <w:tcPr>
            <w:tcW w:w="1274" w:type="pct"/>
            <w:tcBorders>
              <w:top w:val="nil"/>
              <w:left w:val="nil"/>
              <w:bottom w:val="single" w:sz="12" w:space="0" w:color="auto"/>
              <w:right w:val="nil"/>
            </w:tcBorders>
            <w:vAlign w:val="center"/>
          </w:tcPr>
          <w:p w14:paraId="04D73516"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20 (-1)</w:t>
            </w:r>
          </w:p>
        </w:tc>
        <w:tc>
          <w:tcPr>
            <w:tcW w:w="889" w:type="pct"/>
            <w:tcBorders>
              <w:top w:val="nil"/>
              <w:left w:val="nil"/>
              <w:bottom w:val="single" w:sz="12" w:space="0" w:color="auto"/>
              <w:right w:val="nil"/>
            </w:tcBorders>
            <w:vAlign w:val="center"/>
          </w:tcPr>
          <w:p w14:paraId="4F1C2D49"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10 (0)</w:t>
            </w:r>
          </w:p>
        </w:tc>
        <w:tc>
          <w:tcPr>
            <w:tcW w:w="1419" w:type="pct"/>
            <w:tcBorders>
              <w:top w:val="nil"/>
              <w:left w:val="nil"/>
              <w:bottom w:val="single" w:sz="12" w:space="0" w:color="auto"/>
              <w:right w:val="nil"/>
            </w:tcBorders>
            <w:vAlign w:val="center"/>
          </w:tcPr>
          <w:p w14:paraId="07022E60" w14:textId="77777777" w:rsidR="00DF12F6" w:rsidRPr="001477FA" w:rsidRDefault="00DF12F6" w:rsidP="00DF12F6">
            <w:pPr>
              <w:jc w:val="center"/>
              <w:rPr>
                <w:rFonts w:asciiTheme="majorBidi" w:hAnsiTheme="majorBidi" w:cstheme="majorBidi"/>
                <w:sz w:val="24"/>
                <w:szCs w:val="24"/>
              </w:rPr>
            </w:pPr>
            <w:r w:rsidRPr="001477FA">
              <w:rPr>
                <w:rFonts w:asciiTheme="majorBidi" w:hAnsiTheme="majorBidi" w:cstheme="majorBidi"/>
                <w:sz w:val="24"/>
                <w:szCs w:val="24"/>
              </w:rPr>
              <w:t>26.94</w:t>
            </w:r>
          </w:p>
        </w:tc>
      </w:tr>
    </w:tbl>
    <w:p w14:paraId="6AB00A09" w14:textId="77777777" w:rsidR="00DF12F6" w:rsidRPr="001477FA" w:rsidRDefault="00DF12F6" w:rsidP="00DF12F6">
      <w:pPr>
        <w:rPr>
          <w:rFonts w:asciiTheme="majorBidi" w:hAnsiTheme="majorBidi" w:cstheme="majorBidi"/>
          <w:sz w:val="24"/>
          <w:szCs w:val="24"/>
        </w:rPr>
      </w:pPr>
    </w:p>
    <w:p w14:paraId="7E7DDA33" w14:textId="77777777" w:rsidR="00DF12F6" w:rsidRDefault="00DF12F6" w:rsidP="00DF12F6">
      <w:pPr>
        <w:rPr>
          <w:rFonts w:asciiTheme="majorBidi" w:hAnsiTheme="majorBidi" w:cstheme="majorBidi"/>
          <w:sz w:val="24"/>
          <w:szCs w:val="24"/>
        </w:rPr>
      </w:pPr>
      <w:r w:rsidRPr="001477FA">
        <w:rPr>
          <w:rFonts w:asciiTheme="majorBidi" w:hAnsiTheme="majorBidi" w:cstheme="majorBidi"/>
          <w:sz w:val="24"/>
          <w:szCs w:val="24"/>
        </w:rPr>
        <w:t>The ANOVA approach was used to assess the acquired findings, statistical quality, and relevance of the suggested model created by the program to predict removal efficiency (Table 3).</w:t>
      </w:r>
    </w:p>
    <w:p w14:paraId="3D28DC0D" w14:textId="77777777" w:rsidR="00C22AFC" w:rsidRDefault="00C22AFC" w:rsidP="005A70B5">
      <w:pPr>
        <w:spacing w:after="0"/>
        <w:jc w:val="both"/>
        <w:rPr>
          <w:rFonts w:asciiTheme="majorBidi" w:hAnsiTheme="majorBidi" w:cstheme="majorBidi"/>
          <w:sz w:val="24"/>
          <w:szCs w:val="24"/>
        </w:rPr>
      </w:pPr>
    </w:p>
    <w:p w14:paraId="638EAC92" w14:textId="77777777" w:rsidR="00B21E47" w:rsidRDefault="00B21E47" w:rsidP="005A70B5">
      <w:pPr>
        <w:spacing w:after="0"/>
        <w:jc w:val="both"/>
        <w:rPr>
          <w:rFonts w:asciiTheme="majorBidi" w:hAnsiTheme="majorBidi" w:cstheme="majorBidi"/>
          <w:sz w:val="24"/>
          <w:szCs w:val="24"/>
        </w:rPr>
      </w:pPr>
    </w:p>
    <w:p w14:paraId="737F52AC" w14:textId="77777777" w:rsidR="00B21E47" w:rsidRDefault="00B21E47" w:rsidP="005A70B5">
      <w:pPr>
        <w:spacing w:after="0"/>
        <w:jc w:val="both"/>
        <w:rPr>
          <w:rFonts w:asciiTheme="majorBidi" w:hAnsiTheme="majorBidi" w:cstheme="majorBidi"/>
          <w:sz w:val="24"/>
          <w:szCs w:val="24"/>
        </w:rPr>
      </w:pPr>
    </w:p>
    <w:p w14:paraId="7693976D" w14:textId="77777777" w:rsidR="00B21E47" w:rsidRPr="001477FA" w:rsidRDefault="00B21E47" w:rsidP="005A70B5">
      <w:pPr>
        <w:spacing w:after="0"/>
        <w:jc w:val="both"/>
        <w:rPr>
          <w:rFonts w:asciiTheme="majorBidi" w:hAnsiTheme="majorBidi" w:cstheme="majorBidi"/>
          <w:sz w:val="24"/>
          <w:szCs w:val="24"/>
        </w:rPr>
      </w:pPr>
    </w:p>
    <w:p w14:paraId="1725360C" w14:textId="77777777" w:rsidR="00DF12F6" w:rsidRPr="001477FA" w:rsidRDefault="005A70B5" w:rsidP="00DF12F6">
      <w:pPr>
        <w:jc w:val="center"/>
        <w:rPr>
          <w:rFonts w:asciiTheme="majorBidi" w:hAnsiTheme="majorBidi" w:cstheme="majorBidi"/>
          <w:b/>
          <w:bCs/>
          <w:sz w:val="24"/>
          <w:szCs w:val="24"/>
        </w:rPr>
      </w:pPr>
      <w:r>
        <w:rPr>
          <w:rFonts w:asciiTheme="majorBidi" w:hAnsiTheme="majorBidi" w:cstheme="majorBidi"/>
          <w:b/>
          <w:bCs/>
          <w:sz w:val="24"/>
          <w:szCs w:val="24"/>
        </w:rPr>
        <w:lastRenderedPageBreak/>
        <w:t>T</w:t>
      </w:r>
      <w:r w:rsidR="00DF12F6" w:rsidRPr="001477FA">
        <w:rPr>
          <w:rFonts w:asciiTheme="majorBidi" w:hAnsiTheme="majorBidi" w:cstheme="majorBidi"/>
          <w:b/>
          <w:bCs/>
          <w:sz w:val="24"/>
          <w:szCs w:val="24"/>
        </w:rPr>
        <w:t xml:space="preserve">able </w:t>
      </w:r>
      <w:r>
        <w:rPr>
          <w:rFonts w:asciiTheme="majorBidi" w:hAnsiTheme="majorBidi" w:cstheme="majorBidi"/>
          <w:b/>
          <w:bCs/>
          <w:sz w:val="24"/>
          <w:szCs w:val="24"/>
        </w:rPr>
        <w:t>S</w:t>
      </w:r>
      <w:r w:rsidR="00DF12F6" w:rsidRPr="001477FA">
        <w:rPr>
          <w:rFonts w:asciiTheme="majorBidi" w:hAnsiTheme="majorBidi" w:cstheme="majorBidi"/>
          <w:b/>
          <w:bCs/>
          <w:sz w:val="24"/>
          <w:szCs w:val="24"/>
        </w:rPr>
        <w:t xml:space="preserve">3. </w:t>
      </w:r>
      <w:r w:rsidR="00DF12F6" w:rsidRPr="001477FA">
        <w:rPr>
          <w:rFonts w:asciiTheme="majorBidi" w:hAnsiTheme="majorBidi" w:cstheme="majorBidi"/>
          <w:sz w:val="24"/>
          <w:szCs w:val="24"/>
        </w:rPr>
        <w:t>Standard deviation analysis (ANOVA) for the obtained data of removal efficiency</w:t>
      </w:r>
      <w:r w:rsidR="00CC74D3" w:rsidRPr="001477FA">
        <w:rPr>
          <w:rFonts w:asciiTheme="majorBidi" w:hAnsiTheme="majorBidi" w:cstheme="majorBidi"/>
          <w:sz w:val="24"/>
          <w:szCs w:val="24"/>
        </w:rPr>
        <w:t>.</w:t>
      </w:r>
    </w:p>
    <w:tbl>
      <w:tblPr>
        <w:tblW w:w="5000" w:type="pct"/>
        <w:jc w:val="center"/>
        <w:tblLook w:val="04A0" w:firstRow="1" w:lastRow="0" w:firstColumn="1" w:lastColumn="0" w:noHBand="0" w:noVBand="1"/>
      </w:tblPr>
      <w:tblGrid>
        <w:gridCol w:w="1631"/>
        <w:gridCol w:w="1997"/>
        <w:gridCol w:w="1739"/>
        <w:gridCol w:w="1084"/>
        <w:gridCol w:w="1166"/>
        <w:gridCol w:w="1743"/>
      </w:tblGrid>
      <w:tr w:rsidR="00DF12F6" w:rsidRPr="001477FA" w14:paraId="7A5C9650" w14:textId="77777777" w:rsidTr="00BA2717">
        <w:trPr>
          <w:trHeight w:val="20"/>
          <w:jc w:val="center"/>
        </w:trPr>
        <w:tc>
          <w:tcPr>
            <w:tcW w:w="871" w:type="pct"/>
            <w:tcBorders>
              <w:top w:val="single" w:sz="12" w:space="0" w:color="auto"/>
              <w:left w:val="nil"/>
              <w:bottom w:val="single" w:sz="12" w:space="0" w:color="auto"/>
              <w:right w:val="nil"/>
            </w:tcBorders>
            <w:vAlign w:val="center"/>
          </w:tcPr>
          <w:p w14:paraId="0997312C"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b/>
                <w:bCs/>
                <w:sz w:val="24"/>
                <w:szCs w:val="24"/>
              </w:rPr>
              <w:t>Source</w:t>
            </w:r>
          </w:p>
        </w:tc>
        <w:tc>
          <w:tcPr>
            <w:tcW w:w="1067" w:type="pct"/>
            <w:tcBorders>
              <w:top w:val="single" w:sz="12" w:space="0" w:color="auto"/>
              <w:left w:val="nil"/>
              <w:bottom w:val="single" w:sz="12" w:space="0" w:color="auto"/>
              <w:right w:val="nil"/>
            </w:tcBorders>
            <w:vAlign w:val="center"/>
          </w:tcPr>
          <w:p w14:paraId="08460B0D"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Sum of Squares</w:t>
            </w:r>
          </w:p>
        </w:tc>
        <w:tc>
          <w:tcPr>
            <w:tcW w:w="929" w:type="pct"/>
            <w:tcBorders>
              <w:top w:val="single" w:sz="12" w:space="0" w:color="auto"/>
              <w:left w:val="nil"/>
              <w:bottom w:val="single" w:sz="12" w:space="0" w:color="auto"/>
              <w:right w:val="nil"/>
            </w:tcBorders>
            <w:vAlign w:val="center"/>
          </w:tcPr>
          <w:p w14:paraId="0222AFB1"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Mean Square</w:t>
            </w:r>
          </w:p>
        </w:tc>
        <w:tc>
          <w:tcPr>
            <w:tcW w:w="579" w:type="pct"/>
            <w:tcBorders>
              <w:top w:val="single" w:sz="12" w:space="0" w:color="auto"/>
              <w:left w:val="nil"/>
              <w:bottom w:val="single" w:sz="12" w:space="0" w:color="auto"/>
              <w:right w:val="nil"/>
            </w:tcBorders>
            <w:vAlign w:val="center"/>
          </w:tcPr>
          <w:p w14:paraId="07BAD519"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F-value</w:t>
            </w:r>
          </w:p>
        </w:tc>
        <w:tc>
          <w:tcPr>
            <w:tcW w:w="623" w:type="pct"/>
            <w:tcBorders>
              <w:top w:val="single" w:sz="12" w:space="0" w:color="auto"/>
              <w:left w:val="nil"/>
              <w:bottom w:val="single" w:sz="12" w:space="0" w:color="auto"/>
              <w:right w:val="nil"/>
            </w:tcBorders>
            <w:vAlign w:val="center"/>
          </w:tcPr>
          <w:p w14:paraId="258DD19D"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p-value</w:t>
            </w:r>
          </w:p>
        </w:tc>
        <w:tc>
          <w:tcPr>
            <w:tcW w:w="931" w:type="pct"/>
            <w:tcBorders>
              <w:top w:val="single" w:sz="12" w:space="0" w:color="auto"/>
              <w:left w:val="nil"/>
              <w:bottom w:val="single" w:sz="12" w:space="0" w:color="auto"/>
              <w:right w:val="nil"/>
            </w:tcBorders>
            <w:vAlign w:val="center"/>
          </w:tcPr>
          <w:p w14:paraId="4CAF40FA" w14:textId="77777777" w:rsidR="00DF12F6" w:rsidRPr="001477FA" w:rsidRDefault="00DF12F6" w:rsidP="00BA2717">
            <w:pPr>
              <w:jc w:val="center"/>
              <w:rPr>
                <w:rFonts w:asciiTheme="majorBidi" w:hAnsiTheme="majorBidi" w:cstheme="majorBidi"/>
                <w:sz w:val="24"/>
                <w:szCs w:val="24"/>
              </w:rPr>
            </w:pPr>
          </w:p>
        </w:tc>
      </w:tr>
      <w:tr w:rsidR="00DF12F6" w:rsidRPr="001477FA" w14:paraId="2F257D0D" w14:textId="77777777" w:rsidTr="00BA2717">
        <w:trPr>
          <w:trHeight w:val="20"/>
          <w:jc w:val="center"/>
        </w:trPr>
        <w:tc>
          <w:tcPr>
            <w:tcW w:w="871" w:type="pct"/>
            <w:tcBorders>
              <w:top w:val="single" w:sz="12" w:space="0" w:color="auto"/>
              <w:left w:val="nil"/>
              <w:bottom w:val="nil"/>
              <w:right w:val="single" w:sz="2" w:space="0" w:color="auto"/>
            </w:tcBorders>
            <w:vAlign w:val="center"/>
          </w:tcPr>
          <w:p w14:paraId="4CFF7B57"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Model</w:t>
            </w:r>
          </w:p>
        </w:tc>
        <w:tc>
          <w:tcPr>
            <w:tcW w:w="1067" w:type="pct"/>
            <w:tcBorders>
              <w:top w:val="single" w:sz="12" w:space="0" w:color="auto"/>
              <w:left w:val="single" w:sz="2" w:space="0" w:color="auto"/>
              <w:bottom w:val="nil"/>
              <w:right w:val="nil"/>
            </w:tcBorders>
            <w:vAlign w:val="center"/>
          </w:tcPr>
          <w:p w14:paraId="002B914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1461.74</w:t>
            </w:r>
          </w:p>
        </w:tc>
        <w:tc>
          <w:tcPr>
            <w:tcW w:w="929" w:type="pct"/>
            <w:tcBorders>
              <w:top w:val="single" w:sz="12" w:space="0" w:color="auto"/>
              <w:left w:val="nil"/>
              <w:bottom w:val="nil"/>
              <w:right w:val="nil"/>
            </w:tcBorders>
            <w:vAlign w:val="center"/>
          </w:tcPr>
          <w:p w14:paraId="226FF328"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162.42</w:t>
            </w:r>
          </w:p>
        </w:tc>
        <w:tc>
          <w:tcPr>
            <w:tcW w:w="579" w:type="pct"/>
            <w:tcBorders>
              <w:top w:val="single" w:sz="12" w:space="0" w:color="auto"/>
              <w:left w:val="nil"/>
              <w:bottom w:val="nil"/>
              <w:right w:val="nil"/>
            </w:tcBorders>
            <w:vAlign w:val="center"/>
          </w:tcPr>
          <w:p w14:paraId="3BD01422"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206.90</w:t>
            </w:r>
          </w:p>
        </w:tc>
        <w:tc>
          <w:tcPr>
            <w:tcW w:w="623" w:type="pct"/>
            <w:tcBorders>
              <w:top w:val="single" w:sz="12" w:space="0" w:color="auto"/>
              <w:left w:val="nil"/>
              <w:bottom w:val="nil"/>
              <w:right w:val="nil"/>
            </w:tcBorders>
            <w:vAlign w:val="center"/>
          </w:tcPr>
          <w:p w14:paraId="38A132F8"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&lt; 0.0001</w:t>
            </w:r>
          </w:p>
        </w:tc>
        <w:tc>
          <w:tcPr>
            <w:tcW w:w="931" w:type="pct"/>
            <w:tcBorders>
              <w:top w:val="single" w:sz="12" w:space="0" w:color="auto"/>
              <w:left w:val="nil"/>
              <w:bottom w:val="nil"/>
              <w:right w:val="nil"/>
            </w:tcBorders>
            <w:vAlign w:val="center"/>
          </w:tcPr>
          <w:p w14:paraId="1B2D2D09"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significant</w:t>
            </w:r>
          </w:p>
        </w:tc>
      </w:tr>
      <w:tr w:rsidR="00DF12F6" w:rsidRPr="001477FA" w14:paraId="68F28A28" w14:textId="77777777" w:rsidTr="00BA2717">
        <w:trPr>
          <w:trHeight w:val="20"/>
          <w:jc w:val="center"/>
        </w:trPr>
        <w:tc>
          <w:tcPr>
            <w:tcW w:w="871" w:type="pct"/>
            <w:tcBorders>
              <w:top w:val="nil"/>
              <w:left w:val="nil"/>
              <w:bottom w:val="nil"/>
              <w:right w:val="single" w:sz="2" w:space="0" w:color="auto"/>
            </w:tcBorders>
            <w:vAlign w:val="center"/>
          </w:tcPr>
          <w:p w14:paraId="4C3B19D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A-pH</w:t>
            </w:r>
          </w:p>
        </w:tc>
        <w:tc>
          <w:tcPr>
            <w:tcW w:w="1067" w:type="pct"/>
            <w:tcBorders>
              <w:top w:val="nil"/>
              <w:left w:val="single" w:sz="2" w:space="0" w:color="auto"/>
              <w:bottom w:val="nil"/>
              <w:right w:val="nil"/>
            </w:tcBorders>
            <w:vAlign w:val="center"/>
          </w:tcPr>
          <w:p w14:paraId="125B16D7"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965.36</w:t>
            </w:r>
          </w:p>
        </w:tc>
        <w:tc>
          <w:tcPr>
            <w:tcW w:w="929" w:type="pct"/>
            <w:vAlign w:val="center"/>
          </w:tcPr>
          <w:p w14:paraId="4B87DF64"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965.36</w:t>
            </w:r>
          </w:p>
        </w:tc>
        <w:tc>
          <w:tcPr>
            <w:tcW w:w="579" w:type="pct"/>
            <w:vAlign w:val="center"/>
          </w:tcPr>
          <w:p w14:paraId="3691DC64"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1229.77</w:t>
            </w:r>
          </w:p>
        </w:tc>
        <w:tc>
          <w:tcPr>
            <w:tcW w:w="623" w:type="pct"/>
            <w:vAlign w:val="center"/>
          </w:tcPr>
          <w:p w14:paraId="14C0B2BC"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&lt; 0.0001</w:t>
            </w:r>
          </w:p>
        </w:tc>
        <w:tc>
          <w:tcPr>
            <w:tcW w:w="931" w:type="pct"/>
            <w:vAlign w:val="center"/>
          </w:tcPr>
          <w:p w14:paraId="3F9597EF" w14:textId="77777777" w:rsidR="00DF12F6" w:rsidRPr="001477FA" w:rsidRDefault="00DF12F6" w:rsidP="00BA2717">
            <w:pPr>
              <w:jc w:val="center"/>
              <w:rPr>
                <w:rFonts w:asciiTheme="majorBidi" w:hAnsiTheme="majorBidi" w:cstheme="majorBidi"/>
                <w:sz w:val="24"/>
                <w:szCs w:val="24"/>
              </w:rPr>
            </w:pPr>
          </w:p>
        </w:tc>
      </w:tr>
      <w:tr w:rsidR="00DF12F6" w:rsidRPr="001477FA" w14:paraId="73C121BC" w14:textId="77777777" w:rsidTr="00BA2717">
        <w:trPr>
          <w:trHeight w:val="20"/>
          <w:jc w:val="center"/>
        </w:trPr>
        <w:tc>
          <w:tcPr>
            <w:tcW w:w="871" w:type="pct"/>
            <w:tcBorders>
              <w:top w:val="nil"/>
              <w:left w:val="nil"/>
              <w:bottom w:val="nil"/>
              <w:right w:val="single" w:sz="2" w:space="0" w:color="auto"/>
            </w:tcBorders>
            <w:vAlign w:val="center"/>
          </w:tcPr>
          <w:p w14:paraId="3BAB14AC"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B-Initial concentration (mg/L)</w:t>
            </w:r>
          </w:p>
        </w:tc>
        <w:tc>
          <w:tcPr>
            <w:tcW w:w="1067" w:type="pct"/>
            <w:tcBorders>
              <w:top w:val="nil"/>
              <w:left w:val="single" w:sz="2" w:space="0" w:color="auto"/>
              <w:bottom w:val="nil"/>
              <w:right w:val="nil"/>
            </w:tcBorders>
            <w:vAlign w:val="center"/>
          </w:tcPr>
          <w:p w14:paraId="2D44D2CB"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353.25</w:t>
            </w:r>
          </w:p>
        </w:tc>
        <w:tc>
          <w:tcPr>
            <w:tcW w:w="929" w:type="pct"/>
            <w:tcBorders>
              <w:top w:val="single" w:sz="4" w:space="0" w:color="7F7F7F" w:themeColor="text1" w:themeTint="80"/>
              <w:bottom w:val="single" w:sz="4" w:space="0" w:color="7F7F7F" w:themeColor="text1" w:themeTint="80"/>
            </w:tcBorders>
            <w:vAlign w:val="center"/>
          </w:tcPr>
          <w:p w14:paraId="4457741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353.25</w:t>
            </w:r>
          </w:p>
        </w:tc>
        <w:tc>
          <w:tcPr>
            <w:tcW w:w="579" w:type="pct"/>
            <w:tcBorders>
              <w:top w:val="single" w:sz="4" w:space="0" w:color="7F7F7F" w:themeColor="text1" w:themeTint="80"/>
              <w:bottom w:val="single" w:sz="4" w:space="0" w:color="7F7F7F" w:themeColor="text1" w:themeTint="80"/>
            </w:tcBorders>
            <w:vAlign w:val="center"/>
          </w:tcPr>
          <w:p w14:paraId="6A0D4EA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450.00</w:t>
            </w:r>
          </w:p>
        </w:tc>
        <w:tc>
          <w:tcPr>
            <w:tcW w:w="623" w:type="pct"/>
            <w:tcBorders>
              <w:top w:val="single" w:sz="4" w:space="0" w:color="7F7F7F" w:themeColor="text1" w:themeTint="80"/>
              <w:bottom w:val="single" w:sz="4" w:space="0" w:color="7F7F7F" w:themeColor="text1" w:themeTint="80"/>
            </w:tcBorders>
            <w:vAlign w:val="center"/>
          </w:tcPr>
          <w:p w14:paraId="1B8E39C7"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&lt; 0.0001</w:t>
            </w:r>
          </w:p>
        </w:tc>
        <w:tc>
          <w:tcPr>
            <w:tcW w:w="931" w:type="pct"/>
            <w:tcBorders>
              <w:top w:val="single" w:sz="4" w:space="0" w:color="7F7F7F" w:themeColor="text1" w:themeTint="80"/>
              <w:bottom w:val="single" w:sz="4" w:space="0" w:color="7F7F7F" w:themeColor="text1" w:themeTint="80"/>
            </w:tcBorders>
            <w:vAlign w:val="center"/>
          </w:tcPr>
          <w:p w14:paraId="3A4B3F1D" w14:textId="77777777" w:rsidR="00DF12F6" w:rsidRPr="001477FA" w:rsidRDefault="00DF12F6" w:rsidP="00BA2717">
            <w:pPr>
              <w:jc w:val="center"/>
              <w:rPr>
                <w:rFonts w:asciiTheme="majorBidi" w:hAnsiTheme="majorBidi" w:cstheme="majorBidi"/>
                <w:sz w:val="24"/>
                <w:szCs w:val="24"/>
              </w:rPr>
            </w:pPr>
          </w:p>
        </w:tc>
      </w:tr>
      <w:tr w:rsidR="00DF12F6" w:rsidRPr="001477FA" w14:paraId="27E04580" w14:textId="77777777" w:rsidTr="00BA2717">
        <w:trPr>
          <w:trHeight w:val="20"/>
          <w:jc w:val="center"/>
        </w:trPr>
        <w:tc>
          <w:tcPr>
            <w:tcW w:w="871" w:type="pct"/>
            <w:tcBorders>
              <w:top w:val="nil"/>
              <w:left w:val="nil"/>
              <w:bottom w:val="nil"/>
              <w:right w:val="single" w:sz="2" w:space="0" w:color="auto"/>
            </w:tcBorders>
            <w:vAlign w:val="center"/>
          </w:tcPr>
          <w:p w14:paraId="53382035"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C-Flow rate (mL/min)</w:t>
            </w:r>
          </w:p>
        </w:tc>
        <w:tc>
          <w:tcPr>
            <w:tcW w:w="1067" w:type="pct"/>
            <w:tcBorders>
              <w:top w:val="nil"/>
              <w:left w:val="single" w:sz="2" w:space="0" w:color="auto"/>
              <w:bottom w:val="nil"/>
              <w:right w:val="nil"/>
            </w:tcBorders>
            <w:vAlign w:val="center"/>
          </w:tcPr>
          <w:p w14:paraId="2B387549"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104.11</w:t>
            </w:r>
          </w:p>
        </w:tc>
        <w:tc>
          <w:tcPr>
            <w:tcW w:w="929" w:type="pct"/>
            <w:vAlign w:val="center"/>
          </w:tcPr>
          <w:p w14:paraId="2FF837CE"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104.11</w:t>
            </w:r>
          </w:p>
        </w:tc>
        <w:tc>
          <w:tcPr>
            <w:tcW w:w="579" w:type="pct"/>
            <w:vAlign w:val="center"/>
          </w:tcPr>
          <w:p w14:paraId="60819BD9"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132.63</w:t>
            </w:r>
          </w:p>
        </w:tc>
        <w:tc>
          <w:tcPr>
            <w:tcW w:w="623" w:type="pct"/>
            <w:vAlign w:val="center"/>
          </w:tcPr>
          <w:p w14:paraId="6744AEA5"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&lt; 0.0001</w:t>
            </w:r>
          </w:p>
        </w:tc>
        <w:tc>
          <w:tcPr>
            <w:tcW w:w="931" w:type="pct"/>
            <w:vAlign w:val="center"/>
          </w:tcPr>
          <w:p w14:paraId="50ECCF79" w14:textId="77777777" w:rsidR="00DF12F6" w:rsidRPr="001477FA" w:rsidRDefault="00DF12F6" w:rsidP="00BA2717">
            <w:pPr>
              <w:jc w:val="center"/>
              <w:rPr>
                <w:rFonts w:asciiTheme="majorBidi" w:hAnsiTheme="majorBidi" w:cstheme="majorBidi"/>
                <w:sz w:val="24"/>
                <w:szCs w:val="24"/>
              </w:rPr>
            </w:pPr>
          </w:p>
        </w:tc>
      </w:tr>
      <w:tr w:rsidR="00DF12F6" w:rsidRPr="001477FA" w14:paraId="3752A3D7" w14:textId="77777777" w:rsidTr="00BA2717">
        <w:trPr>
          <w:trHeight w:val="20"/>
          <w:jc w:val="center"/>
        </w:trPr>
        <w:tc>
          <w:tcPr>
            <w:tcW w:w="871" w:type="pct"/>
            <w:tcBorders>
              <w:top w:val="nil"/>
              <w:left w:val="nil"/>
              <w:bottom w:val="nil"/>
              <w:right w:val="single" w:sz="2" w:space="0" w:color="auto"/>
            </w:tcBorders>
            <w:vAlign w:val="center"/>
          </w:tcPr>
          <w:p w14:paraId="61D71298"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AB</w:t>
            </w:r>
          </w:p>
        </w:tc>
        <w:tc>
          <w:tcPr>
            <w:tcW w:w="1067" w:type="pct"/>
            <w:tcBorders>
              <w:top w:val="nil"/>
              <w:left w:val="single" w:sz="2" w:space="0" w:color="auto"/>
              <w:bottom w:val="nil"/>
              <w:right w:val="nil"/>
            </w:tcBorders>
            <w:vAlign w:val="center"/>
          </w:tcPr>
          <w:p w14:paraId="12F13BEB"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3.59</w:t>
            </w:r>
          </w:p>
        </w:tc>
        <w:tc>
          <w:tcPr>
            <w:tcW w:w="929" w:type="pct"/>
            <w:tcBorders>
              <w:top w:val="single" w:sz="4" w:space="0" w:color="7F7F7F" w:themeColor="text1" w:themeTint="80"/>
              <w:bottom w:val="single" w:sz="4" w:space="0" w:color="7F7F7F" w:themeColor="text1" w:themeTint="80"/>
            </w:tcBorders>
            <w:vAlign w:val="center"/>
          </w:tcPr>
          <w:p w14:paraId="4B94730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3.59</w:t>
            </w:r>
          </w:p>
        </w:tc>
        <w:tc>
          <w:tcPr>
            <w:tcW w:w="579" w:type="pct"/>
            <w:tcBorders>
              <w:top w:val="single" w:sz="4" w:space="0" w:color="7F7F7F" w:themeColor="text1" w:themeTint="80"/>
              <w:bottom w:val="single" w:sz="4" w:space="0" w:color="7F7F7F" w:themeColor="text1" w:themeTint="80"/>
            </w:tcBorders>
            <w:vAlign w:val="center"/>
          </w:tcPr>
          <w:p w14:paraId="190D800E"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4.57</w:t>
            </w:r>
          </w:p>
        </w:tc>
        <w:tc>
          <w:tcPr>
            <w:tcW w:w="623" w:type="pct"/>
            <w:tcBorders>
              <w:top w:val="single" w:sz="4" w:space="0" w:color="7F7F7F" w:themeColor="text1" w:themeTint="80"/>
              <w:bottom w:val="single" w:sz="4" w:space="0" w:color="7F7F7F" w:themeColor="text1" w:themeTint="80"/>
            </w:tcBorders>
            <w:vAlign w:val="center"/>
          </w:tcPr>
          <w:p w14:paraId="35F64884"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0.0854</w:t>
            </w:r>
          </w:p>
        </w:tc>
        <w:tc>
          <w:tcPr>
            <w:tcW w:w="931" w:type="pct"/>
            <w:tcBorders>
              <w:top w:val="single" w:sz="4" w:space="0" w:color="7F7F7F" w:themeColor="text1" w:themeTint="80"/>
              <w:bottom w:val="single" w:sz="4" w:space="0" w:color="7F7F7F" w:themeColor="text1" w:themeTint="80"/>
            </w:tcBorders>
            <w:vAlign w:val="center"/>
          </w:tcPr>
          <w:p w14:paraId="4448C8F8" w14:textId="77777777" w:rsidR="00DF12F6" w:rsidRPr="001477FA" w:rsidRDefault="00DF12F6" w:rsidP="00BA2717">
            <w:pPr>
              <w:jc w:val="center"/>
              <w:rPr>
                <w:rFonts w:asciiTheme="majorBidi" w:hAnsiTheme="majorBidi" w:cstheme="majorBidi"/>
                <w:sz w:val="24"/>
                <w:szCs w:val="24"/>
              </w:rPr>
            </w:pPr>
          </w:p>
        </w:tc>
      </w:tr>
      <w:tr w:rsidR="00DF12F6" w:rsidRPr="001477FA" w14:paraId="014AECB0" w14:textId="77777777" w:rsidTr="00BA2717">
        <w:trPr>
          <w:trHeight w:val="20"/>
          <w:jc w:val="center"/>
        </w:trPr>
        <w:tc>
          <w:tcPr>
            <w:tcW w:w="871" w:type="pct"/>
            <w:tcBorders>
              <w:top w:val="nil"/>
              <w:left w:val="nil"/>
              <w:bottom w:val="nil"/>
              <w:right w:val="single" w:sz="2" w:space="0" w:color="auto"/>
            </w:tcBorders>
            <w:vAlign w:val="center"/>
          </w:tcPr>
          <w:p w14:paraId="78644F7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AC</w:t>
            </w:r>
          </w:p>
        </w:tc>
        <w:tc>
          <w:tcPr>
            <w:tcW w:w="1067" w:type="pct"/>
            <w:tcBorders>
              <w:top w:val="nil"/>
              <w:left w:val="single" w:sz="2" w:space="0" w:color="auto"/>
              <w:bottom w:val="nil"/>
              <w:right w:val="nil"/>
            </w:tcBorders>
            <w:vAlign w:val="center"/>
          </w:tcPr>
          <w:p w14:paraId="3B49525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0.1806</w:t>
            </w:r>
          </w:p>
        </w:tc>
        <w:tc>
          <w:tcPr>
            <w:tcW w:w="929" w:type="pct"/>
            <w:vAlign w:val="center"/>
          </w:tcPr>
          <w:p w14:paraId="06E87973"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0.1806</w:t>
            </w:r>
          </w:p>
        </w:tc>
        <w:tc>
          <w:tcPr>
            <w:tcW w:w="579" w:type="pct"/>
            <w:vAlign w:val="center"/>
          </w:tcPr>
          <w:p w14:paraId="1F87D9D7"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0.2301</w:t>
            </w:r>
          </w:p>
        </w:tc>
        <w:tc>
          <w:tcPr>
            <w:tcW w:w="623" w:type="pct"/>
            <w:vAlign w:val="center"/>
          </w:tcPr>
          <w:p w14:paraId="39BCD543"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0.6517</w:t>
            </w:r>
          </w:p>
        </w:tc>
        <w:tc>
          <w:tcPr>
            <w:tcW w:w="931" w:type="pct"/>
            <w:vAlign w:val="center"/>
          </w:tcPr>
          <w:p w14:paraId="1C4E421C" w14:textId="77777777" w:rsidR="00DF12F6" w:rsidRPr="001477FA" w:rsidRDefault="00DF12F6" w:rsidP="00BA2717">
            <w:pPr>
              <w:jc w:val="center"/>
              <w:rPr>
                <w:rFonts w:asciiTheme="majorBidi" w:hAnsiTheme="majorBidi" w:cstheme="majorBidi"/>
                <w:sz w:val="24"/>
                <w:szCs w:val="24"/>
              </w:rPr>
            </w:pPr>
          </w:p>
        </w:tc>
      </w:tr>
      <w:tr w:rsidR="00DF12F6" w:rsidRPr="001477FA" w14:paraId="2E54A0BB" w14:textId="77777777" w:rsidTr="00BA2717">
        <w:trPr>
          <w:trHeight w:val="20"/>
          <w:jc w:val="center"/>
        </w:trPr>
        <w:tc>
          <w:tcPr>
            <w:tcW w:w="871" w:type="pct"/>
            <w:tcBorders>
              <w:top w:val="nil"/>
              <w:left w:val="nil"/>
              <w:bottom w:val="nil"/>
              <w:right w:val="single" w:sz="2" w:space="0" w:color="auto"/>
            </w:tcBorders>
            <w:vAlign w:val="center"/>
          </w:tcPr>
          <w:p w14:paraId="3266DE7A"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BC</w:t>
            </w:r>
          </w:p>
        </w:tc>
        <w:tc>
          <w:tcPr>
            <w:tcW w:w="1067" w:type="pct"/>
            <w:tcBorders>
              <w:top w:val="nil"/>
              <w:left w:val="single" w:sz="2" w:space="0" w:color="auto"/>
              <w:bottom w:val="nil"/>
              <w:right w:val="nil"/>
            </w:tcBorders>
            <w:vAlign w:val="center"/>
          </w:tcPr>
          <w:p w14:paraId="2F71AD3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30.42</w:t>
            </w:r>
          </w:p>
        </w:tc>
        <w:tc>
          <w:tcPr>
            <w:tcW w:w="929" w:type="pct"/>
            <w:tcBorders>
              <w:top w:val="single" w:sz="4" w:space="0" w:color="7F7F7F" w:themeColor="text1" w:themeTint="80"/>
              <w:bottom w:val="single" w:sz="4" w:space="0" w:color="7F7F7F" w:themeColor="text1" w:themeTint="80"/>
            </w:tcBorders>
            <w:vAlign w:val="center"/>
          </w:tcPr>
          <w:p w14:paraId="370DD8A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30.42</w:t>
            </w:r>
          </w:p>
        </w:tc>
        <w:tc>
          <w:tcPr>
            <w:tcW w:w="579" w:type="pct"/>
            <w:tcBorders>
              <w:top w:val="single" w:sz="4" w:space="0" w:color="7F7F7F" w:themeColor="text1" w:themeTint="80"/>
              <w:bottom w:val="single" w:sz="4" w:space="0" w:color="7F7F7F" w:themeColor="text1" w:themeTint="80"/>
            </w:tcBorders>
            <w:vAlign w:val="center"/>
          </w:tcPr>
          <w:p w14:paraId="293C4D94"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38.75</w:t>
            </w:r>
          </w:p>
        </w:tc>
        <w:tc>
          <w:tcPr>
            <w:tcW w:w="623" w:type="pct"/>
            <w:tcBorders>
              <w:top w:val="single" w:sz="4" w:space="0" w:color="7F7F7F" w:themeColor="text1" w:themeTint="80"/>
              <w:bottom w:val="single" w:sz="4" w:space="0" w:color="7F7F7F" w:themeColor="text1" w:themeTint="80"/>
            </w:tcBorders>
            <w:vAlign w:val="center"/>
          </w:tcPr>
          <w:p w14:paraId="0978E1AA"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0.0016</w:t>
            </w:r>
          </w:p>
        </w:tc>
        <w:tc>
          <w:tcPr>
            <w:tcW w:w="931" w:type="pct"/>
            <w:tcBorders>
              <w:top w:val="single" w:sz="4" w:space="0" w:color="7F7F7F" w:themeColor="text1" w:themeTint="80"/>
              <w:bottom w:val="single" w:sz="4" w:space="0" w:color="7F7F7F" w:themeColor="text1" w:themeTint="80"/>
            </w:tcBorders>
            <w:vAlign w:val="center"/>
          </w:tcPr>
          <w:p w14:paraId="7D75E163" w14:textId="77777777" w:rsidR="00DF12F6" w:rsidRPr="001477FA" w:rsidRDefault="00DF12F6" w:rsidP="00BA2717">
            <w:pPr>
              <w:jc w:val="center"/>
              <w:rPr>
                <w:rFonts w:asciiTheme="majorBidi" w:hAnsiTheme="majorBidi" w:cstheme="majorBidi"/>
                <w:sz w:val="24"/>
                <w:szCs w:val="24"/>
              </w:rPr>
            </w:pPr>
          </w:p>
        </w:tc>
      </w:tr>
      <w:tr w:rsidR="00DF12F6" w:rsidRPr="001477FA" w14:paraId="34AE4A89" w14:textId="77777777" w:rsidTr="00BA2717">
        <w:trPr>
          <w:trHeight w:val="20"/>
          <w:jc w:val="center"/>
        </w:trPr>
        <w:tc>
          <w:tcPr>
            <w:tcW w:w="871" w:type="pct"/>
            <w:tcBorders>
              <w:top w:val="nil"/>
              <w:left w:val="nil"/>
              <w:bottom w:val="nil"/>
              <w:right w:val="single" w:sz="2" w:space="0" w:color="auto"/>
            </w:tcBorders>
            <w:vAlign w:val="center"/>
          </w:tcPr>
          <w:p w14:paraId="7FA6F2E2"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A²</w:t>
            </w:r>
          </w:p>
        </w:tc>
        <w:tc>
          <w:tcPr>
            <w:tcW w:w="1067" w:type="pct"/>
            <w:tcBorders>
              <w:top w:val="nil"/>
              <w:left w:val="single" w:sz="2" w:space="0" w:color="auto"/>
              <w:bottom w:val="nil"/>
              <w:right w:val="nil"/>
            </w:tcBorders>
            <w:vAlign w:val="center"/>
          </w:tcPr>
          <w:p w14:paraId="42C0B6D9"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3.25</w:t>
            </w:r>
          </w:p>
        </w:tc>
        <w:tc>
          <w:tcPr>
            <w:tcW w:w="929" w:type="pct"/>
            <w:vAlign w:val="center"/>
          </w:tcPr>
          <w:p w14:paraId="7633684A"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3.25</w:t>
            </w:r>
          </w:p>
        </w:tc>
        <w:tc>
          <w:tcPr>
            <w:tcW w:w="579" w:type="pct"/>
            <w:vAlign w:val="center"/>
          </w:tcPr>
          <w:p w14:paraId="2D34C75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4.14</w:t>
            </w:r>
          </w:p>
        </w:tc>
        <w:tc>
          <w:tcPr>
            <w:tcW w:w="623" w:type="pct"/>
            <w:vAlign w:val="center"/>
          </w:tcPr>
          <w:p w14:paraId="5CCFE9CF"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0.0976</w:t>
            </w:r>
          </w:p>
        </w:tc>
        <w:tc>
          <w:tcPr>
            <w:tcW w:w="931" w:type="pct"/>
            <w:vAlign w:val="center"/>
          </w:tcPr>
          <w:p w14:paraId="2F49938D" w14:textId="77777777" w:rsidR="00DF12F6" w:rsidRPr="001477FA" w:rsidRDefault="00DF12F6" w:rsidP="00BA2717">
            <w:pPr>
              <w:jc w:val="center"/>
              <w:rPr>
                <w:rFonts w:asciiTheme="majorBidi" w:hAnsiTheme="majorBidi" w:cstheme="majorBidi"/>
                <w:sz w:val="24"/>
                <w:szCs w:val="24"/>
              </w:rPr>
            </w:pPr>
          </w:p>
        </w:tc>
      </w:tr>
      <w:tr w:rsidR="00DF12F6" w:rsidRPr="001477FA" w14:paraId="03470EDE" w14:textId="77777777" w:rsidTr="00BA2717">
        <w:trPr>
          <w:trHeight w:val="20"/>
          <w:jc w:val="center"/>
        </w:trPr>
        <w:tc>
          <w:tcPr>
            <w:tcW w:w="871" w:type="pct"/>
            <w:tcBorders>
              <w:top w:val="nil"/>
              <w:left w:val="nil"/>
              <w:bottom w:val="nil"/>
              <w:right w:val="single" w:sz="2" w:space="0" w:color="auto"/>
            </w:tcBorders>
            <w:vAlign w:val="center"/>
          </w:tcPr>
          <w:p w14:paraId="1D6E3A18"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B²</w:t>
            </w:r>
          </w:p>
        </w:tc>
        <w:tc>
          <w:tcPr>
            <w:tcW w:w="1067" w:type="pct"/>
            <w:tcBorders>
              <w:top w:val="nil"/>
              <w:left w:val="single" w:sz="2" w:space="0" w:color="auto"/>
              <w:bottom w:val="nil"/>
              <w:right w:val="nil"/>
            </w:tcBorders>
            <w:vAlign w:val="center"/>
          </w:tcPr>
          <w:p w14:paraId="28B779C5"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0.4975</w:t>
            </w:r>
          </w:p>
        </w:tc>
        <w:tc>
          <w:tcPr>
            <w:tcW w:w="929" w:type="pct"/>
            <w:tcBorders>
              <w:top w:val="single" w:sz="4" w:space="0" w:color="7F7F7F" w:themeColor="text1" w:themeTint="80"/>
              <w:bottom w:val="single" w:sz="4" w:space="0" w:color="7F7F7F" w:themeColor="text1" w:themeTint="80"/>
            </w:tcBorders>
            <w:vAlign w:val="center"/>
          </w:tcPr>
          <w:p w14:paraId="21C7463F"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0.4975</w:t>
            </w:r>
          </w:p>
        </w:tc>
        <w:tc>
          <w:tcPr>
            <w:tcW w:w="579" w:type="pct"/>
            <w:tcBorders>
              <w:top w:val="single" w:sz="4" w:space="0" w:color="7F7F7F" w:themeColor="text1" w:themeTint="80"/>
              <w:bottom w:val="single" w:sz="4" w:space="0" w:color="7F7F7F" w:themeColor="text1" w:themeTint="80"/>
            </w:tcBorders>
            <w:vAlign w:val="center"/>
          </w:tcPr>
          <w:p w14:paraId="74DEA3E5"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0.6338</w:t>
            </w:r>
          </w:p>
        </w:tc>
        <w:tc>
          <w:tcPr>
            <w:tcW w:w="623" w:type="pct"/>
            <w:tcBorders>
              <w:top w:val="single" w:sz="4" w:space="0" w:color="7F7F7F" w:themeColor="text1" w:themeTint="80"/>
              <w:bottom w:val="single" w:sz="4" w:space="0" w:color="7F7F7F" w:themeColor="text1" w:themeTint="80"/>
            </w:tcBorders>
            <w:vAlign w:val="center"/>
          </w:tcPr>
          <w:p w14:paraId="1C426D32"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0.4621</w:t>
            </w:r>
          </w:p>
        </w:tc>
        <w:tc>
          <w:tcPr>
            <w:tcW w:w="931" w:type="pct"/>
            <w:tcBorders>
              <w:top w:val="single" w:sz="4" w:space="0" w:color="7F7F7F" w:themeColor="text1" w:themeTint="80"/>
              <w:bottom w:val="single" w:sz="4" w:space="0" w:color="7F7F7F" w:themeColor="text1" w:themeTint="80"/>
            </w:tcBorders>
            <w:vAlign w:val="center"/>
          </w:tcPr>
          <w:p w14:paraId="3B63EB4F" w14:textId="77777777" w:rsidR="00DF12F6" w:rsidRPr="001477FA" w:rsidRDefault="00DF12F6" w:rsidP="00BA2717">
            <w:pPr>
              <w:jc w:val="center"/>
              <w:rPr>
                <w:rFonts w:asciiTheme="majorBidi" w:hAnsiTheme="majorBidi" w:cstheme="majorBidi"/>
                <w:sz w:val="24"/>
                <w:szCs w:val="24"/>
              </w:rPr>
            </w:pPr>
          </w:p>
        </w:tc>
      </w:tr>
      <w:tr w:rsidR="00DF12F6" w:rsidRPr="001477FA" w14:paraId="3AE53BB3" w14:textId="77777777" w:rsidTr="00BA2717">
        <w:trPr>
          <w:trHeight w:val="20"/>
          <w:jc w:val="center"/>
        </w:trPr>
        <w:tc>
          <w:tcPr>
            <w:tcW w:w="871" w:type="pct"/>
            <w:tcBorders>
              <w:top w:val="nil"/>
              <w:left w:val="nil"/>
              <w:bottom w:val="nil"/>
              <w:right w:val="single" w:sz="2" w:space="0" w:color="auto"/>
            </w:tcBorders>
            <w:vAlign w:val="center"/>
          </w:tcPr>
          <w:p w14:paraId="581213F8"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C²</w:t>
            </w:r>
          </w:p>
        </w:tc>
        <w:tc>
          <w:tcPr>
            <w:tcW w:w="1067" w:type="pct"/>
            <w:tcBorders>
              <w:top w:val="nil"/>
              <w:left w:val="single" w:sz="2" w:space="0" w:color="auto"/>
              <w:bottom w:val="nil"/>
              <w:right w:val="nil"/>
            </w:tcBorders>
            <w:vAlign w:val="center"/>
          </w:tcPr>
          <w:p w14:paraId="4894E93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1.01</w:t>
            </w:r>
          </w:p>
        </w:tc>
        <w:tc>
          <w:tcPr>
            <w:tcW w:w="929" w:type="pct"/>
            <w:vAlign w:val="center"/>
          </w:tcPr>
          <w:p w14:paraId="13C39E7A"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1.01</w:t>
            </w:r>
          </w:p>
        </w:tc>
        <w:tc>
          <w:tcPr>
            <w:tcW w:w="579" w:type="pct"/>
            <w:vAlign w:val="center"/>
          </w:tcPr>
          <w:p w14:paraId="52A36A5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1.29</w:t>
            </w:r>
          </w:p>
        </w:tc>
        <w:tc>
          <w:tcPr>
            <w:tcW w:w="623" w:type="pct"/>
            <w:vAlign w:val="center"/>
          </w:tcPr>
          <w:p w14:paraId="62335209"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0.3082</w:t>
            </w:r>
          </w:p>
        </w:tc>
        <w:tc>
          <w:tcPr>
            <w:tcW w:w="931" w:type="pct"/>
            <w:vAlign w:val="center"/>
          </w:tcPr>
          <w:p w14:paraId="65DF1994" w14:textId="77777777" w:rsidR="00DF12F6" w:rsidRPr="001477FA" w:rsidRDefault="00DF12F6" w:rsidP="00BA2717">
            <w:pPr>
              <w:jc w:val="center"/>
              <w:rPr>
                <w:rFonts w:asciiTheme="majorBidi" w:hAnsiTheme="majorBidi" w:cstheme="majorBidi"/>
                <w:sz w:val="24"/>
                <w:szCs w:val="24"/>
              </w:rPr>
            </w:pPr>
          </w:p>
        </w:tc>
      </w:tr>
      <w:tr w:rsidR="00DF12F6" w:rsidRPr="001477FA" w14:paraId="3178AE36" w14:textId="77777777" w:rsidTr="00BA2717">
        <w:trPr>
          <w:trHeight w:val="20"/>
          <w:jc w:val="center"/>
        </w:trPr>
        <w:tc>
          <w:tcPr>
            <w:tcW w:w="871" w:type="pct"/>
            <w:tcBorders>
              <w:top w:val="nil"/>
              <w:left w:val="nil"/>
              <w:bottom w:val="nil"/>
              <w:right w:val="single" w:sz="2" w:space="0" w:color="auto"/>
            </w:tcBorders>
            <w:vAlign w:val="center"/>
          </w:tcPr>
          <w:p w14:paraId="0730225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Residual</w:t>
            </w:r>
          </w:p>
        </w:tc>
        <w:tc>
          <w:tcPr>
            <w:tcW w:w="1067" w:type="pct"/>
            <w:tcBorders>
              <w:top w:val="nil"/>
              <w:left w:val="single" w:sz="2" w:space="0" w:color="auto"/>
              <w:bottom w:val="nil"/>
              <w:right w:val="nil"/>
            </w:tcBorders>
            <w:vAlign w:val="center"/>
          </w:tcPr>
          <w:p w14:paraId="5CA11A32"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3.92</w:t>
            </w:r>
          </w:p>
        </w:tc>
        <w:tc>
          <w:tcPr>
            <w:tcW w:w="929" w:type="pct"/>
            <w:tcBorders>
              <w:top w:val="single" w:sz="4" w:space="0" w:color="7F7F7F" w:themeColor="text1" w:themeTint="80"/>
              <w:bottom w:val="single" w:sz="4" w:space="0" w:color="7F7F7F" w:themeColor="text1" w:themeTint="80"/>
            </w:tcBorders>
            <w:vAlign w:val="center"/>
          </w:tcPr>
          <w:p w14:paraId="2B76E6C7"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0.7850</w:t>
            </w:r>
          </w:p>
        </w:tc>
        <w:tc>
          <w:tcPr>
            <w:tcW w:w="579" w:type="pct"/>
            <w:tcBorders>
              <w:top w:val="single" w:sz="4" w:space="0" w:color="7F7F7F" w:themeColor="text1" w:themeTint="80"/>
              <w:bottom w:val="single" w:sz="4" w:space="0" w:color="7F7F7F" w:themeColor="text1" w:themeTint="80"/>
            </w:tcBorders>
            <w:vAlign w:val="center"/>
          </w:tcPr>
          <w:p w14:paraId="0B802861" w14:textId="77777777" w:rsidR="00DF12F6" w:rsidRPr="001477FA" w:rsidRDefault="00DF12F6" w:rsidP="00BA2717">
            <w:pPr>
              <w:jc w:val="center"/>
              <w:rPr>
                <w:rFonts w:asciiTheme="majorBidi" w:hAnsiTheme="majorBidi" w:cstheme="majorBidi"/>
                <w:sz w:val="24"/>
                <w:szCs w:val="24"/>
              </w:rPr>
            </w:pPr>
          </w:p>
        </w:tc>
        <w:tc>
          <w:tcPr>
            <w:tcW w:w="623" w:type="pct"/>
            <w:tcBorders>
              <w:top w:val="single" w:sz="4" w:space="0" w:color="7F7F7F" w:themeColor="text1" w:themeTint="80"/>
              <w:bottom w:val="single" w:sz="4" w:space="0" w:color="7F7F7F" w:themeColor="text1" w:themeTint="80"/>
            </w:tcBorders>
            <w:vAlign w:val="center"/>
          </w:tcPr>
          <w:p w14:paraId="4E99BAAC" w14:textId="77777777" w:rsidR="00DF12F6" w:rsidRPr="001477FA" w:rsidRDefault="00DF12F6" w:rsidP="00BA2717">
            <w:pPr>
              <w:jc w:val="center"/>
              <w:rPr>
                <w:rFonts w:asciiTheme="majorBidi" w:hAnsiTheme="majorBidi" w:cstheme="majorBidi"/>
                <w:sz w:val="24"/>
                <w:szCs w:val="24"/>
              </w:rPr>
            </w:pPr>
          </w:p>
        </w:tc>
        <w:tc>
          <w:tcPr>
            <w:tcW w:w="931" w:type="pct"/>
            <w:tcBorders>
              <w:top w:val="single" w:sz="4" w:space="0" w:color="7F7F7F" w:themeColor="text1" w:themeTint="80"/>
              <w:bottom w:val="single" w:sz="4" w:space="0" w:color="7F7F7F" w:themeColor="text1" w:themeTint="80"/>
            </w:tcBorders>
            <w:vAlign w:val="center"/>
          </w:tcPr>
          <w:p w14:paraId="7A9B437B" w14:textId="77777777" w:rsidR="00DF12F6" w:rsidRPr="001477FA" w:rsidRDefault="00DF12F6" w:rsidP="00BA2717">
            <w:pPr>
              <w:jc w:val="center"/>
              <w:rPr>
                <w:rFonts w:asciiTheme="majorBidi" w:hAnsiTheme="majorBidi" w:cstheme="majorBidi"/>
                <w:sz w:val="24"/>
                <w:szCs w:val="24"/>
              </w:rPr>
            </w:pPr>
          </w:p>
        </w:tc>
      </w:tr>
      <w:tr w:rsidR="00DF12F6" w:rsidRPr="001477FA" w14:paraId="5B667138" w14:textId="77777777" w:rsidTr="00BA2717">
        <w:trPr>
          <w:trHeight w:val="20"/>
          <w:jc w:val="center"/>
        </w:trPr>
        <w:tc>
          <w:tcPr>
            <w:tcW w:w="871" w:type="pct"/>
            <w:tcBorders>
              <w:top w:val="nil"/>
              <w:left w:val="nil"/>
              <w:bottom w:val="nil"/>
              <w:right w:val="single" w:sz="2" w:space="0" w:color="auto"/>
            </w:tcBorders>
            <w:vAlign w:val="center"/>
          </w:tcPr>
          <w:p w14:paraId="7DC01013"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Lack of Fit</w:t>
            </w:r>
          </w:p>
        </w:tc>
        <w:tc>
          <w:tcPr>
            <w:tcW w:w="1067" w:type="pct"/>
            <w:tcBorders>
              <w:top w:val="nil"/>
              <w:left w:val="single" w:sz="2" w:space="0" w:color="auto"/>
              <w:bottom w:val="nil"/>
              <w:right w:val="nil"/>
            </w:tcBorders>
            <w:vAlign w:val="center"/>
          </w:tcPr>
          <w:p w14:paraId="4C35AD86"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3.74</w:t>
            </w:r>
          </w:p>
        </w:tc>
        <w:tc>
          <w:tcPr>
            <w:tcW w:w="929" w:type="pct"/>
            <w:vAlign w:val="center"/>
          </w:tcPr>
          <w:p w14:paraId="424EDB0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1.25</w:t>
            </w:r>
          </w:p>
        </w:tc>
        <w:tc>
          <w:tcPr>
            <w:tcW w:w="579" w:type="pct"/>
            <w:vAlign w:val="center"/>
          </w:tcPr>
          <w:p w14:paraId="6634695D"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13.85</w:t>
            </w:r>
          </w:p>
        </w:tc>
        <w:tc>
          <w:tcPr>
            <w:tcW w:w="623" w:type="pct"/>
            <w:vAlign w:val="center"/>
          </w:tcPr>
          <w:p w14:paraId="03BAF0E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0.0681</w:t>
            </w:r>
          </w:p>
        </w:tc>
        <w:tc>
          <w:tcPr>
            <w:tcW w:w="931" w:type="pct"/>
            <w:vAlign w:val="center"/>
          </w:tcPr>
          <w:p w14:paraId="35B77DEB"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not significant</w:t>
            </w:r>
          </w:p>
        </w:tc>
      </w:tr>
      <w:tr w:rsidR="00DF12F6" w:rsidRPr="001477FA" w14:paraId="0AB5CF11" w14:textId="77777777" w:rsidTr="00BA2717">
        <w:trPr>
          <w:trHeight w:val="20"/>
          <w:jc w:val="center"/>
        </w:trPr>
        <w:tc>
          <w:tcPr>
            <w:tcW w:w="871" w:type="pct"/>
            <w:tcBorders>
              <w:top w:val="nil"/>
              <w:left w:val="nil"/>
              <w:bottom w:val="nil"/>
              <w:right w:val="single" w:sz="2" w:space="0" w:color="auto"/>
            </w:tcBorders>
            <w:vAlign w:val="center"/>
          </w:tcPr>
          <w:p w14:paraId="04124AD0"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Pure Error</w:t>
            </w:r>
          </w:p>
        </w:tc>
        <w:tc>
          <w:tcPr>
            <w:tcW w:w="1067" w:type="pct"/>
            <w:tcBorders>
              <w:top w:val="nil"/>
              <w:left w:val="single" w:sz="2" w:space="0" w:color="auto"/>
              <w:bottom w:val="nil"/>
              <w:right w:val="nil"/>
            </w:tcBorders>
            <w:vAlign w:val="center"/>
          </w:tcPr>
          <w:p w14:paraId="4CCCBC64"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0.1803</w:t>
            </w:r>
          </w:p>
        </w:tc>
        <w:tc>
          <w:tcPr>
            <w:tcW w:w="929" w:type="pct"/>
            <w:tcBorders>
              <w:top w:val="single" w:sz="4" w:space="0" w:color="7F7F7F" w:themeColor="text1" w:themeTint="80"/>
              <w:bottom w:val="single" w:sz="4" w:space="0" w:color="7F7F7F" w:themeColor="text1" w:themeTint="80"/>
            </w:tcBorders>
            <w:vAlign w:val="center"/>
          </w:tcPr>
          <w:p w14:paraId="65643652"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0.0901</w:t>
            </w:r>
          </w:p>
        </w:tc>
        <w:tc>
          <w:tcPr>
            <w:tcW w:w="579" w:type="pct"/>
            <w:tcBorders>
              <w:top w:val="single" w:sz="4" w:space="0" w:color="7F7F7F" w:themeColor="text1" w:themeTint="80"/>
              <w:bottom w:val="single" w:sz="4" w:space="0" w:color="7F7F7F" w:themeColor="text1" w:themeTint="80"/>
            </w:tcBorders>
            <w:vAlign w:val="center"/>
          </w:tcPr>
          <w:p w14:paraId="5084DA81" w14:textId="77777777" w:rsidR="00DF12F6" w:rsidRPr="001477FA" w:rsidRDefault="00DF12F6" w:rsidP="00BA2717">
            <w:pPr>
              <w:jc w:val="center"/>
              <w:rPr>
                <w:rFonts w:asciiTheme="majorBidi" w:hAnsiTheme="majorBidi" w:cstheme="majorBidi"/>
                <w:sz w:val="24"/>
                <w:szCs w:val="24"/>
              </w:rPr>
            </w:pPr>
          </w:p>
        </w:tc>
        <w:tc>
          <w:tcPr>
            <w:tcW w:w="623" w:type="pct"/>
            <w:tcBorders>
              <w:top w:val="single" w:sz="4" w:space="0" w:color="7F7F7F" w:themeColor="text1" w:themeTint="80"/>
              <w:bottom w:val="single" w:sz="4" w:space="0" w:color="7F7F7F" w:themeColor="text1" w:themeTint="80"/>
            </w:tcBorders>
            <w:vAlign w:val="center"/>
          </w:tcPr>
          <w:p w14:paraId="13BF643A" w14:textId="77777777" w:rsidR="00DF12F6" w:rsidRPr="001477FA" w:rsidRDefault="00DF12F6" w:rsidP="00BA2717">
            <w:pPr>
              <w:jc w:val="center"/>
              <w:rPr>
                <w:rFonts w:asciiTheme="majorBidi" w:hAnsiTheme="majorBidi" w:cstheme="majorBidi"/>
                <w:sz w:val="24"/>
                <w:szCs w:val="24"/>
              </w:rPr>
            </w:pPr>
          </w:p>
        </w:tc>
        <w:tc>
          <w:tcPr>
            <w:tcW w:w="931" w:type="pct"/>
            <w:tcBorders>
              <w:top w:val="single" w:sz="4" w:space="0" w:color="7F7F7F" w:themeColor="text1" w:themeTint="80"/>
              <w:bottom w:val="single" w:sz="4" w:space="0" w:color="7F7F7F" w:themeColor="text1" w:themeTint="80"/>
            </w:tcBorders>
            <w:vAlign w:val="center"/>
          </w:tcPr>
          <w:p w14:paraId="3074C4FC" w14:textId="77777777" w:rsidR="00DF12F6" w:rsidRPr="001477FA" w:rsidRDefault="00DF12F6" w:rsidP="00BA2717">
            <w:pPr>
              <w:jc w:val="center"/>
              <w:rPr>
                <w:rFonts w:asciiTheme="majorBidi" w:hAnsiTheme="majorBidi" w:cstheme="majorBidi"/>
                <w:sz w:val="24"/>
                <w:szCs w:val="24"/>
              </w:rPr>
            </w:pPr>
          </w:p>
        </w:tc>
      </w:tr>
      <w:tr w:rsidR="00DF12F6" w:rsidRPr="001477FA" w14:paraId="5953A5A6" w14:textId="77777777" w:rsidTr="00BA2717">
        <w:trPr>
          <w:trHeight w:val="20"/>
          <w:jc w:val="center"/>
        </w:trPr>
        <w:tc>
          <w:tcPr>
            <w:tcW w:w="871" w:type="pct"/>
            <w:tcBorders>
              <w:top w:val="nil"/>
              <w:left w:val="nil"/>
              <w:bottom w:val="single" w:sz="4" w:space="0" w:color="auto"/>
              <w:right w:val="single" w:sz="2" w:space="0" w:color="auto"/>
            </w:tcBorders>
            <w:vAlign w:val="center"/>
          </w:tcPr>
          <w:p w14:paraId="7BD578A4"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Cor Total</w:t>
            </w:r>
          </w:p>
        </w:tc>
        <w:tc>
          <w:tcPr>
            <w:tcW w:w="1067" w:type="pct"/>
            <w:tcBorders>
              <w:top w:val="nil"/>
              <w:left w:val="single" w:sz="2" w:space="0" w:color="auto"/>
              <w:bottom w:val="single" w:sz="4" w:space="0" w:color="auto"/>
              <w:right w:val="nil"/>
            </w:tcBorders>
            <w:vAlign w:val="center"/>
          </w:tcPr>
          <w:p w14:paraId="478237FE"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sz w:val="24"/>
                <w:szCs w:val="24"/>
              </w:rPr>
              <w:t>1465.67</w:t>
            </w:r>
          </w:p>
        </w:tc>
        <w:tc>
          <w:tcPr>
            <w:tcW w:w="929" w:type="pct"/>
            <w:tcBorders>
              <w:top w:val="nil"/>
              <w:left w:val="nil"/>
              <w:bottom w:val="single" w:sz="4" w:space="0" w:color="auto"/>
              <w:right w:val="nil"/>
            </w:tcBorders>
            <w:vAlign w:val="center"/>
          </w:tcPr>
          <w:p w14:paraId="69AAF465" w14:textId="77777777" w:rsidR="00DF12F6" w:rsidRPr="001477FA" w:rsidRDefault="00DF12F6" w:rsidP="00BA2717">
            <w:pPr>
              <w:jc w:val="center"/>
              <w:rPr>
                <w:rFonts w:asciiTheme="majorBidi" w:hAnsiTheme="majorBidi" w:cstheme="majorBidi"/>
                <w:sz w:val="24"/>
                <w:szCs w:val="24"/>
              </w:rPr>
            </w:pPr>
          </w:p>
        </w:tc>
        <w:tc>
          <w:tcPr>
            <w:tcW w:w="579" w:type="pct"/>
            <w:tcBorders>
              <w:top w:val="nil"/>
              <w:left w:val="nil"/>
              <w:bottom w:val="single" w:sz="4" w:space="0" w:color="auto"/>
              <w:right w:val="nil"/>
            </w:tcBorders>
            <w:vAlign w:val="center"/>
          </w:tcPr>
          <w:p w14:paraId="5E6EC0D3" w14:textId="77777777" w:rsidR="00DF12F6" w:rsidRPr="001477FA" w:rsidRDefault="00DF12F6" w:rsidP="00BA2717">
            <w:pPr>
              <w:jc w:val="center"/>
              <w:rPr>
                <w:rFonts w:asciiTheme="majorBidi" w:hAnsiTheme="majorBidi" w:cstheme="majorBidi"/>
                <w:sz w:val="24"/>
                <w:szCs w:val="24"/>
              </w:rPr>
            </w:pPr>
          </w:p>
        </w:tc>
        <w:tc>
          <w:tcPr>
            <w:tcW w:w="623" w:type="pct"/>
            <w:tcBorders>
              <w:top w:val="nil"/>
              <w:left w:val="nil"/>
              <w:bottom w:val="single" w:sz="4" w:space="0" w:color="auto"/>
              <w:right w:val="nil"/>
            </w:tcBorders>
            <w:vAlign w:val="center"/>
          </w:tcPr>
          <w:p w14:paraId="59E83B56" w14:textId="77777777" w:rsidR="00DF12F6" w:rsidRPr="001477FA" w:rsidRDefault="00DF12F6" w:rsidP="00BA2717">
            <w:pPr>
              <w:jc w:val="center"/>
              <w:rPr>
                <w:rFonts w:asciiTheme="majorBidi" w:hAnsiTheme="majorBidi" w:cstheme="majorBidi"/>
                <w:sz w:val="24"/>
                <w:szCs w:val="24"/>
              </w:rPr>
            </w:pPr>
          </w:p>
        </w:tc>
        <w:tc>
          <w:tcPr>
            <w:tcW w:w="931" w:type="pct"/>
            <w:tcBorders>
              <w:top w:val="nil"/>
              <w:left w:val="nil"/>
              <w:bottom w:val="single" w:sz="4" w:space="0" w:color="auto"/>
              <w:right w:val="nil"/>
            </w:tcBorders>
            <w:vAlign w:val="center"/>
          </w:tcPr>
          <w:p w14:paraId="3D394688" w14:textId="77777777" w:rsidR="00DF12F6" w:rsidRPr="001477FA" w:rsidRDefault="00DF12F6" w:rsidP="00BA2717">
            <w:pPr>
              <w:jc w:val="center"/>
              <w:rPr>
                <w:rFonts w:asciiTheme="majorBidi" w:hAnsiTheme="majorBidi" w:cstheme="majorBidi"/>
                <w:sz w:val="24"/>
                <w:szCs w:val="24"/>
              </w:rPr>
            </w:pPr>
          </w:p>
        </w:tc>
      </w:tr>
    </w:tbl>
    <w:p w14:paraId="7906ADC3" w14:textId="77777777" w:rsidR="00BA2717" w:rsidRPr="001477FA" w:rsidRDefault="00BA2717" w:rsidP="00DF12F6">
      <w:pPr>
        <w:rPr>
          <w:rFonts w:asciiTheme="majorBidi" w:hAnsiTheme="majorBidi" w:cstheme="majorBidi"/>
          <w:sz w:val="24"/>
          <w:szCs w:val="24"/>
        </w:rPr>
      </w:pPr>
    </w:p>
    <w:p w14:paraId="10451797" w14:textId="32A204D9" w:rsidR="00DF12F6" w:rsidRPr="001477FA" w:rsidRDefault="00DF12F6" w:rsidP="005C70E1">
      <w:pPr>
        <w:jc w:val="both"/>
        <w:rPr>
          <w:rFonts w:asciiTheme="majorBidi" w:hAnsiTheme="majorBidi" w:cstheme="majorBidi"/>
          <w:sz w:val="24"/>
          <w:szCs w:val="24"/>
        </w:rPr>
      </w:pPr>
      <w:r w:rsidRPr="001477FA">
        <w:rPr>
          <w:rFonts w:asciiTheme="majorBidi" w:hAnsiTheme="majorBidi" w:cstheme="majorBidi"/>
          <w:sz w:val="24"/>
          <w:szCs w:val="24"/>
        </w:rPr>
        <w:t xml:space="preserve">The F-value quantifies the significance of the chosen statistical model. The greater the F-value for a variable, the greater its influence on the result response. The p-value measures the importance of the impact of variables with a low value. Variables with P-values greater than 0.1 do not affect the answer, but those with less than 0.05 do. The high P-value for the non-fit feature shows that the non-fit phrase has little effect on the experiment's pure error </w:t>
      </w:r>
      <w:r w:rsidR="005C70E1">
        <w:rPr>
          <w:rFonts w:asciiTheme="majorBidi" w:hAnsiTheme="majorBidi" w:cstheme="majorBidi"/>
          <w:sz w:val="24"/>
          <w:szCs w:val="24"/>
        </w:rPr>
        <w:fldChar w:fldCharType="begin" w:fldLock="1"/>
      </w:r>
      <w:r w:rsidR="00C0404D">
        <w:rPr>
          <w:rFonts w:asciiTheme="majorBidi" w:hAnsiTheme="majorBidi" w:cstheme="majorBidi"/>
          <w:sz w:val="24"/>
          <w:szCs w:val="24"/>
        </w:rPr>
        <w:instrText>ADDIN CSL_CITATION {"citationItems":[{"id":"ITEM-1","itemData":{"DOI":"10.1007/s11270-010-0486-x","ISSN":"00496979","abstract":"In the present investigation, treatment of metal cutting wastewater (MCW) using electrocoagulation (EC) process is designed and analyzed using response surface methodology (RSM). RSM is applied to optimize the operating variables viz. initial pH, current density, and operating time on the treatment of MCW in a batch mode by EC process using iron and aluminum electrodes. Quadratic models are developed for the responses such as chemical oxygen demand (COD), total organic carbon (TOC), and turbidity, and operating cost is calculated with respect to energy, electrode, and chemical consumptions. The actual COD, TOC, and turbidity removal efficiencies at optimized conditions are found to be 93.0%, 83.0%, and 99.8% for Fe electrode and 93.5%, 85.2%, and 99.9% for Al electrode, respectively, which agree well with the predicted response. The proposed model fits very well with the experimental data with R 2 adjusted correlation coefficients of 0.927 for COD, 0.924 for TOC, and 0.968 for turbidity removal for Al and 0.904 for COD, 0.976 for TOC, and 0.989 for turbidity removal for Fe electrodes, respectively. This study clearly shows that RSM is one of the suitable methods to optimize the operating conditions and maximize the COD, TOC, and turbidity removal efficiencies for both electrodes while keeping the operating costs to minimal (0.371 €/m3 for Fe and 0.337 €/m3 for Al electrodes). © 2010 Springer Science+Business Media B.V.","author":[{"dropping-particle":"","family":"Kobya","given":"Mehmet","non-dropping-particle":"","parse-names":false,"suffix":""},{"dropping-particle":"","family":"Demirbas","given":"E.","non-dropping-particle":"","parse-names":false,"suffix":""},{"dropping-particle":"","family":"Bayramoglu","given":"M.","non-dropping-particle":"","parse-names":false,"suffix":""},{"dropping-particle":"","family":"Sensoy","given":"M. T.","non-dropping-particle":"","parse-names":false,"suffix":""}],"container-title":"Water, Air, and Soil Pollution","id":"ITEM-1","issue":"1-4","issued":{"date-parts":[["2011"]]},"page":"399-410","title":"Optimization of electrocoagulation process for the treatment of metal cutting wastewaters with response surface methodology","type":"article-journal","volume":"215"},"uris":["http://www.mendeley.com/documents/?uuid=6c7d9d62-f635-4bee-8216-81d3b4cb8a0a"]}],"mendeley":{"formattedCitation":"(Kobya et al. 2011)","plainTextFormattedCitation":"(Kobya et al. 2011)","previouslyFormattedCitation":"[2]"},"properties":{"noteIndex":0},"schema":"https://github.com/citation-style-language/schema/raw/master/csl-citation.json"}</w:instrText>
      </w:r>
      <w:r w:rsidR="005C70E1">
        <w:rPr>
          <w:rFonts w:asciiTheme="majorBidi" w:hAnsiTheme="majorBidi" w:cstheme="majorBidi"/>
          <w:sz w:val="24"/>
          <w:szCs w:val="24"/>
        </w:rPr>
        <w:fldChar w:fldCharType="separate"/>
      </w:r>
      <w:r w:rsidR="00C0404D" w:rsidRPr="00C0404D">
        <w:rPr>
          <w:rFonts w:asciiTheme="majorBidi" w:hAnsiTheme="majorBidi" w:cstheme="majorBidi"/>
          <w:noProof/>
          <w:sz w:val="24"/>
          <w:szCs w:val="24"/>
        </w:rPr>
        <w:t>(Kobya et al. 2011)</w:t>
      </w:r>
      <w:r w:rsidR="005C70E1">
        <w:rPr>
          <w:rFonts w:asciiTheme="majorBidi" w:hAnsiTheme="majorBidi" w:cstheme="majorBidi"/>
          <w:sz w:val="24"/>
          <w:szCs w:val="24"/>
        </w:rPr>
        <w:fldChar w:fldCharType="end"/>
      </w:r>
      <w:r w:rsidRPr="001477FA">
        <w:rPr>
          <w:rFonts w:asciiTheme="majorBidi" w:hAnsiTheme="majorBidi" w:cstheme="majorBidi"/>
          <w:sz w:val="24"/>
          <w:szCs w:val="24"/>
        </w:rPr>
        <w:t>. The detection factor, or R2, represents the degree of overlap between the experimental data and the values predicted by the model. The R2 coefficient ranges between 0 and 1, indicating the quality of the chosen second-order polynomial model. The greater and closer to the value of this coefficient, the more desirable the chosen model</w:t>
      </w:r>
      <w:r w:rsidR="005C70E1">
        <w:rPr>
          <w:rFonts w:asciiTheme="majorBidi" w:hAnsiTheme="majorBidi" w:cstheme="majorBidi"/>
          <w:sz w:val="24"/>
          <w:szCs w:val="24"/>
        </w:rPr>
        <w:t xml:space="preserve"> </w:t>
      </w:r>
      <w:r w:rsidR="005C70E1">
        <w:rPr>
          <w:rFonts w:asciiTheme="majorBidi" w:hAnsiTheme="majorBidi" w:cstheme="majorBidi"/>
          <w:sz w:val="24"/>
          <w:szCs w:val="24"/>
        </w:rPr>
        <w:fldChar w:fldCharType="begin" w:fldLock="1"/>
      </w:r>
      <w:r w:rsidR="00C0404D">
        <w:rPr>
          <w:rFonts w:asciiTheme="majorBidi" w:hAnsiTheme="majorBidi" w:cstheme="majorBidi"/>
          <w:sz w:val="24"/>
          <w:szCs w:val="24"/>
        </w:rPr>
        <w:instrText>ADDIN CSL_CITATION {"citationItems":[{"id":"ITEM-1","itemData":{"ISBN":"0471412554","ISSN":"19395108","abstract":"The purpose of this article is to provide a survey of the various stages in the development of response surface methodology (RSM). The coverage of these stages is organized in three parts that describe the evolution of RSM since its introduction in the early 1950s. Part I covers the period, 1951-1975, during which the so-called classical RSM was developed. This includes a review of basic experimental designs for fitting linear response surface models, in addition to a description of methods for the determination of optimum operating conditions. Part II, which covers the period, 1976-1999, discusses more recent modeling techniques in RSM, in addition to a coverage of Taguchi's robust parameter design and its response surface alternative approach. Part III provides a coverage of further extensions and research directions in modern RSM. This includes discussions concerning response surface models with random effects, generalized linear models, and graphical techniques for comparing response surface designs","author":[{"dropping-particle":"","family":"Carley","given":"Kathleen M","non-dropping-particle":"","parse-names":false,"suffix":""},{"dropping-particle":"","family":"Kamneva","given":"Natalia Y","non-dropping-particle":"","parse-names":false,"suffix":""},{"dropping-particle":"","family":"Reminga","given":"Jeff","non-dropping-particle":"","parse-names":false,"suffix":""}],"container-title":"Network","id":"ITEM-1","issue":"October","issued":{"date-parts":[["2004"]]},"page":"n/a-n/a","title":"Response Surface Methodology: CASOS Technical Report, CMU-ISRI-04-136","type":"article-journal","volume":"2"},"uris":["http://www.mendeley.com/documents/?uuid=6ddf4231-a2b9-4341-8ca6-4b98480a1cc1"]}],"mendeley":{"formattedCitation":"(Carley et al. 2004)","plainTextFormattedCitation":"(Carley et al. 2004)","previouslyFormattedCitation":"[3]"},"properties":{"noteIndex":0},"schema":"https://github.com/citation-style-language/schema/raw/master/csl-citation.json"}</w:instrText>
      </w:r>
      <w:r w:rsidR="005C70E1">
        <w:rPr>
          <w:rFonts w:asciiTheme="majorBidi" w:hAnsiTheme="majorBidi" w:cstheme="majorBidi"/>
          <w:sz w:val="24"/>
          <w:szCs w:val="24"/>
        </w:rPr>
        <w:fldChar w:fldCharType="separate"/>
      </w:r>
      <w:r w:rsidR="00C0404D" w:rsidRPr="00C0404D">
        <w:rPr>
          <w:rFonts w:asciiTheme="majorBidi" w:hAnsiTheme="majorBidi" w:cstheme="majorBidi"/>
          <w:noProof/>
          <w:sz w:val="24"/>
          <w:szCs w:val="24"/>
        </w:rPr>
        <w:t>(Carley et al. 2004)</w:t>
      </w:r>
      <w:r w:rsidR="005C70E1">
        <w:rPr>
          <w:rFonts w:asciiTheme="majorBidi" w:hAnsiTheme="majorBidi" w:cstheme="majorBidi"/>
          <w:sz w:val="24"/>
          <w:szCs w:val="24"/>
        </w:rPr>
        <w:fldChar w:fldCharType="end"/>
      </w:r>
      <w:r w:rsidRPr="001477FA">
        <w:rPr>
          <w:rFonts w:asciiTheme="majorBidi" w:hAnsiTheme="majorBidi" w:cstheme="majorBidi"/>
          <w:sz w:val="24"/>
          <w:szCs w:val="24"/>
        </w:rPr>
        <w:t>. The results obtained for the solution's removal efficiency of Cr(VI) ions validate the suggested second-order model. The F-value for this model is 206.9, indicating that it is significant.</w:t>
      </w:r>
    </w:p>
    <w:p w14:paraId="45A6B82C" w14:textId="77777777" w:rsidR="00DF12F6" w:rsidRDefault="00DF12F6" w:rsidP="00BA2717">
      <w:pPr>
        <w:jc w:val="both"/>
        <w:rPr>
          <w:rFonts w:asciiTheme="majorBidi" w:hAnsiTheme="majorBidi" w:cstheme="majorBidi"/>
          <w:sz w:val="24"/>
          <w:szCs w:val="24"/>
        </w:rPr>
      </w:pPr>
      <w:r w:rsidRPr="001477FA">
        <w:rPr>
          <w:rFonts w:asciiTheme="majorBidi" w:hAnsiTheme="majorBidi" w:cstheme="majorBidi"/>
          <w:sz w:val="24"/>
          <w:szCs w:val="24"/>
        </w:rPr>
        <w:t xml:space="preserve">Furthermore, the quantity of F-value of parameter A (pH) is the most outstanding value, indicating that pH strongly influences the reaction. The quantities of P-value for factors A, B, C, BC </w:t>
      </w:r>
      <w:r w:rsidRPr="001477FA">
        <w:rPr>
          <w:rFonts w:asciiTheme="majorBidi" w:hAnsiTheme="majorBidi" w:cstheme="majorBidi"/>
          <w:sz w:val="24"/>
          <w:szCs w:val="24"/>
        </w:rPr>
        <w:lastRenderedPageBreak/>
        <w:t>multiplier, and A2 secondary parameter are less than 0.05, and for AB multiplier are between 0.05 and 0.1, indicating that these variables are essential in response. Three-dimensional graphs of response variations with AB and BC variables were shown in Section (6-3). The P-value for the characteristic of lack of fit is 0.0681, indicating that the lack of fit is significant when compared to the pure error.</w:t>
      </w:r>
    </w:p>
    <w:p w14:paraId="27F4524B" w14:textId="77777777" w:rsidR="00467689" w:rsidRPr="001477FA" w:rsidRDefault="00467689" w:rsidP="00467689">
      <w:pPr>
        <w:spacing w:after="0"/>
        <w:jc w:val="both"/>
        <w:rPr>
          <w:rFonts w:asciiTheme="majorBidi" w:hAnsiTheme="majorBidi" w:cstheme="majorBidi"/>
          <w:sz w:val="24"/>
          <w:szCs w:val="24"/>
        </w:rPr>
      </w:pPr>
    </w:p>
    <w:p w14:paraId="6305C6B5" w14:textId="77777777" w:rsidR="00DF12F6" w:rsidRPr="001477FA" w:rsidRDefault="00DF12F6" w:rsidP="00BA2717">
      <w:pPr>
        <w:jc w:val="center"/>
        <w:rPr>
          <w:rFonts w:asciiTheme="majorBidi" w:hAnsiTheme="majorBidi" w:cstheme="majorBidi"/>
          <w:b/>
          <w:bCs/>
          <w:sz w:val="24"/>
          <w:szCs w:val="24"/>
        </w:rPr>
      </w:pPr>
      <w:r w:rsidRPr="001477FA">
        <w:rPr>
          <w:rFonts w:asciiTheme="majorBidi" w:hAnsiTheme="majorBidi" w:cstheme="majorBidi"/>
          <w:b/>
          <w:bCs/>
          <w:sz w:val="24"/>
          <w:szCs w:val="24"/>
        </w:rPr>
        <w:t xml:space="preserve">Table </w:t>
      </w:r>
      <w:r w:rsidR="005A70B5">
        <w:rPr>
          <w:rFonts w:asciiTheme="majorBidi" w:hAnsiTheme="majorBidi" w:cstheme="majorBidi"/>
          <w:b/>
          <w:bCs/>
          <w:sz w:val="24"/>
          <w:szCs w:val="24"/>
        </w:rPr>
        <w:t>S</w:t>
      </w:r>
      <w:r w:rsidRPr="001477FA">
        <w:rPr>
          <w:rFonts w:asciiTheme="majorBidi" w:hAnsiTheme="majorBidi" w:cstheme="majorBidi"/>
          <w:b/>
          <w:bCs/>
          <w:sz w:val="24"/>
          <w:szCs w:val="24"/>
        </w:rPr>
        <w:t xml:space="preserve">4. </w:t>
      </w:r>
      <w:r w:rsidRPr="001477FA">
        <w:rPr>
          <w:rFonts w:asciiTheme="majorBidi" w:hAnsiTheme="majorBidi" w:cstheme="majorBidi"/>
          <w:sz w:val="24"/>
          <w:szCs w:val="24"/>
        </w:rPr>
        <w:t>Obtained statistical data for the second-order model.</w:t>
      </w:r>
    </w:p>
    <w:tbl>
      <w:tblPr>
        <w:tblStyle w:val="TableGrid"/>
        <w:tblW w:w="3842"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29"/>
        <w:gridCol w:w="913"/>
        <w:gridCol w:w="998"/>
        <w:gridCol w:w="903"/>
        <w:gridCol w:w="1516"/>
        <w:gridCol w:w="1533"/>
      </w:tblGrid>
      <w:tr w:rsidR="00DF12F6" w:rsidRPr="001477FA" w14:paraId="2BF76085" w14:textId="77777777" w:rsidTr="00BA2717">
        <w:trPr>
          <w:jc w:val="center"/>
        </w:trPr>
        <w:tc>
          <w:tcPr>
            <w:tcW w:w="923" w:type="pct"/>
            <w:tcBorders>
              <w:top w:val="single" w:sz="12" w:space="0" w:color="auto"/>
              <w:left w:val="nil"/>
              <w:bottom w:val="single" w:sz="2" w:space="0" w:color="auto"/>
              <w:right w:val="nil"/>
            </w:tcBorders>
            <w:vAlign w:val="center"/>
          </w:tcPr>
          <w:p w14:paraId="6FA5082F"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Std. Dev.</w:t>
            </w:r>
          </w:p>
        </w:tc>
        <w:tc>
          <w:tcPr>
            <w:tcW w:w="635" w:type="pct"/>
            <w:tcBorders>
              <w:top w:val="single" w:sz="12" w:space="0" w:color="auto"/>
              <w:left w:val="nil"/>
              <w:bottom w:val="single" w:sz="2" w:space="0" w:color="auto"/>
              <w:right w:val="nil"/>
            </w:tcBorders>
            <w:vAlign w:val="center"/>
          </w:tcPr>
          <w:p w14:paraId="2937EBA3"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Mean</w:t>
            </w:r>
          </w:p>
        </w:tc>
        <w:tc>
          <w:tcPr>
            <w:tcW w:w="694" w:type="pct"/>
            <w:tcBorders>
              <w:top w:val="single" w:sz="12" w:space="0" w:color="auto"/>
              <w:left w:val="nil"/>
              <w:bottom w:val="single" w:sz="2" w:space="0" w:color="auto"/>
              <w:right w:val="nil"/>
            </w:tcBorders>
            <w:vAlign w:val="center"/>
          </w:tcPr>
          <w:p w14:paraId="615789BB"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C.V. %</w:t>
            </w:r>
          </w:p>
        </w:tc>
        <w:tc>
          <w:tcPr>
            <w:tcW w:w="628" w:type="pct"/>
            <w:tcBorders>
              <w:top w:val="single" w:sz="12" w:space="0" w:color="auto"/>
              <w:left w:val="nil"/>
              <w:bottom w:val="single" w:sz="2" w:space="0" w:color="auto"/>
              <w:right w:val="nil"/>
            </w:tcBorders>
            <w:vAlign w:val="center"/>
          </w:tcPr>
          <w:p w14:paraId="764BA9A4"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R²</w:t>
            </w:r>
          </w:p>
        </w:tc>
        <w:tc>
          <w:tcPr>
            <w:tcW w:w="1054" w:type="pct"/>
            <w:tcBorders>
              <w:top w:val="single" w:sz="12" w:space="0" w:color="auto"/>
              <w:left w:val="nil"/>
              <w:bottom w:val="single" w:sz="2" w:space="0" w:color="auto"/>
              <w:right w:val="nil"/>
            </w:tcBorders>
            <w:vAlign w:val="center"/>
          </w:tcPr>
          <w:p w14:paraId="4FB7E932"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Adjusted R²</w:t>
            </w:r>
          </w:p>
        </w:tc>
        <w:tc>
          <w:tcPr>
            <w:tcW w:w="1066" w:type="pct"/>
            <w:tcBorders>
              <w:top w:val="single" w:sz="12" w:space="0" w:color="auto"/>
              <w:left w:val="nil"/>
              <w:bottom w:val="single" w:sz="2" w:space="0" w:color="auto"/>
              <w:right w:val="nil"/>
            </w:tcBorders>
            <w:vAlign w:val="center"/>
          </w:tcPr>
          <w:p w14:paraId="5D79FD4D"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Predicted R²</w:t>
            </w:r>
          </w:p>
        </w:tc>
      </w:tr>
      <w:tr w:rsidR="00DF12F6" w:rsidRPr="001477FA" w14:paraId="1B08513F" w14:textId="77777777" w:rsidTr="00BA2717">
        <w:trPr>
          <w:jc w:val="center"/>
        </w:trPr>
        <w:tc>
          <w:tcPr>
            <w:tcW w:w="923" w:type="pct"/>
            <w:tcBorders>
              <w:top w:val="single" w:sz="2" w:space="0" w:color="auto"/>
              <w:left w:val="nil"/>
              <w:bottom w:val="single" w:sz="12" w:space="0" w:color="auto"/>
              <w:right w:val="nil"/>
            </w:tcBorders>
            <w:vAlign w:val="center"/>
          </w:tcPr>
          <w:p w14:paraId="4C3E9739"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0.8464</w:t>
            </w:r>
          </w:p>
        </w:tc>
        <w:tc>
          <w:tcPr>
            <w:tcW w:w="635" w:type="pct"/>
            <w:tcBorders>
              <w:top w:val="single" w:sz="2" w:space="0" w:color="auto"/>
              <w:left w:val="nil"/>
              <w:bottom w:val="single" w:sz="12" w:space="0" w:color="auto"/>
              <w:right w:val="nil"/>
            </w:tcBorders>
            <w:vAlign w:val="center"/>
          </w:tcPr>
          <w:p w14:paraId="183C356F" w14:textId="77777777" w:rsidR="00DF12F6" w:rsidRPr="001477FA" w:rsidRDefault="00DF12F6" w:rsidP="00BA2717">
            <w:pPr>
              <w:spacing w:after="160" w:line="259" w:lineRule="auto"/>
              <w:jc w:val="center"/>
              <w:rPr>
                <w:rFonts w:asciiTheme="majorBidi" w:hAnsiTheme="majorBidi" w:cstheme="majorBidi"/>
                <w:sz w:val="24"/>
                <w:szCs w:val="24"/>
                <w:rtl/>
                <w:lang w:bidi="fa-IR"/>
              </w:rPr>
            </w:pPr>
            <w:r w:rsidRPr="001477FA">
              <w:rPr>
                <w:rFonts w:asciiTheme="majorBidi" w:hAnsiTheme="majorBidi" w:cstheme="majorBidi"/>
                <w:sz w:val="24"/>
                <w:szCs w:val="24"/>
              </w:rPr>
              <w:t>32.41</w:t>
            </w:r>
          </w:p>
        </w:tc>
        <w:tc>
          <w:tcPr>
            <w:tcW w:w="694" w:type="pct"/>
            <w:tcBorders>
              <w:top w:val="single" w:sz="2" w:space="0" w:color="auto"/>
              <w:left w:val="nil"/>
              <w:bottom w:val="single" w:sz="12" w:space="0" w:color="auto"/>
              <w:right w:val="nil"/>
            </w:tcBorders>
            <w:vAlign w:val="center"/>
          </w:tcPr>
          <w:p w14:paraId="58DAA0FD"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2.61</w:t>
            </w:r>
          </w:p>
        </w:tc>
        <w:tc>
          <w:tcPr>
            <w:tcW w:w="628" w:type="pct"/>
            <w:tcBorders>
              <w:top w:val="single" w:sz="2" w:space="0" w:color="auto"/>
              <w:left w:val="nil"/>
              <w:bottom w:val="single" w:sz="12" w:space="0" w:color="auto"/>
              <w:right w:val="nil"/>
            </w:tcBorders>
            <w:vAlign w:val="center"/>
          </w:tcPr>
          <w:p w14:paraId="565EF68E"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0.9961</w:t>
            </w:r>
          </w:p>
        </w:tc>
        <w:tc>
          <w:tcPr>
            <w:tcW w:w="1054" w:type="pct"/>
            <w:tcBorders>
              <w:top w:val="single" w:sz="2" w:space="0" w:color="auto"/>
              <w:left w:val="nil"/>
              <w:bottom w:val="single" w:sz="12" w:space="0" w:color="auto"/>
              <w:right w:val="nil"/>
            </w:tcBorders>
            <w:vAlign w:val="center"/>
          </w:tcPr>
          <w:p w14:paraId="14258DF7"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0.9932</w:t>
            </w:r>
          </w:p>
        </w:tc>
        <w:tc>
          <w:tcPr>
            <w:tcW w:w="1066" w:type="pct"/>
            <w:tcBorders>
              <w:top w:val="single" w:sz="2" w:space="0" w:color="auto"/>
              <w:left w:val="nil"/>
              <w:bottom w:val="single" w:sz="12" w:space="0" w:color="auto"/>
              <w:right w:val="nil"/>
            </w:tcBorders>
            <w:vAlign w:val="center"/>
          </w:tcPr>
          <w:p w14:paraId="7FC3F12D" w14:textId="77777777" w:rsidR="00DF12F6" w:rsidRPr="001477FA" w:rsidRDefault="00DF12F6" w:rsidP="00BA2717">
            <w:pPr>
              <w:spacing w:after="160" w:line="259" w:lineRule="auto"/>
              <w:jc w:val="center"/>
              <w:rPr>
                <w:rFonts w:asciiTheme="majorBidi" w:hAnsiTheme="majorBidi" w:cstheme="majorBidi"/>
                <w:sz w:val="24"/>
                <w:szCs w:val="24"/>
              </w:rPr>
            </w:pPr>
            <w:r w:rsidRPr="001477FA">
              <w:rPr>
                <w:rFonts w:asciiTheme="majorBidi" w:hAnsiTheme="majorBidi" w:cstheme="majorBidi"/>
                <w:sz w:val="24"/>
                <w:szCs w:val="24"/>
              </w:rPr>
              <w:t>0.9786</w:t>
            </w:r>
          </w:p>
        </w:tc>
      </w:tr>
    </w:tbl>
    <w:p w14:paraId="2921A824" w14:textId="77777777" w:rsidR="00BA2717" w:rsidRPr="001477FA" w:rsidRDefault="00BA2717" w:rsidP="00DF12F6">
      <w:pPr>
        <w:rPr>
          <w:rFonts w:asciiTheme="majorBidi" w:hAnsiTheme="majorBidi" w:cstheme="majorBidi"/>
          <w:sz w:val="24"/>
          <w:szCs w:val="24"/>
        </w:rPr>
      </w:pPr>
    </w:p>
    <w:p w14:paraId="0B3C4725" w14:textId="77777777" w:rsidR="00DF12F6" w:rsidRPr="001477FA" w:rsidRDefault="00DF12F6" w:rsidP="00BA2717">
      <w:pPr>
        <w:jc w:val="both"/>
        <w:rPr>
          <w:rFonts w:asciiTheme="majorBidi" w:hAnsiTheme="majorBidi" w:cstheme="majorBidi"/>
          <w:sz w:val="24"/>
          <w:szCs w:val="24"/>
        </w:rPr>
      </w:pPr>
      <w:r w:rsidRPr="001477FA">
        <w:rPr>
          <w:rFonts w:asciiTheme="majorBidi" w:hAnsiTheme="majorBidi" w:cstheme="majorBidi"/>
          <w:sz w:val="24"/>
          <w:szCs w:val="24"/>
        </w:rPr>
        <w:t>Table 4 shows that the R2 coefficient for removal efficiency of Cr(VI) ions is 0.9961, indicating a significant overlap between the measured data and the values predicted by the suggested model. Because R2 is near to one, the model's strength in explaining variations in response as a function of independent variables is more considerable. Figure 5 depicts a graph of actual values vs. expected values. In reality, this picture is identical to the definition of R2 and illustrates the tight overlap of existing and anticipated data. The graph shows that the data is almost linear, with 99 percent agreement with expected values.</w:t>
      </w:r>
    </w:p>
    <w:p w14:paraId="228216A8" w14:textId="77777777" w:rsidR="00DF12F6" w:rsidRPr="001477FA" w:rsidRDefault="00DF12F6" w:rsidP="00BA2717">
      <w:pPr>
        <w:jc w:val="center"/>
        <w:rPr>
          <w:rFonts w:asciiTheme="majorBidi" w:hAnsiTheme="majorBidi" w:cstheme="majorBidi"/>
          <w:sz w:val="24"/>
          <w:szCs w:val="24"/>
        </w:rPr>
      </w:pPr>
      <w:r w:rsidRPr="001477FA">
        <w:rPr>
          <w:rFonts w:asciiTheme="majorBidi" w:hAnsiTheme="majorBidi" w:cstheme="majorBidi"/>
          <w:noProof/>
          <w:sz w:val="24"/>
          <w:szCs w:val="24"/>
        </w:rPr>
        <w:drawing>
          <wp:inline distT="0" distB="0" distL="0" distR="0" wp14:anchorId="709D3571" wp14:editId="5A181846">
            <wp:extent cx="2619910" cy="2761725"/>
            <wp:effectExtent l="0" t="0" r="952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7" cstate="print">
                      <a:extLst>
                        <a:ext uri="{BEBA8EAE-BF5A-486C-A8C5-ECC9F3942E4B}">
                          <a14:imgProps xmlns:a14="http://schemas.microsoft.com/office/drawing/2010/main">
                            <a14:imgLayer r:embed="rId8">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2670629" cy="2815190"/>
                    </a:xfrm>
                    <a:prstGeom prst="rect">
                      <a:avLst/>
                    </a:prstGeom>
                    <a:noFill/>
                    <a:ln>
                      <a:noFill/>
                    </a:ln>
                  </pic:spPr>
                </pic:pic>
              </a:graphicData>
            </a:graphic>
          </wp:inline>
        </w:drawing>
      </w:r>
    </w:p>
    <w:p w14:paraId="73ABF80E" w14:textId="77777777" w:rsidR="00BA2717" w:rsidRDefault="00DF12F6" w:rsidP="00370F90">
      <w:pPr>
        <w:jc w:val="center"/>
        <w:rPr>
          <w:rFonts w:asciiTheme="majorBidi" w:hAnsiTheme="majorBidi" w:cstheme="majorBidi"/>
          <w:sz w:val="24"/>
          <w:szCs w:val="24"/>
        </w:rPr>
      </w:pPr>
      <w:r w:rsidRPr="001477FA">
        <w:rPr>
          <w:rFonts w:asciiTheme="majorBidi" w:hAnsiTheme="majorBidi" w:cstheme="majorBidi"/>
          <w:b/>
          <w:bCs/>
          <w:sz w:val="24"/>
          <w:szCs w:val="24"/>
        </w:rPr>
        <w:t xml:space="preserve">Fig. </w:t>
      </w:r>
      <w:r w:rsidR="005A70B5">
        <w:rPr>
          <w:rFonts w:asciiTheme="majorBidi" w:hAnsiTheme="majorBidi" w:cstheme="majorBidi"/>
          <w:b/>
          <w:bCs/>
          <w:sz w:val="24"/>
          <w:szCs w:val="24"/>
        </w:rPr>
        <w:t>S1</w:t>
      </w:r>
      <w:r w:rsidRPr="001477FA">
        <w:rPr>
          <w:rFonts w:asciiTheme="majorBidi" w:hAnsiTheme="majorBidi" w:cstheme="majorBidi"/>
          <w:b/>
          <w:bCs/>
          <w:sz w:val="24"/>
          <w:szCs w:val="24"/>
        </w:rPr>
        <w:t xml:space="preserve">. </w:t>
      </w:r>
      <w:r w:rsidRPr="001477FA">
        <w:rPr>
          <w:rFonts w:asciiTheme="majorBidi" w:hAnsiTheme="majorBidi" w:cstheme="majorBidi"/>
          <w:sz w:val="24"/>
          <w:szCs w:val="24"/>
        </w:rPr>
        <w:t>The relationship between predicted removal efficiency from statistical model and real data.</w:t>
      </w:r>
    </w:p>
    <w:p w14:paraId="275826CD" w14:textId="77777777" w:rsidR="00B21E47" w:rsidRPr="001477FA" w:rsidRDefault="00B21E47" w:rsidP="00B21E47">
      <w:pPr>
        <w:spacing w:after="0"/>
        <w:jc w:val="center"/>
        <w:rPr>
          <w:rFonts w:asciiTheme="majorBidi" w:hAnsiTheme="majorBidi" w:cstheme="majorBidi"/>
          <w:sz w:val="24"/>
          <w:szCs w:val="24"/>
        </w:rPr>
      </w:pPr>
    </w:p>
    <w:p w14:paraId="7BD547BB" w14:textId="77777777" w:rsidR="00DF12F6" w:rsidRPr="001477FA" w:rsidRDefault="00DF12F6" w:rsidP="00BA2717">
      <w:pPr>
        <w:jc w:val="both"/>
        <w:rPr>
          <w:rFonts w:asciiTheme="majorBidi" w:hAnsiTheme="majorBidi" w:cstheme="majorBidi"/>
          <w:sz w:val="24"/>
          <w:szCs w:val="24"/>
        </w:rPr>
      </w:pPr>
      <w:r w:rsidRPr="001477FA">
        <w:rPr>
          <w:rFonts w:asciiTheme="majorBidi" w:hAnsiTheme="majorBidi" w:cstheme="majorBidi"/>
          <w:sz w:val="24"/>
          <w:szCs w:val="24"/>
        </w:rPr>
        <w:t xml:space="preserve">The R2adjasted and R2Predicted coefficients are 0.9932 and 0.9786, respectively, with a difference of less than 0.2, indicating that the suggested model for predicting the response is suitable. The coefficient of change (C.V.) for the removal efficiency of Cr(VI) ions in Table 4 is 2.61, which was described as the lower the coefficient, the better the second-order model. The </w:t>
      </w:r>
      <w:r w:rsidRPr="001477FA">
        <w:rPr>
          <w:rFonts w:asciiTheme="majorBidi" w:hAnsiTheme="majorBidi" w:cstheme="majorBidi"/>
          <w:sz w:val="24"/>
          <w:szCs w:val="24"/>
        </w:rPr>
        <w:lastRenderedPageBreak/>
        <w:t>standard deviation (Std. Dev.) value is 0.8464, indicating that the data is near the average and less dispersed.</w:t>
      </w:r>
    </w:p>
    <w:p w14:paraId="402DD927" w14:textId="77777777" w:rsidR="00DF12F6" w:rsidRDefault="00DF12F6" w:rsidP="00BA2717">
      <w:pPr>
        <w:jc w:val="both"/>
        <w:rPr>
          <w:rFonts w:asciiTheme="majorBidi" w:hAnsiTheme="majorBidi" w:cstheme="majorBidi"/>
          <w:sz w:val="24"/>
          <w:szCs w:val="24"/>
        </w:rPr>
      </w:pPr>
      <w:r w:rsidRPr="001477FA">
        <w:rPr>
          <w:rFonts w:asciiTheme="majorBidi" w:hAnsiTheme="majorBidi" w:cstheme="majorBidi"/>
          <w:sz w:val="24"/>
          <w:szCs w:val="24"/>
        </w:rPr>
        <w:t>As previously stated, the second-order model was used to replicate the outcomes. Eq. The final equation with actual data is provided in Figure 7 to simulate the removal efficiency of Cr(VI) ions using St-g-PAA/CNFs hydrogel. The percentage of Cr(VI) ion removal (Removal%) is the dependent variable in this equation. In contrast, pH, the starting concentration of Cr(VI) ions, and the flow rate of FBC are independent variables. In reality, this equation depicts the influence of pH, beginning Cr(VI) ion concentration, flow rate parameters, and the combination of these features on the removal efficiency of Cr(VI) ions.</w:t>
      </w:r>
    </w:p>
    <w:p w14:paraId="39F08FB3" w14:textId="77777777" w:rsidR="00C22AFC" w:rsidRPr="001477FA" w:rsidRDefault="00C22AFC" w:rsidP="004A3A88">
      <w:pPr>
        <w:spacing w:after="0"/>
        <w:jc w:val="both"/>
        <w:rPr>
          <w:rFonts w:asciiTheme="majorBidi" w:hAnsiTheme="majorBidi" w:cstheme="majorBidi"/>
          <w:sz w:val="24"/>
          <w:szCs w:val="24"/>
        </w:rPr>
      </w:pPr>
    </w:p>
    <w:tbl>
      <w:tblPr>
        <w:tblW w:w="9356" w:type="dxa"/>
        <w:tblLook w:val="04A0" w:firstRow="1" w:lastRow="0" w:firstColumn="1" w:lastColumn="0" w:noHBand="0" w:noVBand="1"/>
      </w:tblPr>
      <w:tblGrid>
        <w:gridCol w:w="8789"/>
        <w:gridCol w:w="567"/>
      </w:tblGrid>
      <w:tr w:rsidR="00DF12F6" w:rsidRPr="001477FA" w14:paraId="3E93C629" w14:textId="77777777" w:rsidTr="00BA2717">
        <w:trPr>
          <w:trHeight w:val="712"/>
        </w:trPr>
        <w:tc>
          <w:tcPr>
            <w:tcW w:w="8789" w:type="dxa"/>
          </w:tcPr>
          <w:p w14:paraId="5CC59A65" w14:textId="77777777" w:rsidR="00DF12F6" w:rsidRPr="001477FA" w:rsidRDefault="00000000" w:rsidP="00DF12F6">
            <w:pPr>
              <w:rPr>
                <w:rFonts w:asciiTheme="majorBidi" w:hAnsiTheme="majorBidi" w:cstheme="majorBidi"/>
                <w:iCs/>
                <w:sz w:val="24"/>
                <w:szCs w:val="24"/>
              </w:rPr>
            </w:pPr>
            <m:oMathPara>
              <m:oMath>
                <m:d>
                  <m:dPr>
                    <m:ctrlPr>
                      <w:rPr>
                        <w:rFonts w:ascii="Cambria Math" w:hAnsi="Cambria Math" w:cstheme="majorBidi"/>
                        <w:iCs/>
                        <w:sz w:val="24"/>
                        <w:szCs w:val="24"/>
                      </w:rPr>
                    </m:ctrlPr>
                  </m:dPr>
                  <m:e>
                    <m:r>
                      <m:rPr>
                        <m:sty m:val="p"/>
                      </m:rPr>
                      <w:rPr>
                        <w:rFonts w:ascii="Cambria Math" w:hAnsi="Cambria Math" w:cstheme="majorBidi"/>
                        <w:sz w:val="24"/>
                        <w:szCs w:val="24"/>
                      </w:rPr>
                      <m:t>Removal %</m:t>
                    </m:r>
                  </m:e>
                </m:d>
                <m:r>
                  <m:rPr>
                    <m:sty m:val="p"/>
                  </m:rPr>
                  <w:rPr>
                    <w:rFonts w:ascii="Cambria Math" w:hAnsi="Cambria Math" w:cstheme="majorBidi"/>
                    <w:sz w:val="24"/>
                    <w:szCs w:val="24"/>
                  </w:rPr>
                  <m:t>= +22.22+3.61A -0.37B -1.82C-0.05AB +0.03BC +0.93A²</m:t>
                </m:r>
              </m:oMath>
            </m:oMathPara>
          </w:p>
        </w:tc>
        <w:tc>
          <w:tcPr>
            <w:tcW w:w="567" w:type="dxa"/>
          </w:tcPr>
          <w:p w14:paraId="23C102C3" w14:textId="77777777" w:rsidR="00DF12F6" w:rsidRPr="001477FA" w:rsidRDefault="00DF12F6" w:rsidP="005A70B5">
            <w:pPr>
              <w:rPr>
                <w:rFonts w:asciiTheme="majorBidi" w:hAnsiTheme="majorBidi" w:cstheme="majorBidi"/>
                <w:b/>
                <w:bCs/>
                <w:sz w:val="24"/>
                <w:szCs w:val="24"/>
              </w:rPr>
            </w:pPr>
            <w:r w:rsidRPr="001477FA">
              <w:rPr>
                <w:rFonts w:asciiTheme="majorBidi" w:hAnsiTheme="majorBidi" w:cstheme="majorBidi"/>
                <w:sz w:val="24"/>
                <w:szCs w:val="24"/>
              </w:rPr>
              <w:t>(</w:t>
            </w:r>
            <w:r w:rsidR="005A70B5">
              <w:rPr>
                <w:rFonts w:asciiTheme="majorBidi" w:hAnsiTheme="majorBidi" w:cstheme="majorBidi"/>
                <w:sz w:val="24"/>
                <w:szCs w:val="24"/>
              </w:rPr>
              <w:t>1</w:t>
            </w:r>
            <w:r w:rsidRPr="001477FA">
              <w:rPr>
                <w:rFonts w:asciiTheme="majorBidi" w:hAnsiTheme="majorBidi" w:cstheme="majorBidi"/>
                <w:sz w:val="24"/>
                <w:szCs w:val="24"/>
              </w:rPr>
              <w:t>)</w:t>
            </w:r>
          </w:p>
        </w:tc>
      </w:tr>
    </w:tbl>
    <w:p w14:paraId="4625EC22" w14:textId="77777777" w:rsidR="00C34EFD" w:rsidRDefault="00DF12F6" w:rsidP="00D13727">
      <w:pPr>
        <w:jc w:val="both"/>
        <w:rPr>
          <w:rFonts w:asciiTheme="majorBidi" w:hAnsiTheme="majorBidi" w:cstheme="majorBidi"/>
          <w:sz w:val="24"/>
          <w:szCs w:val="24"/>
        </w:rPr>
      </w:pPr>
      <w:r w:rsidRPr="001477FA">
        <w:rPr>
          <w:rFonts w:asciiTheme="majorBidi" w:hAnsiTheme="majorBidi" w:cstheme="majorBidi"/>
          <w:sz w:val="24"/>
          <w:szCs w:val="24"/>
        </w:rPr>
        <w:t>A, B, and C represent the pH of the solution, the starting concentration of Cr(VI) ions (mg/L), and the flow rate (mL/min) in this model, respectively. Because the P-values for the attributes AC, B2, and C2 is more than 0.1, these features are not statistically significant in the model. In the preceding Eq., the positive coefficient denotes the variable's direct link with the answer, while the negative coefficient denotes the variable's inverse relationship with the response. Furthermore, the larger the variable's coefficient, the greater the variable's influence on the answer. Because the most significant coefficient is connected to the characteristic of A, the pH has the most excellent effect on the removal efficiency of Cr(VI) ions, and given the positive aspect of A, raising the pH can be said to enhance the removal efficiency of Cr(VI) ions from the aqueous solution. Because of the negative coefficients of the characteristics B and C, it is possible to assume that raising the starting concentration of Cr(VI) ions and the flow rate reduces the removal efficiency of Cr(VI) ions.</w:t>
      </w:r>
    </w:p>
    <w:p w14:paraId="37E0BB01" w14:textId="77777777" w:rsidR="005C70E1" w:rsidRDefault="005C70E1" w:rsidP="00D13727">
      <w:pPr>
        <w:jc w:val="both"/>
        <w:rPr>
          <w:rFonts w:asciiTheme="majorBidi" w:hAnsiTheme="majorBidi" w:cstheme="majorBidi"/>
          <w:sz w:val="24"/>
          <w:szCs w:val="24"/>
        </w:rPr>
      </w:pPr>
    </w:p>
    <w:p w14:paraId="4372E95C" w14:textId="77777777" w:rsidR="005C70E1" w:rsidRPr="00467689" w:rsidRDefault="00467689" w:rsidP="00467689">
      <w:pPr>
        <w:pStyle w:val="ListParagraph"/>
        <w:numPr>
          <w:ilvl w:val="0"/>
          <w:numId w:val="3"/>
        </w:numPr>
        <w:jc w:val="both"/>
        <w:rPr>
          <w:rFonts w:asciiTheme="majorBidi" w:hAnsiTheme="majorBidi" w:cstheme="majorBidi"/>
          <w:b/>
          <w:bCs/>
          <w:sz w:val="24"/>
          <w:szCs w:val="24"/>
        </w:rPr>
      </w:pPr>
      <w:r w:rsidRPr="00467689">
        <w:rPr>
          <w:rFonts w:asciiTheme="majorBidi" w:hAnsiTheme="majorBidi" w:cstheme="majorBidi"/>
          <w:b/>
          <w:bCs/>
          <w:sz w:val="24"/>
          <w:szCs w:val="24"/>
        </w:rPr>
        <w:t>References</w:t>
      </w:r>
    </w:p>
    <w:p w14:paraId="61C03B94" w14:textId="67EA7673" w:rsidR="00C0404D" w:rsidRPr="00C0404D" w:rsidRDefault="005C70E1" w:rsidP="00C0404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Pr>
          <w:rFonts w:asciiTheme="majorBidi" w:hAnsiTheme="majorBidi" w:cstheme="majorBidi"/>
          <w:sz w:val="24"/>
          <w:szCs w:val="24"/>
        </w:rPr>
        <w:fldChar w:fldCharType="begin" w:fldLock="1"/>
      </w:r>
      <w:r>
        <w:rPr>
          <w:rFonts w:asciiTheme="majorBidi" w:hAnsiTheme="majorBidi" w:cstheme="majorBidi"/>
          <w:sz w:val="24"/>
          <w:szCs w:val="24"/>
        </w:rPr>
        <w:instrText xml:space="preserve">ADDIN Mendeley Bibliography CSL_BIBLIOGRAPHY </w:instrText>
      </w:r>
      <w:r>
        <w:rPr>
          <w:rFonts w:asciiTheme="majorBidi" w:hAnsiTheme="majorBidi" w:cstheme="majorBidi"/>
          <w:sz w:val="24"/>
          <w:szCs w:val="24"/>
        </w:rPr>
        <w:fldChar w:fldCharType="separate"/>
      </w:r>
      <w:r w:rsidR="00C0404D" w:rsidRPr="00C0404D">
        <w:rPr>
          <w:rFonts w:ascii="Times New Roman" w:hAnsi="Times New Roman" w:cs="Times New Roman"/>
          <w:noProof/>
          <w:sz w:val="24"/>
          <w:szCs w:val="24"/>
        </w:rPr>
        <w:t>Carley KM, Kamneva NY, Reminga J (2004) Response Surface Methodology: CASOS Technical Report, CMU-ISRI-04-136. Network 2:n/a-n/a</w:t>
      </w:r>
    </w:p>
    <w:p w14:paraId="26BA7748" w14:textId="77777777" w:rsidR="00C0404D" w:rsidRPr="00C0404D" w:rsidRDefault="00C0404D" w:rsidP="00C0404D">
      <w:pPr>
        <w:widowControl w:val="0"/>
        <w:autoSpaceDE w:val="0"/>
        <w:autoSpaceDN w:val="0"/>
        <w:adjustRightInd w:val="0"/>
        <w:spacing w:line="240" w:lineRule="auto"/>
        <w:ind w:left="480" w:hanging="480"/>
        <w:jc w:val="both"/>
        <w:rPr>
          <w:rFonts w:ascii="Times New Roman" w:hAnsi="Times New Roman" w:cs="Times New Roman"/>
          <w:noProof/>
          <w:sz w:val="24"/>
          <w:szCs w:val="24"/>
        </w:rPr>
      </w:pPr>
      <w:r w:rsidRPr="00C0404D">
        <w:rPr>
          <w:rFonts w:ascii="Times New Roman" w:hAnsi="Times New Roman" w:cs="Times New Roman"/>
          <w:noProof/>
          <w:sz w:val="24"/>
          <w:szCs w:val="24"/>
        </w:rPr>
        <w:t>Kobya M, Demirbas E, Bayramoglu M, Sensoy MT (2011) Optimization of electrocoagulation process for the treatment of metal cutting wastewaters with response surface methodology. Water Air Soil Pollut 215:399–410. https://doi.org/10.1007/s11270-010-0486-x</w:t>
      </w:r>
    </w:p>
    <w:p w14:paraId="5A7EC8D1" w14:textId="77777777" w:rsidR="00C0404D" w:rsidRPr="00C0404D" w:rsidRDefault="00C0404D" w:rsidP="00C0404D">
      <w:pPr>
        <w:widowControl w:val="0"/>
        <w:autoSpaceDE w:val="0"/>
        <w:autoSpaceDN w:val="0"/>
        <w:adjustRightInd w:val="0"/>
        <w:spacing w:line="240" w:lineRule="auto"/>
        <w:ind w:left="480" w:hanging="480"/>
        <w:jc w:val="both"/>
        <w:rPr>
          <w:rFonts w:ascii="Times New Roman" w:hAnsi="Times New Roman" w:cs="Times New Roman"/>
          <w:noProof/>
          <w:sz w:val="24"/>
        </w:rPr>
      </w:pPr>
      <w:r w:rsidRPr="00C0404D">
        <w:rPr>
          <w:rFonts w:ascii="Times New Roman" w:hAnsi="Times New Roman" w:cs="Times New Roman"/>
          <w:noProof/>
          <w:sz w:val="24"/>
          <w:szCs w:val="24"/>
        </w:rPr>
        <w:t>Lee R (2019) Statistical Design of Experiments for Screening and Optimization. Chemie-Ingenieur-Technik 91:191–200. https://doi.org/10.1002/cite.201800100</w:t>
      </w:r>
    </w:p>
    <w:p w14:paraId="4AE5E55E" w14:textId="77777777" w:rsidR="005C70E1" w:rsidRPr="00D13727" w:rsidRDefault="005C70E1" w:rsidP="001146DC">
      <w:pPr>
        <w:jc w:val="both"/>
        <w:rPr>
          <w:rFonts w:asciiTheme="majorBidi" w:hAnsiTheme="majorBidi" w:cstheme="majorBidi"/>
          <w:sz w:val="24"/>
          <w:szCs w:val="24"/>
        </w:rPr>
      </w:pPr>
      <w:r>
        <w:rPr>
          <w:rFonts w:asciiTheme="majorBidi" w:hAnsiTheme="majorBidi" w:cstheme="majorBidi"/>
          <w:sz w:val="24"/>
          <w:szCs w:val="24"/>
        </w:rPr>
        <w:fldChar w:fldCharType="end"/>
      </w:r>
    </w:p>
    <w:sectPr w:rsidR="005C70E1" w:rsidRPr="00D137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974E4F"/>
    <w:multiLevelType w:val="multilevel"/>
    <w:tmpl w:val="0F974E4F"/>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1CB4B8B"/>
    <w:multiLevelType w:val="hybridMultilevel"/>
    <w:tmpl w:val="D690D5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8734386"/>
    <w:multiLevelType w:val="hybridMultilevel"/>
    <w:tmpl w:val="85E2AB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96774557">
    <w:abstractNumId w:val="0"/>
  </w:num>
  <w:num w:numId="2" w16cid:durableId="1421870981">
    <w:abstractNumId w:val="2"/>
  </w:num>
  <w:num w:numId="3" w16cid:durableId="20937750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395B"/>
    <w:rsid w:val="00032D25"/>
    <w:rsid w:val="0005624F"/>
    <w:rsid w:val="00063D6D"/>
    <w:rsid w:val="001146DC"/>
    <w:rsid w:val="001477FA"/>
    <w:rsid w:val="0019094B"/>
    <w:rsid w:val="001C1FE7"/>
    <w:rsid w:val="00265B97"/>
    <w:rsid w:val="00281A62"/>
    <w:rsid w:val="00281CA5"/>
    <w:rsid w:val="00363D20"/>
    <w:rsid w:val="00370F90"/>
    <w:rsid w:val="003E7A1C"/>
    <w:rsid w:val="00416841"/>
    <w:rsid w:val="00433AB1"/>
    <w:rsid w:val="00467689"/>
    <w:rsid w:val="00482AF1"/>
    <w:rsid w:val="004A2E42"/>
    <w:rsid w:val="004A3A88"/>
    <w:rsid w:val="0056537E"/>
    <w:rsid w:val="00592F82"/>
    <w:rsid w:val="005A70B5"/>
    <w:rsid w:val="005C70E1"/>
    <w:rsid w:val="006B6C25"/>
    <w:rsid w:val="00723AB8"/>
    <w:rsid w:val="0074395B"/>
    <w:rsid w:val="007B5D1F"/>
    <w:rsid w:val="0081375F"/>
    <w:rsid w:val="00830C5A"/>
    <w:rsid w:val="00936249"/>
    <w:rsid w:val="00981E3D"/>
    <w:rsid w:val="009B4A30"/>
    <w:rsid w:val="009E3BD1"/>
    <w:rsid w:val="00A14FCF"/>
    <w:rsid w:val="00A275C7"/>
    <w:rsid w:val="00A45D37"/>
    <w:rsid w:val="00AE7B5E"/>
    <w:rsid w:val="00B21E47"/>
    <w:rsid w:val="00BA2717"/>
    <w:rsid w:val="00BA3BB9"/>
    <w:rsid w:val="00C0404D"/>
    <w:rsid w:val="00C162AF"/>
    <w:rsid w:val="00C22AFC"/>
    <w:rsid w:val="00C34EFD"/>
    <w:rsid w:val="00C720C1"/>
    <w:rsid w:val="00C935C6"/>
    <w:rsid w:val="00C94A2F"/>
    <w:rsid w:val="00CC74D3"/>
    <w:rsid w:val="00D13727"/>
    <w:rsid w:val="00DF12F6"/>
    <w:rsid w:val="00E31C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EFEFC4"/>
  <w15:chartTrackingRefBased/>
  <w15:docId w15:val="{F572AFA8-76D1-4A56-813D-993ECBA6A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094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063D6D"/>
    <w:pPr>
      <w:spacing w:after="0" w:line="240" w:lineRule="auto"/>
    </w:pPr>
    <w:tblPr/>
  </w:style>
  <w:style w:type="table" w:styleId="TableGrid">
    <w:name w:val="Table Grid"/>
    <w:basedOn w:val="TableNormal"/>
    <w:uiPriority w:val="39"/>
    <w:rsid w:val="00DF12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3AB8"/>
    <w:pPr>
      <w:ind w:left="720"/>
      <w:contextualSpacing/>
    </w:pPr>
  </w:style>
  <w:style w:type="table" w:styleId="PlainTable2">
    <w:name w:val="Plain Table 2"/>
    <w:basedOn w:val="TableNormal"/>
    <w:uiPriority w:val="42"/>
    <w:rsid w:val="00592F8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1146D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tbehzad@iut.ac.ir"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10BAF1-A206-4C88-80F5-2478E7A6E8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320</TotalTime>
  <Pages>6</Pages>
  <Words>2563</Words>
  <Characters>14614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Heydarzadeh</dc:creator>
  <cp:keywords/>
  <dc:description/>
  <cp:lastModifiedBy>Amir H L S</cp:lastModifiedBy>
  <cp:revision>56</cp:revision>
  <dcterms:created xsi:type="dcterms:W3CDTF">2022-05-26T04:16:00Z</dcterms:created>
  <dcterms:modified xsi:type="dcterms:W3CDTF">2023-02-19T08:45:00Z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http://www.zotero.org/styles/clean-technologies-and-environmental-policy</vt:lpwstr>
  </property>
  <property fmtid="{D5CDD505-2E9C-101B-9397-08002B2CF9AE}" pid="13" name="Mendeley Recent Style Name 5_1">
    <vt:lpwstr>Clean Technologies and Environmental Policy</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68decd12-06ee-381b-b64b-d76f6c73b1ca</vt:lpwstr>
  </property>
  <property fmtid="{D5CDD505-2E9C-101B-9397-08002B2CF9AE}" pid="24" name="Mendeley Citation Style_1">
    <vt:lpwstr>http://www.zotero.org/styles/clean-technologies-and-environmental-policy</vt:lpwstr>
  </property>
</Properties>
</file>