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D1F19" w14:textId="77777777" w:rsidR="0076402B" w:rsidRDefault="0076402B" w:rsidP="0076402B">
      <w:pPr>
        <w:jc w:val="both"/>
        <w:rPr>
          <w:b/>
          <w:bCs/>
          <w:sz w:val="28"/>
          <w:szCs w:val="28"/>
        </w:rPr>
      </w:pPr>
      <w:r>
        <w:rPr>
          <w:b/>
          <w:bCs/>
          <w:sz w:val="28"/>
          <w:szCs w:val="28"/>
        </w:rPr>
        <w:t>Supplementary Information</w:t>
      </w:r>
    </w:p>
    <w:p w14:paraId="176EE630" w14:textId="77777777" w:rsidR="0076402B" w:rsidRDefault="0076402B" w:rsidP="0076402B">
      <w:pPr>
        <w:jc w:val="both"/>
        <w:rPr>
          <w:b/>
          <w:bCs/>
          <w:sz w:val="28"/>
          <w:szCs w:val="28"/>
        </w:rPr>
      </w:pPr>
    </w:p>
    <w:p w14:paraId="14818CB1" w14:textId="77777777" w:rsidR="0076402B" w:rsidRPr="0084434C" w:rsidRDefault="0076402B" w:rsidP="0076402B">
      <w:pPr>
        <w:jc w:val="both"/>
        <w:rPr>
          <w:b/>
          <w:bCs/>
          <w:sz w:val="28"/>
          <w:szCs w:val="28"/>
        </w:rPr>
      </w:pPr>
      <w:r>
        <w:rPr>
          <w:b/>
          <w:bCs/>
          <w:sz w:val="28"/>
          <w:szCs w:val="28"/>
        </w:rPr>
        <w:t>Systemic risks from climate-related disruptions at ports</w:t>
      </w:r>
      <w:r w:rsidDel="00EC1BBF">
        <w:rPr>
          <w:b/>
          <w:bCs/>
          <w:sz w:val="28"/>
          <w:szCs w:val="28"/>
        </w:rPr>
        <w:t xml:space="preserve"> </w:t>
      </w:r>
    </w:p>
    <w:p w14:paraId="48FF2031" w14:textId="77777777" w:rsidR="0076402B" w:rsidRPr="0084434C" w:rsidRDefault="0076402B" w:rsidP="0076402B">
      <w:pPr>
        <w:jc w:val="both"/>
      </w:pPr>
    </w:p>
    <w:p w14:paraId="7E82D2FC" w14:textId="77777777" w:rsidR="0076402B" w:rsidRPr="0084434C" w:rsidRDefault="0076402B" w:rsidP="0076402B">
      <w:pPr>
        <w:jc w:val="both"/>
        <w:rPr>
          <w:vertAlign w:val="superscript"/>
        </w:rPr>
      </w:pPr>
      <w:r>
        <w:t>Jasper Verschuur</w:t>
      </w:r>
      <w:r w:rsidRPr="00832107">
        <w:rPr>
          <w:vertAlign w:val="superscript"/>
        </w:rPr>
        <w:t>1</w:t>
      </w:r>
      <w:r w:rsidRPr="0084434C">
        <w:rPr>
          <w:vertAlign w:val="superscript"/>
        </w:rPr>
        <w:t>,*</w:t>
      </w:r>
      <w:r w:rsidRPr="0084434C">
        <w:t xml:space="preserve">, </w:t>
      </w:r>
      <w:proofErr w:type="spellStart"/>
      <w:r>
        <w:t>Elco</w:t>
      </w:r>
      <w:proofErr w:type="spellEnd"/>
      <w:r>
        <w:t xml:space="preserve"> E. Koks</w:t>
      </w:r>
      <w:r>
        <w:rPr>
          <w:vertAlign w:val="superscript"/>
        </w:rPr>
        <w:t>1,2</w:t>
      </w:r>
      <w:r w:rsidRPr="0084434C">
        <w:t xml:space="preserve"> and </w:t>
      </w:r>
      <w:r>
        <w:t>Jim W. Hall</w:t>
      </w:r>
      <w:r>
        <w:rPr>
          <w:vertAlign w:val="superscript"/>
        </w:rPr>
        <w:t>1</w:t>
      </w:r>
    </w:p>
    <w:p w14:paraId="7BE50FEB" w14:textId="77777777" w:rsidR="0076402B" w:rsidRPr="0084434C" w:rsidRDefault="0076402B" w:rsidP="0076402B">
      <w:pPr>
        <w:jc w:val="both"/>
        <w:rPr>
          <w:vertAlign w:val="superscript"/>
        </w:rPr>
      </w:pPr>
    </w:p>
    <w:p w14:paraId="1DA0ACAC" w14:textId="77777777" w:rsidR="0076402B" w:rsidRDefault="0076402B" w:rsidP="0076402B">
      <w:pPr>
        <w:jc w:val="both"/>
      </w:pPr>
      <w:r>
        <w:rPr>
          <w:vertAlign w:val="superscript"/>
        </w:rPr>
        <w:t xml:space="preserve">1 </w:t>
      </w:r>
      <w:r w:rsidRPr="007C56E5">
        <w:t xml:space="preserve">Oxford Programme for Sustainable Infrastructure Systems (OPSIS), Environmental Change Institute, </w:t>
      </w:r>
      <w:r w:rsidRPr="0084434C">
        <w:t>University of Oxford, Oxford, United Kingdom</w:t>
      </w:r>
    </w:p>
    <w:p w14:paraId="380D1787" w14:textId="77777777" w:rsidR="0076402B" w:rsidRPr="00832107" w:rsidRDefault="0076402B" w:rsidP="0076402B">
      <w:pPr>
        <w:jc w:val="both"/>
        <w:rPr>
          <w:lang w:val="nl-NL"/>
        </w:rPr>
      </w:pPr>
      <w:r>
        <w:rPr>
          <w:vertAlign w:val="superscript"/>
          <w:lang w:val="nl-NL"/>
        </w:rPr>
        <w:t>2</w:t>
      </w:r>
      <w:r w:rsidRPr="00832107">
        <w:rPr>
          <w:vertAlign w:val="superscript"/>
          <w:lang w:val="nl-NL"/>
        </w:rPr>
        <w:t xml:space="preserve"> </w:t>
      </w:r>
      <w:proofErr w:type="spellStart"/>
      <w:r w:rsidRPr="00C04C2F">
        <w:rPr>
          <w:lang w:val="nl-NL"/>
        </w:rPr>
        <w:t>Institute</w:t>
      </w:r>
      <w:proofErr w:type="spellEnd"/>
      <w:r w:rsidRPr="00C04C2F">
        <w:rPr>
          <w:lang w:val="nl-NL"/>
        </w:rPr>
        <w:t xml:space="preserve"> </w:t>
      </w:r>
      <w:proofErr w:type="spellStart"/>
      <w:r w:rsidRPr="00C04C2F">
        <w:rPr>
          <w:lang w:val="nl-NL"/>
        </w:rPr>
        <w:t>for</w:t>
      </w:r>
      <w:proofErr w:type="spellEnd"/>
      <w:r w:rsidRPr="00C04C2F">
        <w:rPr>
          <w:lang w:val="nl-NL"/>
        </w:rPr>
        <w:t xml:space="preserve"> </w:t>
      </w:r>
      <w:proofErr w:type="spellStart"/>
      <w:r w:rsidRPr="00C04C2F">
        <w:rPr>
          <w:lang w:val="nl-NL"/>
        </w:rPr>
        <w:t>Environmental</w:t>
      </w:r>
      <w:proofErr w:type="spellEnd"/>
      <w:r w:rsidRPr="00C04C2F">
        <w:rPr>
          <w:lang w:val="nl-NL"/>
        </w:rPr>
        <w:t xml:space="preserve"> Studies, Vrije Universiteit Amsterdam, Amsterdam, Netherlands</w:t>
      </w:r>
    </w:p>
    <w:p w14:paraId="694C7619" w14:textId="77777777" w:rsidR="0076402B" w:rsidRPr="00832107" w:rsidRDefault="0076402B" w:rsidP="0076402B">
      <w:pPr>
        <w:jc w:val="both"/>
        <w:rPr>
          <w:vertAlign w:val="superscript"/>
          <w:lang w:val="nl-NL"/>
        </w:rPr>
      </w:pPr>
    </w:p>
    <w:p w14:paraId="355B980A" w14:textId="77777777" w:rsidR="0076402B" w:rsidRDefault="0076402B" w:rsidP="0076402B">
      <w:pPr>
        <w:jc w:val="both"/>
      </w:pPr>
      <w:r w:rsidRPr="0084434C">
        <w:rPr>
          <w:vertAlign w:val="superscript"/>
        </w:rPr>
        <w:t>*</w:t>
      </w:r>
      <w:r w:rsidRPr="0084434C">
        <w:t xml:space="preserve">corresponding author: </w:t>
      </w:r>
      <w:r>
        <w:t xml:space="preserve"> jasper.verschuur@keble.ox.ac.uk</w:t>
      </w:r>
    </w:p>
    <w:p w14:paraId="15E4943F" w14:textId="77777777" w:rsidR="0076402B" w:rsidRPr="0084434C" w:rsidRDefault="0076402B" w:rsidP="0076402B">
      <w:pPr>
        <w:jc w:val="both"/>
      </w:pPr>
      <w:r w:rsidRPr="007C56E5">
        <w:t xml:space="preserve">Oxford Programme for Sustainable Infrastructure Systems (OPSIS), Environmental Change Institute, </w:t>
      </w:r>
      <w:r w:rsidRPr="0084434C">
        <w:t>University of Oxford</w:t>
      </w:r>
      <w:r>
        <w:t>, 3 South Parks Road, Oxford OX1 3QY, United Kingdom</w:t>
      </w:r>
    </w:p>
    <w:p w14:paraId="7D17FBD7" w14:textId="77777777" w:rsidR="0076402B" w:rsidRDefault="0076402B" w:rsidP="0076402B">
      <w:pPr>
        <w:widowControl w:val="0"/>
        <w:autoSpaceDE w:val="0"/>
        <w:autoSpaceDN w:val="0"/>
        <w:adjustRightInd w:val="0"/>
        <w:jc w:val="both"/>
        <w:rPr>
          <w:b/>
          <w:bCs/>
        </w:rPr>
      </w:pPr>
    </w:p>
    <w:p w14:paraId="1C2567D6" w14:textId="77777777" w:rsidR="0076402B" w:rsidRDefault="0076402B" w:rsidP="0076402B">
      <w:pPr>
        <w:widowControl w:val="0"/>
        <w:autoSpaceDE w:val="0"/>
        <w:autoSpaceDN w:val="0"/>
        <w:adjustRightInd w:val="0"/>
        <w:jc w:val="both"/>
        <w:rPr>
          <w:b/>
          <w:bCs/>
        </w:rPr>
      </w:pPr>
    </w:p>
    <w:p w14:paraId="620D329D" w14:textId="77777777" w:rsidR="0076402B" w:rsidRDefault="0076402B" w:rsidP="0076402B">
      <w:pPr>
        <w:widowControl w:val="0"/>
        <w:autoSpaceDE w:val="0"/>
        <w:autoSpaceDN w:val="0"/>
        <w:adjustRightInd w:val="0"/>
        <w:jc w:val="both"/>
        <w:rPr>
          <w:b/>
          <w:bCs/>
        </w:rPr>
      </w:pPr>
    </w:p>
    <w:p w14:paraId="2F5BA1E1" w14:textId="77777777" w:rsidR="0076402B" w:rsidRDefault="0076402B" w:rsidP="0076402B">
      <w:pPr>
        <w:widowControl w:val="0"/>
        <w:autoSpaceDE w:val="0"/>
        <w:autoSpaceDN w:val="0"/>
        <w:adjustRightInd w:val="0"/>
        <w:jc w:val="both"/>
        <w:rPr>
          <w:b/>
          <w:bCs/>
        </w:rPr>
      </w:pPr>
    </w:p>
    <w:p w14:paraId="695DFD57" w14:textId="77777777" w:rsidR="0076402B" w:rsidRDefault="0076402B" w:rsidP="0076402B">
      <w:pPr>
        <w:widowControl w:val="0"/>
        <w:autoSpaceDE w:val="0"/>
        <w:autoSpaceDN w:val="0"/>
        <w:adjustRightInd w:val="0"/>
        <w:jc w:val="both"/>
        <w:rPr>
          <w:b/>
          <w:bCs/>
        </w:rPr>
      </w:pPr>
    </w:p>
    <w:p w14:paraId="55CCF32E" w14:textId="77777777" w:rsidR="0076402B" w:rsidRDefault="0076402B" w:rsidP="0076402B">
      <w:pPr>
        <w:widowControl w:val="0"/>
        <w:autoSpaceDE w:val="0"/>
        <w:autoSpaceDN w:val="0"/>
        <w:adjustRightInd w:val="0"/>
        <w:jc w:val="both"/>
        <w:rPr>
          <w:b/>
          <w:bCs/>
        </w:rPr>
      </w:pPr>
    </w:p>
    <w:p w14:paraId="329A203A" w14:textId="77777777" w:rsidR="0076402B" w:rsidRDefault="0076402B" w:rsidP="0076402B">
      <w:pPr>
        <w:widowControl w:val="0"/>
        <w:autoSpaceDE w:val="0"/>
        <w:autoSpaceDN w:val="0"/>
        <w:adjustRightInd w:val="0"/>
        <w:jc w:val="both"/>
        <w:rPr>
          <w:b/>
          <w:bCs/>
        </w:rPr>
      </w:pPr>
    </w:p>
    <w:p w14:paraId="5DD315DA" w14:textId="77777777" w:rsidR="0076402B" w:rsidRDefault="0076402B" w:rsidP="0076402B">
      <w:pPr>
        <w:widowControl w:val="0"/>
        <w:autoSpaceDE w:val="0"/>
        <w:autoSpaceDN w:val="0"/>
        <w:adjustRightInd w:val="0"/>
        <w:jc w:val="both"/>
        <w:rPr>
          <w:b/>
          <w:bCs/>
        </w:rPr>
      </w:pPr>
    </w:p>
    <w:p w14:paraId="05FA42A9" w14:textId="77777777" w:rsidR="0076402B" w:rsidRDefault="0076402B" w:rsidP="0076402B">
      <w:pPr>
        <w:widowControl w:val="0"/>
        <w:autoSpaceDE w:val="0"/>
        <w:autoSpaceDN w:val="0"/>
        <w:adjustRightInd w:val="0"/>
        <w:jc w:val="both"/>
        <w:rPr>
          <w:b/>
          <w:bCs/>
        </w:rPr>
      </w:pPr>
    </w:p>
    <w:p w14:paraId="6CDC0789" w14:textId="77777777" w:rsidR="0076402B" w:rsidRDefault="0076402B" w:rsidP="0076402B">
      <w:pPr>
        <w:widowControl w:val="0"/>
        <w:autoSpaceDE w:val="0"/>
        <w:autoSpaceDN w:val="0"/>
        <w:adjustRightInd w:val="0"/>
        <w:jc w:val="both"/>
        <w:rPr>
          <w:b/>
          <w:bCs/>
        </w:rPr>
      </w:pPr>
    </w:p>
    <w:p w14:paraId="501A112C" w14:textId="77777777" w:rsidR="0076402B" w:rsidRDefault="0076402B" w:rsidP="0076402B">
      <w:pPr>
        <w:widowControl w:val="0"/>
        <w:autoSpaceDE w:val="0"/>
        <w:autoSpaceDN w:val="0"/>
        <w:adjustRightInd w:val="0"/>
        <w:jc w:val="both"/>
        <w:rPr>
          <w:b/>
          <w:bCs/>
        </w:rPr>
      </w:pPr>
    </w:p>
    <w:p w14:paraId="1311AF50" w14:textId="77777777" w:rsidR="0076402B" w:rsidRDefault="0076402B" w:rsidP="0076402B">
      <w:pPr>
        <w:widowControl w:val="0"/>
        <w:autoSpaceDE w:val="0"/>
        <w:autoSpaceDN w:val="0"/>
        <w:adjustRightInd w:val="0"/>
        <w:jc w:val="both"/>
        <w:rPr>
          <w:b/>
          <w:bCs/>
        </w:rPr>
      </w:pPr>
    </w:p>
    <w:p w14:paraId="287F39E0" w14:textId="77777777" w:rsidR="0076402B" w:rsidRDefault="0076402B" w:rsidP="0076402B">
      <w:pPr>
        <w:widowControl w:val="0"/>
        <w:autoSpaceDE w:val="0"/>
        <w:autoSpaceDN w:val="0"/>
        <w:adjustRightInd w:val="0"/>
        <w:jc w:val="both"/>
        <w:rPr>
          <w:b/>
          <w:bCs/>
        </w:rPr>
      </w:pPr>
    </w:p>
    <w:p w14:paraId="33DC077D" w14:textId="77777777" w:rsidR="0076402B" w:rsidRDefault="0076402B" w:rsidP="0076402B">
      <w:pPr>
        <w:widowControl w:val="0"/>
        <w:autoSpaceDE w:val="0"/>
        <w:autoSpaceDN w:val="0"/>
        <w:adjustRightInd w:val="0"/>
        <w:jc w:val="both"/>
        <w:rPr>
          <w:b/>
          <w:bCs/>
        </w:rPr>
      </w:pPr>
    </w:p>
    <w:p w14:paraId="1B181A55" w14:textId="77777777" w:rsidR="0076402B" w:rsidRDefault="0076402B" w:rsidP="0076402B">
      <w:pPr>
        <w:widowControl w:val="0"/>
        <w:autoSpaceDE w:val="0"/>
        <w:autoSpaceDN w:val="0"/>
        <w:adjustRightInd w:val="0"/>
        <w:jc w:val="both"/>
        <w:rPr>
          <w:b/>
          <w:bCs/>
        </w:rPr>
      </w:pPr>
    </w:p>
    <w:p w14:paraId="06B6F324" w14:textId="77777777" w:rsidR="0076402B" w:rsidRDefault="0076402B" w:rsidP="0076402B">
      <w:pPr>
        <w:widowControl w:val="0"/>
        <w:autoSpaceDE w:val="0"/>
        <w:autoSpaceDN w:val="0"/>
        <w:adjustRightInd w:val="0"/>
        <w:jc w:val="both"/>
        <w:rPr>
          <w:b/>
          <w:bCs/>
        </w:rPr>
      </w:pPr>
    </w:p>
    <w:p w14:paraId="339A71C3" w14:textId="77777777" w:rsidR="0076402B" w:rsidRDefault="0076402B" w:rsidP="0076402B">
      <w:pPr>
        <w:widowControl w:val="0"/>
        <w:autoSpaceDE w:val="0"/>
        <w:autoSpaceDN w:val="0"/>
        <w:adjustRightInd w:val="0"/>
        <w:jc w:val="both"/>
        <w:rPr>
          <w:b/>
          <w:bCs/>
        </w:rPr>
      </w:pPr>
    </w:p>
    <w:p w14:paraId="470B1CD5" w14:textId="77777777" w:rsidR="0076402B" w:rsidRDefault="0076402B" w:rsidP="0076402B">
      <w:pPr>
        <w:widowControl w:val="0"/>
        <w:autoSpaceDE w:val="0"/>
        <w:autoSpaceDN w:val="0"/>
        <w:adjustRightInd w:val="0"/>
        <w:jc w:val="both"/>
        <w:rPr>
          <w:b/>
          <w:bCs/>
        </w:rPr>
      </w:pPr>
    </w:p>
    <w:p w14:paraId="105DECCD" w14:textId="77777777" w:rsidR="0076402B" w:rsidRDefault="0076402B" w:rsidP="0076402B">
      <w:pPr>
        <w:widowControl w:val="0"/>
        <w:autoSpaceDE w:val="0"/>
        <w:autoSpaceDN w:val="0"/>
        <w:adjustRightInd w:val="0"/>
        <w:jc w:val="both"/>
        <w:rPr>
          <w:b/>
          <w:bCs/>
        </w:rPr>
      </w:pPr>
    </w:p>
    <w:p w14:paraId="7E522AA4" w14:textId="77777777" w:rsidR="0076402B" w:rsidRDefault="0076402B" w:rsidP="0076402B">
      <w:pPr>
        <w:widowControl w:val="0"/>
        <w:autoSpaceDE w:val="0"/>
        <w:autoSpaceDN w:val="0"/>
        <w:adjustRightInd w:val="0"/>
        <w:jc w:val="both"/>
        <w:rPr>
          <w:b/>
          <w:bCs/>
        </w:rPr>
      </w:pPr>
    </w:p>
    <w:p w14:paraId="313AE24B" w14:textId="77777777" w:rsidR="0076402B" w:rsidRDefault="0076402B" w:rsidP="0076402B">
      <w:pPr>
        <w:widowControl w:val="0"/>
        <w:autoSpaceDE w:val="0"/>
        <w:autoSpaceDN w:val="0"/>
        <w:adjustRightInd w:val="0"/>
        <w:jc w:val="both"/>
        <w:rPr>
          <w:b/>
          <w:bCs/>
        </w:rPr>
      </w:pPr>
    </w:p>
    <w:p w14:paraId="3B0835E2" w14:textId="77777777" w:rsidR="0076402B" w:rsidRDefault="0076402B" w:rsidP="0076402B">
      <w:pPr>
        <w:widowControl w:val="0"/>
        <w:autoSpaceDE w:val="0"/>
        <w:autoSpaceDN w:val="0"/>
        <w:adjustRightInd w:val="0"/>
        <w:jc w:val="both"/>
        <w:rPr>
          <w:b/>
          <w:bCs/>
        </w:rPr>
      </w:pPr>
    </w:p>
    <w:p w14:paraId="4507E263" w14:textId="77777777" w:rsidR="0076402B" w:rsidRDefault="0076402B" w:rsidP="0076402B">
      <w:pPr>
        <w:widowControl w:val="0"/>
        <w:autoSpaceDE w:val="0"/>
        <w:autoSpaceDN w:val="0"/>
        <w:adjustRightInd w:val="0"/>
        <w:jc w:val="both"/>
        <w:rPr>
          <w:b/>
          <w:bCs/>
        </w:rPr>
      </w:pPr>
    </w:p>
    <w:p w14:paraId="5A84CE26" w14:textId="77777777" w:rsidR="0076402B" w:rsidRDefault="0076402B" w:rsidP="0076402B">
      <w:pPr>
        <w:widowControl w:val="0"/>
        <w:autoSpaceDE w:val="0"/>
        <w:autoSpaceDN w:val="0"/>
        <w:adjustRightInd w:val="0"/>
        <w:jc w:val="both"/>
        <w:rPr>
          <w:b/>
          <w:bCs/>
        </w:rPr>
      </w:pPr>
    </w:p>
    <w:p w14:paraId="33E56E02" w14:textId="77777777" w:rsidR="0076402B" w:rsidRDefault="0076402B" w:rsidP="0076402B">
      <w:pPr>
        <w:widowControl w:val="0"/>
        <w:autoSpaceDE w:val="0"/>
        <w:autoSpaceDN w:val="0"/>
        <w:adjustRightInd w:val="0"/>
        <w:jc w:val="both"/>
        <w:rPr>
          <w:b/>
          <w:bCs/>
        </w:rPr>
      </w:pPr>
    </w:p>
    <w:p w14:paraId="03BA1347" w14:textId="77777777" w:rsidR="0076402B" w:rsidRDefault="0076402B" w:rsidP="0076402B">
      <w:pPr>
        <w:widowControl w:val="0"/>
        <w:autoSpaceDE w:val="0"/>
        <w:autoSpaceDN w:val="0"/>
        <w:adjustRightInd w:val="0"/>
        <w:jc w:val="both"/>
        <w:rPr>
          <w:b/>
          <w:bCs/>
        </w:rPr>
      </w:pPr>
    </w:p>
    <w:p w14:paraId="14824863" w14:textId="77777777" w:rsidR="0076402B" w:rsidRDefault="0076402B" w:rsidP="0076402B">
      <w:pPr>
        <w:widowControl w:val="0"/>
        <w:autoSpaceDE w:val="0"/>
        <w:autoSpaceDN w:val="0"/>
        <w:adjustRightInd w:val="0"/>
        <w:jc w:val="both"/>
        <w:rPr>
          <w:b/>
          <w:bCs/>
        </w:rPr>
      </w:pPr>
    </w:p>
    <w:p w14:paraId="651FBD47" w14:textId="77777777" w:rsidR="0076402B" w:rsidRDefault="0076402B" w:rsidP="0076402B">
      <w:pPr>
        <w:widowControl w:val="0"/>
        <w:autoSpaceDE w:val="0"/>
        <w:autoSpaceDN w:val="0"/>
        <w:adjustRightInd w:val="0"/>
        <w:jc w:val="both"/>
        <w:rPr>
          <w:b/>
          <w:bCs/>
        </w:rPr>
      </w:pPr>
    </w:p>
    <w:p w14:paraId="0DAD394B" w14:textId="77777777" w:rsidR="0076402B" w:rsidRDefault="0076402B" w:rsidP="0076402B">
      <w:pPr>
        <w:widowControl w:val="0"/>
        <w:autoSpaceDE w:val="0"/>
        <w:autoSpaceDN w:val="0"/>
        <w:adjustRightInd w:val="0"/>
        <w:jc w:val="both"/>
        <w:rPr>
          <w:b/>
          <w:bCs/>
        </w:rPr>
      </w:pPr>
    </w:p>
    <w:p w14:paraId="497BA652" w14:textId="77777777" w:rsidR="0076402B" w:rsidRDefault="0076402B" w:rsidP="0076402B">
      <w:pPr>
        <w:widowControl w:val="0"/>
        <w:autoSpaceDE w:val="0"/>
        <w:autoSpaceDN w:val="0"/>
        <w:adjustRightInd w:val="0"/>
        <w:jc w:val="both"/>
        <w:rPr>
          <w:b/>
          <w:bCs/>
        </w:rPr>
      </w:pPr>
    </w:p>
    <w:p w14:paraId="27A87AD9" w14:textId="77777777" w:rsidR="0076402B" w:rsidRDefault="0076402B" w:rsidP="0076402B">
      <w:pPr>
        <w:widowControl w:val="0"/>
        <w:autoSpaceDE w:val="0"/>
        <w:autoSpaceDN w:val="0"/>
        <w:adjustRightInd w:val="0"/>
        <w:jc w:val="both"/>
        <w:rPr>
          <w:b/>
          <w:bCs/>
        </w:rPr>
      </w:pPr>
      <w:r>
        <w:rPr>
          <w:b/>
          <w:bCs/>
        </w:rPr>
        <w:t>Contains:</w:t>
      </w:r>
    </w:p>
    <w:p w14:paraId="057D8F42" w14:textId="77777777" w:rsidR="0076402B" w:rsidRPr="00DD1B38" w:rsidRDefault="0076402B" w:rsidP="0076402B">
      <w:pPr>
        <w:widowControl w:val="0"/>
        <w:autoSpaceDE w:val="0"/>
        <w:autoSpaceDN w:val="0"/>
        <w:adjustRightInd w:val="0"/>
        <w:jc w:val="both"/>
      </w:pPr>
      <w:r w:rsidRPr="00DD1B38">
        <w:t xml:space="preserve">Supplementary </w:t>
      </w:r>
      <w:r>
        <w:t>Methods</w:t>
      </w:r>
    </w:p>
    <w:p w14:paraId="3CED81D6" w14:textId="77777777" w:rsidR="0076402B" w:rsidRDefault="0076402B" w:rsidP="0076402B">
      <w:pPr>
        <w:widowControl w:val="0"/>
        <w:autoSpaceDE w:val="0"/>
        <w:autoSpaceDN w:val="0"/>
        <w:adjustRightInd w:val="0"/>
        <w:jc w:val="both"/>
      </w:pPr>
      <w:r>
        <w:t>Supplementary Figures 1-6</w:t>
      </w:r>
    </w:p>
    <w:p w14:paraId="7E9AC4AE" w14:textId="77777777" w:rsidR="0076402B" w:rsidRDefault="0076402B" w:rsidP="0076402B">
      <w:pPr>
        <w:widowControl w:val="0"/>
        <w:autoSpaceDE w:val="0"/>
        <w:autoSpaceDN w:val="0"/>
        <w:adjustRightInd w:val="0"/>
        <w:jc w:val="both"/>
      </w:pPr>
      <w:r>
        <w:t>Supplementary Tables 1-3</w:t>
      </w:r>
    </w:p>
    <w:p w14:paraId="1B3B35EE" w14:textId="77777777" w:rsidR="00B50ECD" w:rsidRPr="00B50ECD" w:rsidRDefault="00B50ECD" w:rsidP="00B50ECD">
      <w:r w:rsidRPr="00B50ECD">
        <w:t>Supplementary References</w:t>
      </w:r>
    </w:p>
    <w:p w14:paraId="12785487" w14:textId="77777777" w:rsidR="0076402B" w:rsidRDefault="0076402B" w:rsidP="0076402B">
      <w:pPr>
        <w:widowControl w:val="0"/>
        <w:autoSpaceDE w:val="0"/>
        <w:autoSpaceDN w:val="0"/>
        <w:adjustRightInd w:val="0"/>
        <w:jc w:val="both"/>
      </w:pPr>
    </w:p>
    <w:p w14:paraId="50B77A9C" w14:textId="77777777" w:rsidR="00B50ECD" w:rsidRDefault="00B50ECD" w:rsidP="0076402B">
      <w:pPr>
        <w:widowControl w:val="0"/>
        <w:autoSpaceDE w:val="0"/>
        <w:autoSpaceDN w:val="0"/>
        <w:adjustRightInd w:val="0"/>
        <w:jc w:val="both"/>
      </w:pPr>
    </w:p>
    <w:p w14:paraId="1C6717F0" w14:textId="4990BD35" w:rsidR="0076402B" w:rsidRPr="00E55028" w:rsidRDefault="0076402B" w:rsidP="0076402B">
      <w:pPr>
        <w:widowControl w:val="0"/>
        <w:autoSpaceDE w:val="0"/>
        <w:autoSpaceDN w:val="0"/>
        <w:adjustRightInd w:val="0"/>
        <w:jc w:val="both"/>
        <w:rPr>
          <w:b/>
          <w:bCs/>
        </w:rPr>
      </w:pPr>
      <w:r>
        <w:rPr>
          <w:b/>
          <w:bCs/>
        </w:rPr>
        <w:lastRenderedPageBreak/>
        <w:t>Supplementary Methods</w:t>
      </w:r>
    </w:p>
    <w:p w14:paraId="3A0E1C38" w14:textId="77777777" w:rsidR="0076402B" w:rsidRDefault="0076402B" w:rsidP="0076402B">
      <w:pPr>
        <w:widowControl w:val="0"/>
        <w:autoSpaceDE w:val="0"/>
        <w:autoSpaceDN w:val="0"/>
        <w:adjustRightInd w:val="0"/>
        <w:jc w:val="both"/>
        <w:rPr>
          <w:b/>
          <w:bCs/>
        </w:rPr>
      </w:pPr>
    </w:p>
    <w:p w14:paraId="4A5D5581" w14:textId="77777777" w:rsidR="0076402B" w:rsidRDefault="0076402B" w:rsidP="0076402B">
      <w:pPr>
        <w:widowControl w:val="0"/>
        <w:autoSpaceDE w:val="0"/>
        <w:autoSpaceDN w:val="0"/>
        <w:adjustRightInd w:val="0"/>
        <w:jc w:val="both"/>
        <w:rPr>
          <w:b/>
          <w:bCs/>
          <w:u w:val="single"/>
        </w:rPr>
      </w:pPr>
      <w:r w:rsidRPr="00BA1736">
        <w:rPr>
          <w:b/>
          <w:bCs/>
          <w:u w:val="single"/>
        </w:rPr>
        <w:t xml:space="preserve">Relationship </w:t>
      </w:r>
      <w:r>
        <w:rPr>
          <w:b/>
          <w:bCs/>
          <w:u w:val="single"/>
        </w:rPr>
        <w:t>trading partners and port-to-port downtime risk</w:t>
      </w:r>
    </w:p>
    <w:p w14:paraId="79A60270" w14:textId="77777777" w:rsidR="0076402B" w:rsidRPr="00BA1736" w:rsidRDefault="0076402B" w:rsidP="0076402B">
      <w:pPr>
        <w:widowControl w:val="0"/>
        <w:autoSpaceDE w:val="0"/>
        <w:autoSpaceDN w:val="0"/>
        <w:adjustRightInd w:val="0"/>
        <w:jc w:val="both"/>
      </w:pPr>
      <w:r>
        <w:t xml:space="preserve">We test whether the number of port trading partners (that is the number of ports that are the last port of call of the incoming vessels at the port of interest, see ‘Port-to-port downtime risk’ below) has effect on the indirect downtime risk. To do this, we count the number of port partners (NP) of incoming vessels, and account for the direct downtime risk at ports. The latter is to account for the fact that ports (p) with a high direct downtime risk (DR) have a high likelihood of downtime risk at their geographically near trading partners. </w:t>
      </w:r>
    </w:p>
    <w:p w14:paraId="70B874F3" w14:textId="77777777" w:rsidR="0076402B" w:rsidRDefault="0076402B" w:rsidP="0076402B">
      <w:pPr>
        <w:widowControl w:val="0"/>
        <w:autoSpaceDE w:val="0"/>
        <w:autoSpaceDN w:val="0"/>
        <w:adjustRightInd w:val="0"/>
        <w:jc w:val="both"/>
        <w:rPr>
          <w:b/>
          <w:bCs/>
        </w:rPr>
      </w:pPr>
    </w:p>
    <w:p w14:paraId="6F6B8EA0" w14:textId="77777777" w:rsidR="0076402B" w:rsidRDefault="0076402B" w:rsidP="0076402B">
      <w:pPr>
        <w:widowControl w:val="0"/>
        <w:autoSpaceDE w:val="0"/>
        <w:autoSpaceDN w:val="0"/>
        <w:adjustRightInd w:val="0"/>
        <w:jc w:val="both"/>
      </w:pPr>
      <w:r>
        <w:t>In short, we formulate the regression:</w:t>
      </w:r>
    </w:p>
    <w:p w14:paraId="0C4B962D" w14:textId="77777777" w:rsidR="0076402B" w:rsidRDefault="0076402B" w:rsidP="0076402B">
      <w:pPr>
        <w:widowControl w:val="0"/>
        <w:autoSpaceDE w:val="0"/>
        <w:autoSpaceDN w:val="0"/>
        <w:adjustRightInd w:val="0"/>
        <w:jc w:val="both"/>
      </w:pPr>
    </w:p>
    <w:p w14:paraId="4ACCEE2D" w14:textId="77777777" w:rsidR="0076402B" w:rsidRPr="000A3A19" w:rsidRDefault="0076402B" w:rsidP="0076402B">
      <w:pPr>
        <w:widowControl w:val="0"/>
        <w:autoSpaceDE w:val="0"/>
        <w:autoSpaceDN w:val="0"/>
        <w:adjustRightInd w:val="0"/>
        <w:jc w:val="both"/>
        <w:rPr>
          <w:rFonts w:eastAsiaTheme="minorEastAsia"/>
          <w:i/>
        </w:rPr>
      </w:pPr>
      <m:oMathPara>
        <m:oMath>
          <m:r>
            <w:rPr>
              <w:rFonts w:ascii="Cambria Math" w:hAnsi="Cambria Math"/>
            </w:rPr>
            <m:t>PtPD</m:t>
          </m:r>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LN(N</m:t>
          </m:r>
          <m:sSub>
            <m:sSubPr>
              <m:ctrlPr>
                <w:rPr>
                  <w:rFonts w:ascii="Cambria Math" w:hAnsi="Cambria Math"/>
                  <w:i/>
                </w:rPr>
              </m:ctrlPr>
            </m:sSubPr>
            <m:e>
              <m:r>
                <w:rPr>
                  <w:rFonts w:ascii="Cambria Math" w:hAnsi="Cambria Math"/>
                </w:rPr>
                <m:t>P</m:t>
              </m:r>
            </m:e>
            <m:sub>
              <m:r>
                <w:rPr>
                  <w:rFonts w:ascii="Cambria Math" w:hAnsi="Cambria Math"/>
                </w:rPr>
                <m:t>p</m:t>
              </m:r>
            </m:sub>
          </m:sSub>
          <m:r>
            <w:rPr>
              <w:rFonts w:ascii="Cambria Math" w:hAnsi="Cambria Math"/>
            </w:rPr>
            <m:t>)+ϵ</m:t>
          </m:r>
        </m:oMath>
      </m:oMathPara>
    </w:p>
    <w:p w14:paraId="32DA062C" w14:textId="77777777" w:rsidR="0076402B" w:rsidRDefault="0076402B" w:rsidP="0076402B">
      <w:pPr>
        <w:widowControl w:val="0"/>
        <w:autoSpaceDE w:val="0"/>
        <w:autoSpaceDN w:val="0"/>
        <w:adjustRightInd w:val="0"/>
        <w:jc w:val="both"/>
        <w:rPr>
          <w:rFonts w:eastAsiaTheme="minorEastAsia"/>
        </w:rPr>
      </w:pPr>
    </w:p>
    <w:p w14:paraId="712B86F2" w14:textId="77777777" w:rsidR="0076402B" w:rsidRDefault="0076402B" w:rsidP="0076402B">
      <w:pPr>
        <w:widowControl w:val="0"/>
        <w:autoSpaceDE w:val="0"/>
        <w:autoSpaceDN w:val="0"/>
        <w:adjustRightInd w:val="0"/>
        <w:jc w:val="both"/>
        <w:rPr>
          <w:rFonts w:eastAsiaTheme="minorEastAsia"/>
        </w:rPr>
      </w:pPr>
      <w:r>
        <w:rPr>
          <w:rFonts w:eastAsiaTheme="minorEastAsia"/>
        </w:rPr>
        <w:t>Both coefficients are statistically significant (p &lt; 0.01) with a model fit with R</w:t>
      </w:r>
      <w:r>
        <w:rPr>
          <w:rFonts w:eastAsiaTheme="minorEastAsia"/>
          <w:vertAlign w:val="superscript"/>
        </w:rPr>
        <w:t>2</w:t>
      </w:r>
      <w:r>
        <w:rPr>
          <w:rFonts w:eastAsiaTheme="minorEastAsia"/>
        </w:rPr>
        <w:t xml:space="preserve"> of 0.21. A high direct downtime risk is associated with a higher port-to-port downtime risk (</w:t>
      </w:r>
      <m:oMath>
        <m:sSub>
          <m:sSubPr>
            <m:ctrlPr>
              <w:rPr>
                <w:rFonts w:ascii="Cambria Math" w:hAnsi="Cambria Math"/>
                <w:i/>
              </w:rPr>
            </m:ctrlPr>
          </m:sSubPr>
          <m:e>
            <m:r>
              <m:rPr>
                <m:sty m:val="p"/>
              </m:rPr>
              <w:rPr>
                <w:rFonts w:ascii="Cambria Math" w:hAnsi="Cambria Math"/>
              </w:rPr>
              <m:t>β</m:t>
            </m:r>
          </m:e>
          <m:sub>
            <m:r>
              <w:rPr>
                <w:rFonts w:ascii="Cambria Math" w:hAnsi="Cambria Math"/>
              </w:rPr>
              <m:t>1</m:t>
            </m:r>
          </m:sub>
        </m:sSub>
        <m:r>
          <w:rPr>
            <w:rFonts w:ascii="Cambria Math" w:hAnsi="Cambria Math"/>
          </w:rPr>
          <m:t xml:space="preserve"> = 0.24)</m:t>
        </m:r>
      </m:oMath>
      <w:r>
        <w:rPr>
          <w:rFonts w:eastAsiaTheme="minorEastAsia"/>
        </w:rPr>
        <w:t>, while a higher number of trading partners is associated with a lower port-to-port downtime risk (</w:t>
      </w:r>
      <m:oMath>
        <m:sSub>
          <m:sSubPr>
            <m:ctrlPr>
              <w:rPr>
                <w:rFonts w:ascii="Cambria Math" w:hAnsi="Cambria Math"/>
                <w:i/>
              </w:rPr>
            </m:ctrlPr>
          </m:sSubPr>
          <m:e>
            <m:r>
              <m:rPr>
                <m:sty m:val="p"/>
              </m:rPr>
              <w:rPr>
                <w:rFonts w:ascii="Cambria Math" w:hAnsi="Cambria Math"/>
              </w:rPr>
              <m:t>β</m:t>
            </m:r>
          </m:e>
          <m:sub>
            <m:r>
              <w:rPr>
                <w:rFonts w:ascii="Cambria Math" w:hAnsi="Cambria Math"/>
              </w:rPr>
              <m:t>2</m:t>
            </m:r>
          </m:sub>
        </m:sSub>
        <m:r>
          <w:rPr>
            <w:rFonts w:ascii="Cambria Math" w:hAnsi="Cambria Math"/>
          </w:rPr>
          <m:t xml:space="preserve"> =-0.07)</m:t>
        </m:r>
      </m:oMath>
      <w:r>
        <w:rPr>
          <w:rFonts w:eastAsiaTheme="minorEastAsia"/>
        </w:rPr>
        <w:t xml:space="preserve">. </w:t>
      </w:r>
    </w:p>
    <w:p w14:paraId="2DE4DE43" w14:textId="77777777" w:rsidR="0076402B" w:rsidRDefault="0076402B" w:rsidP="0076402B">
      <w:pPr>
        <w:widowControl w:val="0"/>
        <w:autoSpaceDE w:val="0"/>
        <w:autoSpaceDN w:val="0"/>
        <w:adjustRightInd w:val="0"/>
        <w:jc w:val="both"/>
        <w:rPr>
          <w:rFonts w:eastAsiaTheme="minorEastAsia"/>
        </w:rPr>
      </w:pPr>
    </w:p>
    <w:p w14:paraId="402F7CFE" w14:textId="77777777" w:rsidR="0076402B" w:rsidRPr="002B5775" w:rsidRDefault="0076402B" w:rsidP="0076402B">
      <w:pPr>
        <w:widowControl w:val="0"/>
        <w:autoSpaceDE w:val="0"/>
        <w:autoSpaceDN w:val="0"/>
        <w:adjustRightInd w:val="0"/>
        <w:jc w:val="both"/>
        <w:rPr>
          <w:rFonts w:eastAsiaTheme="minorEastAsia"/>
          <w:b/>
          <w:bCs/>
          <w:u w:val="single"/>
        </w:rPr>
      </w:pPr>
      <w:r w:rsidRPr="00D729C5">
        <w:rPr>
          <w:rFonts w:eastAsiaTheme="minorEastAsia"/>
          <w:b/>
          <w:bCs/>
          <w:u w:val="single"/>
        </w:rPr>
        <w:t>Port-to-port downtime risk</w:t>
      </w:r>
    </w:p>
    <w:p w14:paraId="78DAEF24" w14:textId="0D3327EA" w:rsidR="0076402B" w:rsidRDefault="0076402B" w:rsidP="0076402B">
      <w:pPr>
        <w:widowControl w:val="0"/>
        <w:autoSpaceDE w:val="0"/>
        <w:autoSpaceDN w:val="0"/>
        <w:adjustRightInd w:val="0"/>
        <w:jc w:val="both"/>
        <w:rPr>
          <w:rFonts w:eastAsiaTheme="minorEastAsia"/>
        </w:rPr>
      </w:pPr>
      <w:r>
        <w:rPr>
          <w:rFonts w:eastAsiaTheme="minorEastAsia"/>
        </w:rPr>
        <w:t>To construct the port-to-port network, we constructed a database of vessel movements between 1320 ports in our subsample, covering around 98,000 trade-carrying vessels in total. Based on the order of visits between 2019 and 2020, we can construct the connections between ports (which we call routes). Details of this dataset are included in previous work</w:t>
      </w:r>
      <w:r>
        <w:rPr>
          <w:rFonts w:eastAsiaTheme="minorEastAsia"/>
        </w:rPr>
        <w:fldChar w:fldCharType="begin" w:fldLock="1"/>
      </w:r>
      <w:r w:rsidR="00B50ECD">
        <w:rPr>
          <w:rFonts w:eastAsiaTheme="minorEastAsia"/>
        </w:rPr>
        <w:instrText>ADDIN CSL_CITATION {"citationItems":[{"id":"ITEM-1","itemData":{"DOI":"10.1371/journal.pone.0248818","ISSN":"1932-6203","abstract":"The implementation of large-scale containment measures by governments to contain the spread of the COVID-19 virus has resulted in large impacts to the global economy. Here, we derive a new high-frequency indicator of economic activity using empirical vessel tracking data, and use it to estimate the global maritime trade losses during the first eight months of the pandemic. We go on to use this high-frequency dataset to infer the effect of individual non-pharmaceutical interventions on maritime exports, which we use as a proxy of economic activity. Our results show widespread port-level trade losses, with the largest absolute losses found for ports in China, the Middle-East and Western Europe, associated with the collapse of specific supply-chains (e.g. oil, vehicle manufacturing). In total, we estimate that global maritime trade reduced by -7.0% to -9.6% during the first eight months of 2020, which is equal to around 206–286 million tonnes in volume losses and up to 225–412 billion USD in value losses. We find large sectoral and geographical disparities in impacts. Manufacturing sectors are hit hardest, with losses up to 11.8%, whilst some small islands developing states and low-income economies suffered the largest relative trade losses. Moreover, we find a clear negative impact of COVID-19 related school and public transport closures on country-wide exports. Overall, we show how real-time indicators of economic activity can inform policy-makers about the impacts of individual policies on the economy, and can support economic recovery efforts by allocating funds to the hardest hit economies and sectors.","author":[{"dropping-particle":"","family":"Verschuur","given":"Jasper","non-dropping-particle":"","parse-names":false,"suffix":""},{"dropping-particle":"","family":"Koks","given":"Elco E.","non-dropping-particle":"","parse-names":false,"suffix":""},{"dropping-particle":"","family":"Hall","given":"Jim W.","non-dropping-particle":"","parse-names":false,"suffix":""}],"container-title":"PLOS ONE","id":"ITEM-1","issue":"4","issued":{"date-parts":[["2021"]]},"page":"e0248818","title":"Global economic impacts of COVID-19 lockdown measures stand out in high-frequency shipping data","type":"article-journal","volume":"16"},"uris":["http://www.mendeley.com/documents/?uuid=c2768b1f-7b6c-4ecf-a305-a63b0125e5d5"]},{"id":"ITEM-2","itemData":{"DOI":"10.1038/s41467-022-32070-0","ISSN":"2041-1723","abstract":"We quantify the criticality of the world’s 1300 most important ports for global supply chains by predicting the allocation of trade flows on the global maritime transport network, which we link to a global supply-chain database to evaluate the importance of ports for the economy. We find that 50% of global trade in value terms is maritime, with low-income countries and small islands being 1.5 and 2.0 times more reliant on their ports compared to the global average. The five largest ports globally handle goods that embody &gt;1.4% of global output, while 40 ports add &gt;10% of domestic output of the economies they serve, predominantly small islands. We identify critical cross-border infrastructure dependencies for some landlocked and island countries that rely on specific ports outside their jurisdiction. Our results pave the way for developing new strategies to enhance the resilience and sustainability of port infrastructure and maritime trade.","author":[{"dropping-particle":"","family":"Verschuur","given":"J.","non-dropping-particle":"","parse-names":false,"suffix":""},{"dropping-particle":"","family":"Koks","given":"E. E.","non-dropping-particle":"","parse-names":false,"suffix":""},{"dropping-particle":"","family":"Hall","given":"J. W.","non-dropping-particle":"","parse-names":false,"suffix":""}],"container-title":"Nature Communications","id":"ITEM-2","issue":"1","issued":{"date-parts":[["2022","12","27"]]},"page":"4351","title":"Ports’ criticality in international trade and global supply-chains","type":"article-journal","volume":"13"},"uris":["http://www.mendeley.com/documents/?uuid=ae5ced4e-3918-4d10-b8a0-4db7cfbc7c27"]}],"mendeley":{"formattedCitation":"&lt;sup&gt;1,2&lt;/sup&gt;","plainTextFormattedCitation":"1,2","previouslyFormattedCitation":"&lt;sup&gt;1,2&lt;/sup&gt;"},"properties":{"noteIndex":0},"schema":"https://github.com/citation-style-language/schema/raw/master/csl-citation.json"}</w:instrText>
      </w:r>
      <w:r>
        <w:rPr>
          <w:rFonts w:eastAsiaTheme="minorEastAsia"/>
        </w:rPr>
        <w:fldChar w:fldCharType="separate"/>
      </w:r>
      <w:r w:rsidR="00B50ECD" w:rsidRPr="00B50ECD">
        <w:rPr>
          <w:rFonts w:eastAsiaTheme="minorEastAsia"/>
          <w:noProof/>
          <w:vertAlign w:val="superscript"/>
        </w:rPr>
        <w:t>1,2</w:t>
      </w:r>
      <w:r>
        <w:rPr>
          <w:rFonts w:eastAsiaTheme="minorEastAsia"/>
        </w:rPr>
        <w:fldChar w:fldCharType="end"/>
      </w:r>
      <w:r>
        <w:rPr>
          <w:rFonts w:eastAsiaTheme="minorEastAsia"/>
        </w:rPr>
        <w:t xml:space="preserve">. On every route, a vessel carries an amount of goods (the loaded capacity), which we approximate by multiplying the payload (or utilisation rate) on the route with the carrying capacity of the vessel (its DWT). When then aggregate across all vessels and divide by two to get the average loaded capacity on transport route for the year 2019-2020. This results in a dataset of 150,000 routes between the 1320 ports. </w:t>
      </w:r>
    </w:p>
    <w:p w14:paraId="0215343D" w14:textId="77777777" w:rsidR="0076402B" w:rsidRDefault="0076402B" w:rsidP="0076402B">
      <w:pPr>
        <w:widowControl w:val="0"/>
        <w:autoSpaceDE w:val="0"/>
        <w:autoSpaceDN w:val="0"/>
        <w:adjustRightInd w:val="0"/>
        <w:jc w:val="both"/>
        <w:rPr>
          <w:rFonts w:eastAsiaTheme="minorEastAsia"/>
        </w:rPr>
      </w:pPr>
    </w:p>
    <w:p w14:paraId="0281BAE4" w14:textId="77777777" w:rsidR="0076402B" w:rsidRDefault="0076402B" w:rsidP="0076402B">
      <w:pPr>
        <w:widowControl w:val="0"/>
        <w:autoSpaceDE w:val="0"/>
        <w:autoSpaceDN w:val="0"/>
        <w:adjustRightInd w:val="0"/>
        <w:jc w:val="both"/>
        <w:rPr>
          <w:rFonts w:eastAsiaTheme="minorEastAsia"/>
        </w:rPr>
      </w:pPr>
      <w:r>
        <w:rPr>
          <w:rFonts w:eastAsiaTheme="minorEastAsia"/>
        </w:rPr>
        <w:t xml:space="preserve">For every port of interest, we look at the loaded capacity on the route from all origin ports in our sample. We then combine this with the downtime risk at these ports (Extended Figure 1) to derive the loaded capacity at-risk. Supplementary Figure 3 shows examples of the loaded capacity at-risk for six ports; Rotterdam (Netherlands), Los Angeles-Long Beach (United States), Jeddah (Saudi Arabia), Durban (South Africa), Suva (Fiji) and Santos (Brazil). To estimate the port-to-port downtime risk, we take a weighted mean of the loaded capacity at-risk across all the origin ports. </w:t>
      </w:r>
    </w:p>
    <w:p w14:paraId="45EB6F2F" w14:textId="77777777" w:rsidR="0076402B" w:rsidRDefault="0076402B" w:rsidP="0076402B">
      <w:pPr>
        <w:widowControl w:val="0"/>
        <w:autoSpaceDE w:val="0"/>
        <w:autoSpaceDN w:val="0"/>
        <w:adjustRightInd w:val="0"/>
        <w:jc w:val="both"/>
        <w:rPr>
          <w:rFonts w:eastAsiaTheme="minorEastAsia"/>
        </w:rPr>
      </w:pPr>
    </w:p>
    <w:p w14:paraId="74152AF1" w14:textId="77777777" w:rsidR="0076402B" w:rsidRPr="002B5775" w:rsidRDefault="0076402B" w:rsidP="0076402B">
      <w:pPr>
        <w:widowControl w:val="0"/>
        <w:autoSpaceDE w:val="0"/>
        <w:autoSpaceDN w:val="0"/>
        <w:adjustRightInd w:val="0"/>
        <w:jc w:val="both"/>
        <w:rPr>
          <w:rFonts w:eastAsiaTheme="minorEastAsia"/>
          <w:b/>
          <w:bCs/>
          <w:u w:val="single"/>
        </w:rPr>
      </w:pPr>
      <w:r>
        <w:rPr>
          <w:rFonts w:eastAsiaTheme="minorEastAsia"/>
          <w:b/>
          <w:bCs/>
          <w:u w:val="single"/>
        </w:rPr>
        <w:t>Maritime trade at-risk</w:t>
      </w:r>
    </w:p>
    <w:p w14:paraId="6B1D660B" w14:textId="03A97969" w:rsidR="0076402B" w:rsidRDefault="0076402B" w:rsidP="0076402B">
      <w:pPr>
        <w:widowControl w:val="0"/>
        <w:autoSpaceDE w:val="0"/>
        <w:autoSpaceDN w:val="0"/>
        <w:adjustRightInd w:val="0"/>
        <w:jc w:val="both"/>
        <w:rPr>
          <w:rFonts w:eastAsiaTheme="minorEastAsia"/>
        </w:rPr>
      </w:pPr>
      <w:r>
        <w:rPr>
          <w:rFonts w:eastAsiaTheme="minorEastAsia"/>
        </w:rPr>
        <w:t>To estimate the maritime trade at-risk, we utilize the output of the Oxford Maritime Transport (</w:t>
      </w:r>
      <w:proofErr w:type="spellStart"/>
      <w:r>
        <w:rPr>
          <w:rFonts w:eastAsiaTheme="minorEastAsia"/>
        </w:rPr>
        <w:t>OxMarTrans</w:t>
      </w:r>
      <w:proofErr w:type="spellEnd"/>
      <w:r>
        <w:rPr>
          <w:rFonts w:eastAsiaTheme="minorEastAsia"/>
        </w:rPr>
        <w:t xml:space="preserve">) model, a global maritime transport model that can simulate the route allocation of bilateral maritime trade flows. A detailed overview of the </w:t>
      </w:r>
      <w:proofErr w:type="spellStart"/>
      <w:r>
        <w:rPr>
          <w:rFonts w:eastAsiaTheme="minorEastAsia"/>
        </w:rPr>
        <w:t>OxMarTrans</w:t>
      </w:r>
      <w:proofErr w:type="spellEnd"/>
      <w:r>
        <w:rPr>
          <w:rFonts w:eastAsiaTheme="minorEastAsia"/>
        </w:rPr>
        <w:t xml:space="preserve"> model is provided in ref</w:t>
      </w:r>
      <w:r>
        <w:rPr>
          <w:rFonts w:eastAsiaTheme="minorEastAsia"/>
        </w:rPr>
        <w:fldChar w:fldCharType="begin" w:fldLock="1"/>
      </w:r>
      <w:r w:rsidR="00B50ECD">
        <w:rPr>
          <w:rFonts w:eastAsiaTheme="minorEastAsia"/>
        </w:rPr>
        <w:instrText>ADDIN CSL_CITATION {"citationItems":[{"id":"ITEM-1","itemData":{"DOI":"10.1038/s41467-022-32070-0","ISSN":"2041-1723","abstract":"We quantify the criticality of the world’s 1300 most important ports for global supply chains by predicting the allocation of trade flows on the global maritime transport network, which we link to a global supply-chain database to evaluate the importance of ports for the economy. We find that 50% of global trade in value terms is maritime, with low-income countries and small islands being 1.5 and 2.0 times more reliant on their ports compared to the global average. The five largest ports globally handle goods that embody &gt;1.4% of global output, while 40 ports add &gt;10% of domestic output of the economies they serve, predominantly small islands. We identify critical cross-border infrastructure dependencies for some landlocked and island countries that rely on specific ports outside their jurisdiction. Our results pave the way for developing new strategies to enhance the resilience and sustainability of port infrastructure and maritime trade.","author":[{"dropping-particle":"","family":"Verschuur","given":"J.","non-dropping-particle":"","parse-names":false,"suffix":""},{"dropping-particle":"","family":"Koks","given":"E. E.","non-dropping-particle":"","parse-names":false,"suffix":""},{"dropping-particle":"","family":"Hall","given":"J. W.","non-dropping-particle":"","parse-names":false,"suffix":""}],"container-title":"Nature Communications","id":"ITEM-1","issue":"1","issued":{"date-parts":[["2022","12","27"]]},"page":"4351","title":"Ports’ criticality in international trade and global supply-chains","type":"article-journal","volume":"13"},"uris":["http://www.mendeley.com/documents/?uuid=ae5ced4e-3918-4d10-b8a0-4db7cfbc7c27"]}],"mendeley":{"formattedCitation":"&lt;sup&gt;2&lt;/sup&gt;","plainTextFormattedCitation":"2","previouslyFormattedCitation":"&lt;sup&gt;2&lt;/sup&gt;"},"properties":{"noteIndex":0},"schema":"https://github.com/citation-style-language/schema/raw/master/csl-citation.json"}</w:instrText>
      </w:r>
      <w:r>
        <w:rPr>
          <w:rFonts w:eastAsiaTheme="minorEastAsia"/>
        </w:rPr>
        <w:fldChar w:fldCharType="separate"/>
      </w:r>
      <w:r w:rsidR="00B50ECD" w:rsidRPr="00B50ECD">
        <w:rPr>
          <w:rFonts w:eastAsiaTheme="minorEastAsia"/>
          <w:noProof/>
          <w:vertAlign w:val="superscript"/>
        </w:rPr>
        <w:t>2</w:t>
      </w:r>
      <w:r>
        <w:rPr>
          <w:rFonts w:eastAsiaTheme="minorEastAsia"/>
        </w:rPr>
        <w:fldChar w:fldCharType="end"/>
      </w:r>
      <w:r>
        <w:rPr>
          <w:rFonts w:eastAsiaTheme="minorEastAsia"/>
        </w:rPr>
        <w:t xml:space="preserve">. The base year for the trade flows is 2015, as this dataset is linked to a global multi-regional input-output table (see below), for which 2015 was the latest available year at the time of performing the analysis. </w:t>
      </w:r>
    </w:p>
    <w:p w14:paraId="61E0B5FF" w14:textId="77777777" w:rsidR="0076402B" w:rsidRDefault="0076402B" w:rsidP="0076402B">
      <w:pPr>
        <w:widowControl w:val="0"/>
        <w:autoSpaceDE w:val="0"/>
        <w:autoSpaceDN w:val="0"/>
        <w:adjustRightInd w:val="0"/>
        <w:jc w:val="both"/>
        <w:rPr>
          <w:rFonts w:eastAsiaTheme="minorEastAsia"/>
        </w:rPr>
      </w:pPr>
    </w:p>
    <w:p w14:paraId="04B2D72D" w14:textId="77777777" w:rsidR="0076402B" w:rsidRDefault="0076402B" w:rsidP="0076402B">
      <w:pPr>
        <w:widowControl w:val="0"/>
        <w:autoSpaceDE w:val="0"/>
        <w:autoSpaceDN w:val="0"/>
        <w:adjustRightInd w:val="0"/>
        <w:jc w:val="both"/>
        <w:rPr>
          <w:rFonts w:eastAsiaTheme="minorEastAsia"/>
        </w:rPr>
      </w:pPr>
      <w:r>
        <w:rPr>
          <w:rFonts w:eastAsiaTheme="minorEastAsia"/>
        </w:rPr>
        <w:t xml:space="preserve">For every country’s maritime trade exports, we look which ports are being used to export goods (often at a domestic port of the exporting country if a country is not a landlocked country), tranship goods (often a foreign port), and import goods (often at a trading partner’s domestic port if the trading partner is not a landlocked country). We can do a similar exercise for a </w:t>
      </w:r>
      <w:r>
        <w:rPr>
          <w:rFonts w:eastAsiaTheme="minorEastAsia"/>
        </w:rPr>
        <w:lastRenderedPageBreak/>
        <w:t xml:space="preserve">country’s maritime imports, looking at the ports used to export goods (often a trading partner’s domestic port if the trading partner is not a landlocked country), tranship goods, and import goods (often at a domestic port of the importing country if a country is not a landlocked country). This results in a network of &gt;2.1 million unique port-country pair combinations across &gt;25,000 unique country pairs and 11 economic sectors. For the results reported, we only look at the aggregate flows across the 11 sectors. </w:t>
      </w:r>
    </w:p>
    <w:p w14:paraId="5BF57D29" w14:textId="77777777" w:rsidR="0076402B" w:rsidRDefault="0076402B" w:rsidP="0076402B">
      <w:pPr>
        <w:widowControl w:val="0"/>
        <w:autoSpaceDE w:val="0"/>
        <w:autoSpaceDN w:val="0"/>
        <w:adjustRightInd w:val="0"/>
        <w:jc w:val="both"/>
        <w:rPr>
          <w:rFonts w:eastAsiaTheme="minorEastAsia"/>
        </w:rPr>
      </w:pPr>
    </w:p>
    <w:p w14:paraId="73CF875A" w14:textId="77777777" w:rsidR="0076402B" w:rsidRDefault="0076402B" w:rsidP="0076402B">
      <w:pPr>
        <w:widowControl w:val="0"/>
        <w:autoSpaceDE w:val="0"/>
        <w:autoSpaceDN w:val="0"/>
        <w:adjustRightInd w:val="0"/>
        <w:jc w:val="both"/>
        <w:rPr>
          <w:rFonts w:eastAsiaTheme="minorEastAsia"/>
        </w:rPr>
      </w:pPr>
      <w:r>
        <w:rPr>
          <w:rFonts w:eastAsiaTheme="minorEastAsia"/>
        </w:rPr>
        <w:t xml:space="preserve">By combining the amount of trade flowing through each port (either in volume or value terms) with the annually expected downtime at this port, we can construct an overview of a country’s trade-dependent ports and the trade at-risk at the port-level. Supplementary Figure 5 shows the top 200 ports with the highest trade at-risk for six example countries (Netherlands, Brazil, United States, Fiji, South Africa and Brazil). We can construct a country’s downtime risk by taking doing a weighted mean (weighted with the amount of a country’s trade flows going through a port) across all ports in a country’s “port portfolio”, and multiply this with the total trade flow to estimate the total trade at-risk. We can do this for both a country’s imports as well as exports, the total of which is similar on a global scale, but different on a country scale. </w:t>
      </w:r>
    </w:p>
    <w:p w14:paraId="7B887264" w14:textId="77777777" w:rsidR="0076402B" w:rsidRDefault="0076402B" w:rsidP="0076402B">
      <w:pPr>
        <w:widowControl w:val="0"/>
        <w:autoSpaceDE w:val="0"/>
        <w:autoSpaceDN w:val="0"/>
        <w:adjustRightInd w:val="0"/>
        <w:jc w:val="both"/>
        <w:rPr>
          <w:rFonts w:eastAsiaTheme="minorEastAsia"/>
        </w:rPr>
      </w:pPr>
    </w:p>
    <w:p w14:paraId="3C995958" w14:textId="77777777" w:rsidR="0076402B" w:rsidRPr="002B5775" w:rsidRDefault="0076402B" w:rsidP="0076402B">
      <w:pPr>
        <w:widowControl w:val="0"/>
        <w:autoSpaceDE w:val="0"/>
        <w:autoSpaceDN w:val="0"/>
        <w:adjustRightInd w:val="0"/>
        <w:jc w:val="both"/>
        <w:rPr>
          <w:rFonts w:eastAsiaTheme="minorEastAsia"/>
          <w:b/>
          <w:bCs/>
          <w:u w:val="single"/>
        </w:rPr>
      </w:pPr>
      <w:r>
        <w:rPr>
          <w:rFonts w:eastAsiaTheme="minorEastAsia"/>
          <w:b/>
          <w:bCs/>
          <w:u w:val="single"/>
        </w:rPr>
        <w:t>Economic activity at-risk</w:t>
      </w:r>
    </w:p>
    <w:p w14:paraId="620557EA" w14:textId="77777777" w:rsidR="0076402B" w:rsidRDefault="0076402B" w:rsidP="0076402B">
      <w:pPr>
        <w:widowControl w:val="0"/>
        <w:autoSpaceDE w:val="0"/>
        <w:autoSpaceDN w:val="0"/>
        <w:adjustRightInd w:val="0"/>
        <w:jc w:val="both"/>
        <w:rPr>
          <w:rFonts w:eastAsiaTheme="minorEastAsia"/>
        </w:rPr>
      </w:pPr>
      <w:r>
        <w:rPr>
          <w:rFonts w:eastAsiaTheme="minorEastAsia"/>
        </w:rPr>
        <w:t>The estimates of economic activity at-risk builds upon the maritime trade network described in ‘Maritime trade at-risk’, but goes one step further. This metric does not only intend to estimate how a supply-chain is exposed to downtime because you trade through a certain port, but also because you rely on firms upstream in your supply-chain (the firms you depend on, 1</w:t>
      </w:r>
      <w:r w:rsidRPr="007621F4">
        <w:rPr>
          <w:rFonts w:eastAsiaTheme="minorEastAsia"/>
          <w:vertAlign w:val="superscript"/>
        </w:rPr>
        <w:t>st</w:t>
      </w:r>
      <w:r>
        <w:rPr>
          <w:rFonts w:eastAsiaTheme="minorEastAsia"/>
        </w:rPr>
        <w:t xml:space="preserve"> order suppliers, or firms that the firms that you depend on depend on, 2</w:t>
      </w:r>
      <w:r w:rsidRPr="00BD7609">
        <w:rPr>
          <w:rFonts w:eastAsiaTheme="minorEastAsia"/>
          <w:vertAlign w:val="superscript"/>
        </w:rPr>
        <w:t>nd</w:t>
      </w:r>
      <w:r>
        <w:rPr>
          <w:rFonts w:eastAsiaTheme="minorEastAsia"/>
        </w:rPr>
        <w:t xml:space="preserve"> order suppliers, etc). In other words, as a supply-chain, you may be indirectly exposed to port disruptions without your direct input or consumption going through a port (e.g. you are exposed to closure of a raw materials exporting port without you directly using raw materials in your production process). </w:t>
      </w:r>
    </w:p>
    <w:p w14:paraId="020A88C6" w14:textId="77777777" w:rsidR="0076402B" w:rsidRDefault="0076402B" w:rsidP="0076402B">
      <w:pPr>
        <w:widowControl w:val="0"/>
        <w:autoSpaceDE w:val="0"/>
        <w:autoSpaceDN w:val="0"/>
        <w:adjustRightInd w:val="0"/>
        <w:jc w:val="both"/>
        <w:rPr>
          <w:rFonts w:eastAsiaTheme="minorEastAsia"/>
        </w:rPr>
      </w:pPr>
    </w:p>
    <w:p w14:paraId="692DC275" w14:textId="28428920" w:rsidR="0076402B" w:rsidRDefault="0076402B" w:rsidP="0076402B">
      <w:pPr>
        <w:widowControl w:val="0"/>
        <w:autoSpaceDE w:val="0"/>
        <w:autoSpaceDN w:val="0"/>
        <w:adjustRightInd w:val="0"/>
        <w:jc w:val="both"/>
        <w:rPr>
          <w:rFonts w:eastAsiaTheme="minorEastAsia"/>
        </w:rPr>
      </w:pPr>
      <w:r>
        <w:rPr>
          <w:rFonts w:eastAsiaTheme="minorEastAsia"/>
        </w:rPr>
        <w:t>To estimate this, we expand the methodology described in Verschuur et al.</w:t>
      </w:r>
      <w:r>
        <w:rPr>
          <w:rFonts w:eastAsiaTheme="minorEastAsia"/>
        </w:rPr>
        <w:fldChar w:fldCharType="begin" w:fldLock="1"/>
      </w:r>
      <w:r w:rsidR="00B50ECD">
        <w:rPr>
          <w:rFonts w:eastAsiaTheme="minorEastAsia"/>
        </w:rPr>
        <w:instrText>ADDIN CSL_CITATION {"citationItems":[{"id":"ITEM-1","itemData":{"DOI":"10.1038/s41467-022-32070-0","ISSN":"2041-1723","abstract":"We quantify the criticality of the world’s 1300 most important ports for global supply chains by predicting the allocation of trade flows on the global maritime transport network, which we link to a global supply-chain database to evaluate the importance of ports for the economy. We find that 50% of global trade in value terms is maritime, with low-income countries and small islands being 1.5 and 2.0 times more reliant on their ports compared to the global average. The five largest ports globally handle goods that embody &gt;1.4% of global output, while 40 ports add &gt;10% of domestic output of the economies they serve, predominantly small islands. We identify critical cross-border infrastructure dependencies for some landlocked and island countries that rely on specific ports outside their jurisdiction. Our results pave the way for developing new strategies to enhance the resilience and sustainability of port infrastructure and maritime trade.","author":[{"dropping-particle":"","family":"Verschuur","given":"J.","non-dropping-particle":"","parse-names":false,"suffix":""},{"dropping-particle":"","family":"Koks","given":"E. E.","non-dropping-particle":"","parse-names":false,"suffix":""},{"dropping-particle":"","family":"Hall","given":"J. W.","non-dropping-particle":"","parse-names":false,"suffix":""}],"container-title":"Nature Communications","id":"ITEM-1","issue":"1","issued":{"date-parts":[["2022","12","27"]]},"page":"4351","title":"Ports’ criticality in international trade and global supply-chains","type":"article-journal","volume":"13"},"uris":["http://www.mendeley.com/documents/?uuid=ae5ced4e-3918-4d10-b8a0-4db7cfbc7c27"]}],"mendeley":{"formattedCitation":"&lt;sup&gt;2&lt;/sup&gt;","plainTextFormattedCitation":"2","previouslyFormattedCitation":"&lt;sup&gt;2&lt;/sup&gt;"},"properties":{"noteIndex":0},"schema":"https://github.com/citation-style-language/schema/raw/master/csl-citation.json"}</w:instrText>
      </w:r>
      <w:r>
        <w:rPr>
          <w:rFonts w:eastAsiaTheme="minorEastAsia"/>
        </w:rPr>
        <w:fldChar w:fldCharType="separate"/>
      </w:r>
      <w:r w:rsidR="00B50ECD" w:rsidRPr="00B50ECD">
        <w:rPr>
          <w:rFonts w:eastAsiaTheme="minorEastAsia"/>
          <w:noProof/>
          <w:vertAlign w:val="superscript"/>
        </w:rPr>
        <w:t>2</w:t>
      </w:r>
      <w:r>
        <w:rPr>
          <w:rFonts w:eastAsiaTheme="minorEastAsia"/>
        </w:rPr>
        <w:fldChar w:fldCharType="end"/>
      </w:r>
      <w:r>
        <w:rPr>
          <w:rFonts w:eastAsiaTheme="minorEastAsia"/>
        </w:rPr>
        <w:t>, who evaluated the criticality of ports for global and domestic supply-chains by hypothetically extracting the trade through this port from a global multiregional input-output table (MRIO). This is done by removing the sector-specific trade flows through a port (which connect industries across countries) and re-evaluating the industry output and consumption in the MRIO tables. Only forward dependencies are included in this metric (supply dependencies) and no backward dependencies (demand dependencies). Based on this, one could evaluate, per country and per sector, which percentage of its consumption or industry output is directly (because of a firm’s input coming through a port) or indirectly (because of a firm’s 1</w:t>
      </w:r>
      <w:r w:rsidRPr="007621F4">
        <w:rPr>
          <w:rFonts w:eastAsiaTheme="minorEastAsia"/>
          <w:vertAlign w:val="superscript"/>
        </w:rPr>
        <w:t>st</w:t>
      </w:r>
      <w:r>
        <w:rPr>
          <w:rFonts w:eastAsiaTheme="minorEastAsia"/>
        </w:rPr>
        <w:t>, 2</w:t>
      </w:r>
      <w:r w:rsidRPr="007621F4">
        <w:rPr>
          <w:rFonts w:eastAsiaTheme="minorEastAsia"/>
          <w:vertAlign w:val="superscript"/>
        </w:rPr>
        <w:t>nd</w:t>
      </w:r>
      <w:r>
        <w:rPr>
          <w:rFonts w:eastAsiaTheme="minorEastAsia"/>
        </w:rPr>
        <w:t xml:space="preserve"> or higher order suppliers input or output coming through a port) influenced by the trade flowing through the port of interest. To illustrate this, Supplementary Figure 5 shows the percentage of a country’s total industry output influenced by six example ports, namely Rotterdam, Los Angeles-Long Beach, Jeddah, Santos, Port Hedland and Durban. </w:t>
      </w:r>
    </w:p>
    <w:p w14:paraId="1B89FAFE" w14:textId="77777777" w:rsidR="0076402B" w:rsidRDefault="0076402B" w:rsidP="0076402B">
      <w:pPr>
        <w:widowControl w:val="0"/>
        <w:autoSpaceDE w:val="0"/>
        <w:autoSpaceDN w:val="0"/>
        <w:adjustRightInd w:val="0"/>
        <w:jc w:val="both"/>
        <w:rPr>
          <w:rFonts w:eastAsiaTheme="minorEastAsia"/>
        </w:rPr>
      </w:pPr>
    </w:p>
    <w:p w14:paraId="176EAFC1" w14:textId="77777777" w:rsidR="0076402B" w:rsidRPr="004073B3" w:rsidRDefault="0076402B" w:rsidP="0076402B">
      <w:pPr>
        <w:widowControl w:val="0"/>
        <w:autoSpaceDE w:val="0"/>
        <w:autoSpaceDN w:val="0"/>
        <w:adjustRightInd w:val="0"/>
        <w:jc w:val="both"/>
        <w:rPr>
          <w:rFonts w:eastAsiaTheme="minorEastAsia"/>
        </w:rPr>
      </w:pPr>
      <w:r>
        <w:rPr>
          <w:rFonts w:eastAsiaTheme="minorEastAsia"/>
        </w:rPr>
        <w:t xml:space="preserve">This analysis is done for all 1320 ports in our dataset. To find the industry output and consumption at-risk of a given supply-chain in a given country, we reserve the perspective and look at what fraction of the industry output and consumption is at-risk every year because of expected annual downtime at all the ports that this supply-chain depends upon. Similar as with the maritime trade at-risk, one can evaluate the top ports in terms of industry output or consumption at-risk, as for instance show for six countries in Supplementary Figure 6 (top 200 ports). This can be done at both the sector-country level as well as the aggregate country-level. </w:t>
      </w:r>
    </w:p>
    <w:p w14:paraId="0C592B8D" w14:textId="77777777" w:rsidR="0076402B" w:rsidRDefault="0076402B" w:rsidP="0076402B">
      <w:pPr>
        <w:widowControl w:val="0"/>
        <w:autoSpaceDE w:val="0"/>
        <w:autoSpaceDN w:val="0"/>
        <w:adjustRightInd w:val="0"/>
        <w:jc w:val="both"/>
        <w:rPr>
          <w:b/>
          <w:bCs/>
        </w:rPr>
      </w:pPr>
    </w:p>
    <w:p w14:paraId="53E868AF" w14:textId="77777777" w:rsidR="0076402B" w:rsidRDefault="0076402B" w:rsidP="0076402B">
      <w:pPr>
        <w:widowControl w:val="0"/>
        <w:autoSpaceDE w:val="0"/>
        <w:autoSpaceDN w:val="0"/>
        <w:adjustRightInd w:val="0"/>
        <w:jc w:val="both"/>
        <w:rPr>
          <w:b/>
          <w:bCs/>
        </w:rPr>
      </w:pPr>
    </w:p>
    <w:p w14:paraId="1604DEB7" w14:textId="77777777" w:rsidR="0076402B" w:rsidRDefault="0076402B" w:rsidP="0076402B">
      <w:pPr>
        <w:widowControl w:val="0"/>
        <w:autoSpaceDE w:val="0"/>
        <w:autoSpaceDN w:val="0"/>
        <w:adjustRightInd w:val="0"/>
        <w:jc w:val="both"/>
        <w:rPr>
          <w:b/>
          <w:bCs/>
        </w:rPr>
      </w:pPr>
    </w:p>
    <w:p w14:paraId="53E0BD7D" w14:textId="77777777" w:rsidR="0076402B" w:rsidRPr="00E55028" w:rsidRDefault="0076402B" w:rsidP="0076402B">
      <w:pPr>
        <w:widowControl w:val="0"/>
        <w:autoSpaceDE w:val="0"/>
        <w:autoSpaceDN w:val="0"/>
        <w:adjustRightInd w:val="0"/>
        <w:jc w:val="both"/>
        <w:rPr>
          <w:b/>
          <w:bCs/>
        </w:rPr>
      </w:pPr>
      <w:r>
        <w:rPr>
          <w:b/>
          <w:bCs/>
        </w:rPr>
        <w:t>Supplementary Figures</w:t>
      </w:r>
    </w:p>
    <w:p w14:paraId="6FD24849" w14:textId="77777777" w:rsidR="0076402B" w:rsidRDefault="0076402B" w:rsidP="0076402B">
      <w:pPr>
        <w:widowControl w:val="0"/>
        <w:autoSpaceDE w:val="0"/>
        <w:autoSpaceDN w:val="0"/>
        <w:adjustRightInd w:val="0"/>
        <w:jc w:val="both"/>
        <w:rPr>
          <w:b/>
          <w:bCs/>
        </w:rPr>
      </w:pPr>
      <w:r>
        <w:rPr>
          <w:b/>
          <w:bCs/>
          <w:noProof/>
        </w:rPr>
        <w:drawing>
          <wp:inline distT="0" distB="0" distL="0" distR="0" wp14:anchorId="173A2CDE" wp14:editId="2DD7EBBC">
            <wp:extent cx="5994400" cy="2760649"/>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02272" cy="2764274"/>
                    </a:xfrm>
                    <a:prstGeom prst="rect">
                      <a:avLst/>
                    </a:prstGeom>
                  </pic:spPr>
                </pic:pic>
              </a:graphicData>
            </a:graphic>
          </wp:inline>
        </w:drawing>
      </w:r>
    </w:p>
    <w:p w14:paraId="712C1D97" w14:textId="77777777" w:rsidR="0076402B" w:rsidRPr="006F0F4E" w:rsidRDefault="0076402B" w:rsidP="0076402B">
      <w:pPr>
        <w:widowControl w:val="0"/>
        <w:autoSpaceDE w:val="0"/>
        <w:autoSpaceDN w:val="0"/>
        <w:adjustRightInd w:val="0"/>
        <w:jc w:val="both"/>
      </w:pPr>
      <w:r>
        <w:rPr>
          <w:b/>
          <w:bCs/>
        </w:rPr>
        <w:t xml:space="preserve">Supplementary Figure 1. Number of port trading partners. </w:t>
      </w:r>
      <w:r>
        <w:t xml:space="preserve">The number of ports that a port directly depends upon in the maritime transport network. These trading ports are ports that vessels have last visited before calling at the port of interest. </w:t>
      </w:r>
    </w:p>
    <w:p w14:paraId="44781A79" w14:textId="77777777" w:rsidR="0076402B" w:rsidRDefault="0076402B" w:rsidP="0076402B">
      <w:pPr>
        <w:widowControl w:val="0"/>
        <w:autoSpaceDE w:val="0"/>
        <w:autoSpaceDN w:val="0"/>
        <w:adjustRightInd w:val="0"/>
        <w:jc w:val="both"/>
        <w:rPr>
          <w:b/>
          <w:bCs/>
        </w:rPr>
      </w:pPr>
    </w:p>
    <w:p w14:paraId="4E9C6E18" w14:textId="77777777" w:rsidR="0076402B" w:rsidRDefault="0076402B" w:rsidP="0076402B">
      <w:pPr>
        <w:rPr>
          <w:b/>
          <w:bCs/>
        </w:rPr>
      </w:pPr>
      <w:r>
        <w:rPr>
          <w:b/>
          <w:bCs/>
        </w:rPr>
        <w:br w:type="page"/>
      </w:r>
    </w:p>
    <w:p w14:paraId="62387C43" w14:textId="77777777" w:rsidR="0076402B" w:rsidRDefault="0076402B" w:rsidP="0076402B">
      <w:pPr>
        <w:jc w:val="both"/>
      </w:pPr>
      <w:r>
        <w:rPr>
          <w:noProof/>
        </w:rPr>
        <w:lastRenderedPageBreak/>
        <w:drawing>
          <wp:inline distT="0" distB="0" distL="0" distR="0" wp14:anchorId="4F7B4FC8" wp14:editId="48B0863F">
            <wp:extent cx="5860473" cy="2999358"/>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64156" cy="3001243"/>
                    </a:xfrm>
                    <a:prstGeom prst="rect">
                      <a:avLst/>
                    </a:prstGeom>
                  </pic:spPr>
                </pic:pic>
              </a:graphicData>
            </a:graphic>
          </wp:inline>
        </w:drawing>
      </w:r>
    </w:p>
    <w:p w14:paraId="2C04059C" w14:textId="77777777" w:rsidR="0076402B" w:rsidRPr="006C6235" w:rsidRDefault="0076402B" w:rsidP="0076402B">
      <w:pPr>
        <w:jc w:val="both"/>
        <w:rPr>
          <w:b/>
          <w:bCs/>
        </w:rPr>
      </w:pPr>
      <w:r>
        <w:rPr>
          <w:b/>
          <w:bCs/>
        </w:rPr>
        <w:t xml:space="preserve">Supplementary </w:t>
      </w:r>
      <w:r w:rsidRPr="006C6235">
        <w:rPr>
          <w:b/>
          <w:bCs/>
        </w:rPr>
        <w:t xml:space="preserve">Figure </w:t>
      </w:r>
      <w:r>
        <w:rPr>
          <w:b/>
          <w:bCs/>
        </w:rPr>
        <w:t>2</w:t>
      </w:r>
      <w:r w:rsidRPr="006C6235">
        <w:rPr>
          <w:b/>
          <w:bCs/>
        </w:rPr>
        <w:t xml:space="preserve">. </w:t>
      </w:r>
      <w:r>
        <w:rPr>
          <w:b/>
          <w:bCs/>
        </w:rPr>
        <w:t xml:space="preserve">Maritime trade volume at-risk. </w:t>
      </w:r>
      <w:r w:rsidRPr="00615099">
        <w:t xml:space="preserve">(a) Cross-border downtime risk for country’s import flows, (b) same as (a) but for exports. (c) Top-30 countries in terms of </w:t>
      </w:r>
      <w:r>
        <w:t>maritime trade</w:t>
      </w:r>
      <w:r w:rsidRPr="00615099">
        <w:t xml:space="preserve"> </w:t>
      </w:r>
      <w:r>
        <w:t>at-</w:t>
      </w:r>
      <w:r w:rsidRPr="00615099">
        <w:t>risk</w:t>
      </w:r>
      <w:r>
        <w:t xml:space="preserve"> (in volume terms)</w:t>
      </w:r>
      <w:r w:rsidRPr="00615099">
        <w:t>, including a breakdown between domestic and cross-border downtime risk.</w:t>
      </w:r>
    </w:p>
    <w:p w14:paraId="31580166" w14:textId="77777777" w:rsidR="0076402B" w:rsidRDefault="0076402B" w:rsidP="0076402B">
      <w:pPr>
        <w:widowControl w:val="0"/>
        <w:autoSpaceDE w:val="0"/>
        <w:autoSpaceDN w:val="0"/>
        <w:adjustRightInd w:val="0"/>
        <w:jc w:val="both"/>
        <w:rPr>
          <w:b/>
          <w:bCs/>
        </w:rPr>
      </w:pPr>
    </w:p>
    <w:p w14:paraId="183A63B9" w14:textId="77777777" w:rsidR="0076402B" w:rsidRDefault="0076402B" w:rsidP="0076402B">
      <w:pPr>
        <w:rPr>
          <w:b/>
          <w:bCs/>
        </w:rPr>
      </w:pPr>
      <w:r>
        <w:rPr>
          <w:b/>
          <w:bCs/>
        </w:rPr>
        <w:br w:type="page"/>
      </w:r>
    </w:p>
    <w:p w14:paraId="1310767E" w14:textId="77777777" w:rsidR="0076402B" w:rsidRDefault="0076402B" w:rsidP="0076402B">
      <w:pPr>
        <w:rPr>
          <w:b/>
          <w:bCs/>
        </w:rPr>
      </w:pPr>
      <w:r>
        <w:rPr>
          <w:b/>
          <w:bCs/>
          <w:noProof/>
        </w:rPr>
        <w:lastRenderedPageBreak/>
        <w:drawing>
          <wp:inline distT="0" distB="0" distL="0" distR="0" wp14:anchorId="371AE984" wp14:editId="1E7D437F">
            <wp:extent cx="5883215" cy="3918901"/>
            <wp:effectExtent l="0" t="0" r="0" b="571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91287" cy="3924278"/>
                    </a:xfrm>
                    <a:prstGeom prst="rect">
                      <a:avLst/>
                    </a:prstGeom>
                  </pic:spPr>
                </pic:pic>
              </a:graphicData>
            </a:graphic>
          </wp:inline>
        </w:drawing>
      </w:r>
    </w:p>
    <w:p w14:paraId="799E81C8" w14:textId="77777777" w:rsidR="0076402B" w:rsidRPr="00143F46" w:rsidRDefault="0076402B" w:rsidP="0076402B">
      <w:pPr>
        <w:jc w:val="both"/>
      </w:pPr>
      <w:r>
        <w:rPr>
          <w:b/>
          <w:bCs/>
        </w:rPr>
        <w:t xml:space="preserve">Supplementary </w:t>
      </w:r>
      <w:r w:rsidRPr="006C6235">
        <w:rPr>
          <w:b/>
          <w:bCs/>
        </w:rPr>
        <w:t xml:space="preserve">Figure </w:t>
      </w:r>
      <w:r>
        <w:rPr>
          <w:b/>
          <w:bCs/>
        </w:rPr>
        <w:t>3</w:t>
      </w:r>
      <w:r w:rsidRPr="006C6235">
        <w:rPr>
          <w:b/>
          <w:bCs/>
        </w:rPr>
        <w:t xml:space="preserve">. </w:t>
      </w:r>
      <w:r>
        <w:rPr>
          <w:b/>
          <w:bCs/>
        </w:rPr>
        <w:t xml:space="preserve">Loaded capacity at risk for six example ports. </w:t>
      </w:r>
      <w:r>
        <w:t xml:space="preserve">The loaded capacity at-risk in transport-dependent ports in maritime transport network (i.e. trading ports). The loaded capacity quantifies the expected annual amount of loaded capacity (volume of goods carried) on a route service the port of interest times the expected annual downtime at the trading port.  </w:t>
      </w:r>
    </w:p>
    <w:p w14:paraId="50E5D6D5" w14:textId="77777777" w:rsidR="0076402B" w:rsidRDefault="0076402B" w:rsidP="0076402B">
      <w:pPr>
        <w:rPr>
          <w:b/>
          <w:bCs/>
        </w:rPr>
      </w:pPr>
    </w:p>
    <w:p w14:paraId="1C6F88EA" w14:textId="77777777" w:rsidR="0076402B" w:rsidRDefault="0076402B" w:rsidP="0076402B">
      <w:pPr>
        <w:rPr>
          <w:b/>
          <w:bCs/>
        </w:rPr>
      </w:pPr>
      <w:r>
        <w:rPr>
          <w:b/>
          <w:bCs/>
        </w:rPr>
        <w:br w:type="page"/>
      </w:r>
    </w:p>
    <w:p w14:paraId="7DE4432F" w14:textId="77777777" w:rsidR="0076402B" w:rsidRDefault="0076402B" w:rsidP="0076402B">
      <w:pPr>
        <w:rPr>
          <w:b/>
          <w:bCs/>
        </w:rPr>
      </w:pPr>
      <w:r>
        <w:rPr>
          <w:b/>
          <w:bCs/>
          <w:noProof/>
        </w:rPr>
        <w:lastRenderedPageBreak/>
        <w:drawing>
          <wp:inline distT="0" distB="0" distL="0" distR="0" wp14:anchorId="4693311C" wp14:editId="17CFCE13">
            <wp:extent cx="5917721" cy="7738960"/>
            <wp:effectExtent l="0" t="0" r="635" b="0"/>
            <wp:docPr id="15" name="Picture 1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9384" cy="7741135"/>
                    </a:xfrm>
                    <a:prstGeom prst="rect">
                      <a:avLst/>
                    </a:prstGeom>
                  </pic:spPr>
                </pic:pic>
              </a:graphicData>
            </a:graphic>
          </wp:inline>
        </w:drawing>
      </w:r>
    </w:p>
    <w:p w14:paraId="38F25B89" w14:textId="77777777" w:rsidR="0076402B" w:rsidRPr="006659B1" w:rsidRDefault="0076402B" w:rsidP="0076402B">
      <w:pPr>
        <w:jc w:val="both"/>
      </w:pPr>
      <w:r>
        <w:rPr>
          <w:b/>
          <w:bCs/>
        </w:rPr>
        <w:t xml:space="preserve">Supplementary </w:t>
      </w:r>
      <w:r w:rsidRPr="006C6235">
        <w:rPr>
          <w:b/>
          <w:bCs/>
        </w:rPr>
        <w:t xml:space="preserve">Figure </w:t>
      </w:r>
      <w:r>
        <w:rPr>
          <w:b/>
          <w:bCs/>
        </w:rPr>
        <w:t xml:space="preserve">4. Top 200 most critical ports for maritime trade. </w:t>
      </w:r>
      <w:r>
        <w:t xml:space="preserve">The top-200 most critical ports for maritime trade (in value terms) for six example countries. The import or export trade at-risk is estimated by combining the country’s absolute amount of import of exports flowing through a port with the expected annual downtime at this port. </w:t>
      </w:r>
    </w:p>
    <w:p w14:paraId="44AE5B2E" w14:textId="77777777" w:rsidR="0076402B" w:rsidRDefault="0076402B" w:rsidP="0076402B">
      <w:pPr>
        <w:rPr>
          <w:b/>
          <w:bCs/>
        </w:rPr>
      </w:pPr>
    </w:p>
    <w:p w14:paraId="6FECC754" w14:textId="77777777" w:rsidR="0076402B" w:rsidRDefault="0076402B" w:rsidP="0076402B">
      <w:pPr>
        <w:rPr>
          <w:b/>
          <w:bCs/>
        </w:rPr>
      </w:pPr>
      <w:r>
        <w:rPr>
          <w:b/>
          <w:bCs/>
        </w:rPr>
        <w:br w:type="page"/>
      </w:r>
    </w:p>
    <w:p w14:paraId="69A7D6A0" w14:textId="77777777" w:rsidR="0076402B" w:rsidRDefault="0076402B" w:rsidP="0076402B">
      <w:pPr>
        <w:rPr>
          <w:b/>
          <w:bCs/>
        </w:rPr>
      </w:pPr>
      <w:r>
        <w:rPr>
          <w:b/>
          <w:bCs/>
          <w:noProof/>
        </w:rPr>
        <w:lastRenderedPageBreak/>
        <w:drawing>
          <wp:inline distT="0" distB="0" distL="0" distR="0" wp14:anchorId="1A216CA5" wp14:editId="0F51C332">
            <wp:extent cx="5760720" cy="4486910"/>
            <wp:effectExtent l="0" t="0" r="5080" b="0"/>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486910"/>
                    </a:xfrm>
                    <a:prstGeom prst="rect">
                      <a:avLst/>
                    </a:prstGeom>
                  </pic:spPr>
                </pic:pic>
              </a:graphicData>
            </a:graphic>
          </wp:inline>
        </w:drawing>
      </w:r>
    </w:p>
    <w:p w14:paraId="66E1B4BB" w14:textId="77777777" w:rsidR="0076402B" w:rsidRPr="00C80683" w:rsidRDefault="0076402B" w:rsidP="0076402B">
      <w:pPr>
        <w:jc w:val="both"/>
      </w:pPr>
      <w:r>
        <w:rPr>
          <w:b/>
          <w:bCs/>
        </w:rPr>
        <w:t xml:space="preserve">Supplementary </w:t>
      </w:r>
      <w:r w:rsidRPr="006C6235">
        <w:rPr>
          <w:b/>
          <w:bCs/>
        </w:rPr>
        <w:t xml:space="preserve">Figure </w:t>
      </w:r>
      <w:r>
        <w:rPr>
          <w:b/>
          <w:bCs/>
        </w:rPr>
        <w:t xml:space="preserve">5. Industry output influenced by trade through ports. </w:t>
      </w:r>
      <w:r>
        <w:t xml:space="preserve">The aggregate industry output of country’s supply-chains influenced by trade through a port of interest. The industry output influenced is derived by hypothetically removing the port’s trade flows from a multiregional input-output table and re-evaluating the industry output of supply-chains globally. This therefore captures all forward dependencies of a country’s industry output on trade through a given port. </w:t>
      </w:r>
    </w:p>
    <w:p w14:paraId="7BDF4664" w14:textId="77777777" w:rsidR="0076402B" w:rsidRDefault="0076402B" w:rsidP="0076402B">
      <w:pPr>
        <w:rPr>
          <w:b/>
          <w:bCs/>
        </w:rPr>
      </w:pPr>
      <w:r>
        <w:rPr>
          <w:b/>
          <w:bCs/>
        </w:rPr>
        <w:br w:type="page"/>
      </w:r>
    </w:p>
    <w:p w14:paraId="3F9C7013" w14:textId="77777777" w:rsidR="0076402B" w:rsidRDefault="0076402B" w:rsidP="0076402B">
      <w:pPr>
        <w:jc w:val="both"/>
        <w:rPr>
          <w:b/>
          <w:bCs/>
        </w:rPr>
      </w:pPr>
      <w:r>
        <w:rPr>
          <w:b/>
          <w:bCs/>
          <w:noProof/>
        </w:rPr>
        <w:lastRenderedPageBreak/>
        <w:drawing>
          <wp:inline distT="0" distB="0" distL="0" distR="0" wp14:anchorId="4EBA130E" wp14:editId="5379DB46">
            <wp:extent cx="5760720" cy="7536180"/>
            <wp:effectExtent l="0" t="0" r="508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536180"/>
                    </a:xfrm>
                    <a:prstGeom prst="rect">
                      <a:avLst/>
                    </a:prstGeom>
                  </pic:spPr>
                </pic:pic>
              </a:graphicData>
            </a:graphic>
          </wp:inline>
        </w:drawing>
      </w:r>
    </w:p>
    <w:p w14:paraId="6F846B95" w14:textId="77777777" w:rsidR="0076402B" w:rsidRPr="006659B1" w:rsidRDefault="0076402B" w:rsidP="0076402B">
      <w:pPr>
        <w:jc w:val="both"/>
      </w:pPr>
      <w:r>
        <w:rPr>
          <w:b/>
          <w:bCs/>
        </w:rPr>
        <w:t xml:space="preserve">Supplementary </w:t>
      </w:r>
      <w:r w:rsidRPr="006C6235">
        <w:rPr>
          <w:b/>
          <w:bCs/>
        </w:rPr>
        <w:t xml:space="preserve">Figure </w:t>
      </w:r>
      <w:r>
        <w:rPr>
          <w:b/>
          <w:bCs/>
        </w:rPr>
        <w:t>6.</w:t>
      </w:r>
      <w:r w:rsidRPr="003F5D70">
        <w:rPr>
          <w:b/>
          <w:bCs/>
        </w:rPr>
        <w:t xml:space="preserve"> </w:t>
      </w:r>
      <w:r>
        <w:rPr>
          <w:b/>
          <w:bCs/>
        </w:rPr>
        <w:t xml:space="preserve">Top 200 most critical ports for supply-chains. </w:t>
      </w:r>
      <w:r>
        <w:t xml:space="preserve">The top-200 most critical ports for country’s supply-chains (in terms of industry output and consumption) for six example countries. The industry output and consumption at-risk is estimated by combining the country’s absolute amount of industry output or consumption influenced by trade through a port with the expected annual downtime at this port. </w:t>
      </w:r>
    </w:p>
    <w:p w14:paraId="4620156F" w14:textId="77777777" w:rsidR="0076402B" w:rsidRDefault="0076402B" w:rsidP="0076402B">
      <w:pPr>
        <w:jc w:val="both"/>
        <w:rPr>
          <w:b/>
          <w:bCs/>
        </w:rPr>
      </w:pPr>
    </w:p>
    <w:p w14:paraId="57E32927" w14:textId="77777777" w:rsidR="0076402B" w:rsidRDefault="0076402B" w:rsidP="0076402B">
      <w:pPr>
        <w:rPr>
          <w:b/>
          <w:bCs/>
        </w:rPr>
      </w:pPr>
      <w:r>
        <w:rPr>
          <w:b/>
          <w:bCs/>
        </w:rPr>
        <w:br w:type="page"/>
      </w:r>
    </w:p>
    <w:p w14:paraId="40AE913D" w14:textId="77777777" w:rsidR="0076402B" w:rsidRPr="00E55028" w:rsidRDefault="0076402B" w:rsidP="0076402B">
      <w:pPr>
        <w:widowControl w:val="0"/>
        <w:autoSpaceDE w:val="0"/>
        <w:autoSpaceDN w:val="0"/>
        <w:adjustRightInd w:val="0"/>
        <w:jc w:val="both"/>
        <w:rPr>
          <w:b/>
          <w:bCs/>
        </w:rPr>
      </w:pPr>
      <w:r>
        <w:rPr>
          <w:b/>
          <w:bCs/>
        </w:rPr>
        <w:lastRenderedPageBreak/>
        <w:t>Supplementary Tables</w:t>
      </w:r>
    </w:p>
    <w:p w14:paraId="0406A35C" w14:textId="77777777" w:rsidR="0076402B" w:rsidRDefault="0076402B" w:rsidP="0076402B">
      <w:pPr>
        <w:widowControl w:val="0"/>
        <w:autoSpaceDE w:val="0"/>
        <w:autoSpaceDN w:val="0"/>
        <w:adjustRightInd w:val="0"/>
        <w:jc w:val="both"/>
        <w:rPr>
          <w:b/>
          <w:bCs/>
        </w:rPr>
      </w:pPr>
    </w:p>
    <w:p w14:paraId="0DB5BDDE" w14:textId="77777777" w:rsidR="0076402B" w:rsidRDefault="0076402B" w:rsidP="0076402B">
      <w:pPr>
        <w:widowControl w:val="0"/>
        <w:autoSpaceDE w:val="0"/>
        <w:autoSpaceDN w:val="0"/>
        <w:adjustRightInd w:val="0"/>
        <w:jc w:val="both"/>
        <w:rPr>
          <w:b/>
          <w:bCs/>
        </w:rPr>
      </w:pPr>
    </w:p>
    <w:p w14:paraId="10419F08" w14:textId="77777777" w:rsidR="0076402B" w:rsidRPr="00600160" w:rsidRDefault="0076402B" w:rsidP="0076402B">
      <w:pPr>
        <w:widowControl w:val="0"/>
        <w:autoSpaceDE w:val="0"/>
        <w:autoSpaceDN w:val="0"/>
        <w:adjustRightInd w:val="0"/>
        <w:jc w:val="both"/>
      </w:pPr>
      <w:r>
        <w:rPr>
          <w:b/>
          <w:bCs/>
        </w:rPr>
        <w:t xml:space="preserve">Supplementary Table 1. Sector specific trade at-risk in volume terms, including the fraction of cross-border risk. </w:t>
      </w:r>
    </w:p>
    <w:p w14:paraId="407E9DEB" w14:textId="77777777" w:rsidR="0076402B" w:rsidRDefault="0076402B" w:rsidP="0076402B">
      <w:pPr>
        <w:widowControl w:val="0"/>
        <w:autoSpaceDE w:val="0"/>
        <w:autoSpaceDN w:val="0"/>
        <w:adjustRightInd w:val="0"/>
        <w:jc w:val="both"/>
        <w:rPr>
          <w:b/>
          <w:bCs/>
        </w:rPr>
      </w:pPr>
    </w:p>
    <w:tbl>
      <w:tblPr>
        <w:tblW w:w="5000" w:type="pct"/>
        <w:tblLook w:val="04A0" w:firstRow="1" w:lastRow="0" w:firstColumn="1" w:lastColumn="0" w:noHBand="0" w:noVBand="1"/>
      </w:tblPr>
      <w:tblGrid>
        <w:gridCol w:w="3142"/>
        <w:gridCol w:w="1828"/>
        <w:gridCol w:w="2062"/>
        <w:gridCol w:w="2040"/>
      </w:tblGrid>
      <w:tr w:rsidR="0076402B" w:rsidRPr="002823C9" w14:paraId="5480C00B" w14:textId="77777777" w:rsidTr="0058760B">
        <w:trPr>
          <w:trHeight w:val="320"/>
        </w:trPr>
        <w:tc>
          <w:tcPr>
            <w:tcW w:w="1766" w:type="pct"/>
            <w:tcBorders>
              <w:top w:val="nil"/>
              <w:left w:val="nil"/>
              <w:bottom w:val="single" w:sz="4" w:space="0" w:color="auto"/>
              <w:right w:val="nil"/>
            </w:tcBorders>
            <w:shd w:val="clear" w:color="auto" w:fill="auto"/>
            <w:noWrap/>
            <w:vAlign w:val="bottom"/>
            <w:hideMark/>
          </w:tcPr>
          <w:p w14:paraId="547D1A0F" w14:textId="77777777" w:rsidR="0076402B" w:rsidRPr="002823C9" w:rsidRDefault="0076402B" w:rsidP="0058760B">
            <w:pPr>
              <w:rPr>
                <w:rFonts w:eastAsia="Times New Roman"/>
                <w:b/>
                <w:bCs/>
                <w:color w:val="000000"/>
                <w:sz w:val="22"/>
                <w:szCs w:val="22"/>
                <w:lang w:eastAsia="en-GB"/>
              </w:rPr>
            </w:pPr>
            <w:r w:rsidRPr="002823C9">
              <w:rPr>
                <w:rFonts w:eastAsia="Times New Roman"/>
                <w:b/>
                <w:bCs/>
                <w:color w:val="000000"/>
                <w:sz w:val="22"/>
                <w:szCs w:val="22"/>
                <w:lang w:eastAsia="en-GB"/>
              </w:rPr>
              <w:t>Sector</w:t>
            </w:r>
          </w:p>
        </w:tc>
        <w:tc>
          <w:tcPr>
            <w:tcW w:w="970" w:type="pct"/>
            <w:tcBorders>
              <w:top w:val="nil"/>
              <w:left w:val="nil"/>
              <w:bottom w:val="single" w:sz="4" w:space="0" w:color="auto"/>
              <w:right w:val="nil"/>
            </w:tcBorders>
            <w:shd w:val="clear" w:color="auto" w:fill="auto"/>
            <w:noWrap/>
            <w:vAlign w:val="bottom"/>
            <w:hideMark/>
          </w:tcPr>
          <w:p w14:paraId="5E5D9B8C" w14:textId="77777777" w:rsidR="0076402B" w:rsidRPr="002823C9" w:rsidRDefault="0076402B" w:rsidP="0058760B">
            <w:pPr>
              <w:rPr>
                <w:rFonts w:eastAsia="Times New Roman"/>
                <w:b/>
                <w:bCs/>
                <w:color w:val="000000"/>
                <w:sz w:val="22"/>
                <w:szCs w:val="22"/>
                <w:lang w:eastAsia="en-GB"/>
              </w:rPr>
            </w:pPr>
            <w:r w:rsidRPr="002823C9">
              <w:rPr>
                <w:rFonts w:eastAsia="Times New Roman"/>
                <w:b/>
                <w:bCs/>
                <w:color w:val="000000"/>
                <w:sz w:val="22"/>
                <w:szCs w:val="22"/>
                <w:lang w:eastAsia="en-GB"/>
              </w:rPr>
              <w:t>Trade at-risk (million tonnes)</w:t>
            </w:r>
          </w:p>
        </w:tc>
        <w:tc>
          <w:tcPr>
            <w:tcW w:w="1143" w:type="pct"/>
            <w:tcBorders>
              <w:top w:val="nil"/>
              <w:left w:val="nil"/>
              <w:bottom w:val="single" w:sz="4" w:space="0" w:color="auto"/>
              <w:right w:val="nil"/>
            </w:tcBorders>
            <w:shd w:val="clear" w:color="auto" w:fill="auto"/>
            <w:noWrap/>
            <w:vAlign w:val="bottom"/>
            <w:hideMark/>
          </w:tcPr>
          <w:p w14:paraId="48252B7E" w14:textId="77777777" w:rsidR="0076402B" w:rsidRPr="002823C9" w:rsidRDefault="0076402B" w:rsidP="0058760B">
            <w:pPr>
              <w:rPr>
                <w:rFonts w:eastAsia="Times New Roman"/>
                <w:b/>
                <w:bCs/>
                <w:color w:val="000000"/>
                <w:sz w:val="22"/>
                <w:szCs w:val="22"/>
                <w:lang w:eastAsia="en-GB"/>
              </w:rPr>
            </w:pPr>
            <w:r w:rsidRPr="002823C9">
              <w:rPr>
                <w:rFonts w:eastAsia="Times New Roman"/>
                <w:b/>
                <w:bCs/>
                <w:color w:val="000000"/>
                <w:sz w:val="22"/>
                <w:szCs w:val="22"/>
                <w:lang w:eastAsia="en-GB"/>
              </w:rPr>
              <w:t>Fraction import cross-border (%)</w:t>
            </w:r>
          </w:p>
        </w:tc>
        <w:tc>
          <w:tcPr>
            <w:tcW w:w="1122" w:type="pct"/>
            <w:tcBorders>
              <w:top w:val="nil"/>
              <w:left w:val="nil"/>
              <w:bottom w:val="single" w:sz="4" w:space="0" w:color="auto"/>
              <w:right w:val="nil"/>
            </w:tcBorders>
            <w:shd w:val="clear" w:color="auto" w:fill="auto"/>
            <w:noWrap/>
            <w:vAlign w:val="bottom"/>
            <w:hideMark/>
          </w:tcPr>
          <w:p w14:paraId="55024E40" w14:textId="77777777" w:rsidR="0076402B" w:rsidRPr="002823C9" w:rsidRDefault="0076402B" w:rsidP="0058760B">
            <w:pPr>
              <w:rPr>
                <w:rFonts w:eastAsia="Times New Roman"/>
                <w:b/>
                <w:bCs/>
                <w:color w:val="000000"/>
                <w:sz w:val="22"/>
                <w:szCs w:val="22"/>
                <w:lang w:eastAsia="en-GB"/>
              </w:rPr>
            </w:pPr>
            <w:r w:rsidRPr="002823C9">
              <w:rPr>
                <w:rFonts w:eastAsia="Times New Roman"/>
                <w:b/>
                <w:bCs/>
                <w:color w:val="000000"/>
                <w:sz w:val="22"/>
                <w:szCs w:val="22"/>
                <w:lang w:eastAsia="en-GB"/>
              </w:rPr>
              <w:t>Fraction export cross-border (%)</w:t>
            </w:r>
          </w:p>
        </w:tc>
      </w:tr>
      <w:tr w:rsidR="0076402B" w:rsidRPr="002823C9" w14:paraId="3DDE9818" w14:textId="77777777" w:rsidTr="0058760B">
        <w:trPr>
          <w:trHeight w:val="320"/>
        </w:trPr>
        <w:tc>
          <w:tcPr>
            <w:tcW w:w="1766" w:type="pct"/>
            <w:tcBorders>
              <w:top w:val="nil"/>
              <w:left w:val="nil"/>
              <w:bottom w:val="nil"/>
              <w:right w:val="nil"/>
            </w:tcBorders>
            <w:shd w:val="clear" w:color="auto" w:fill="auto"/>
            <w:noWrap/>
            <w:vAlign w:val="bottom"/>
            <w:hideMark/>
          </w:tcPr>
          <w:p w14:paraId="6A545B2F"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Agriculture</w:t>
            </w:r>
          </w:p>
        </w:tc>
        <w:tc>
          <w:tcPr>
            <w:tcW w:w="970" w:type="pct"/>
            <w:tcBorders>
              <w:top w:val="nil"/>
              <w:left w:val="nil"/>
              <w:bottom w:val="nil"/>
              <w:right w:val="nil"/>
            </w:tcBorders>
            <w:shd w:val="clear" w:color="auto" w:fill="auto"/>
            <w:noWrap/>
            <w:vAlign w:val="bottom"/>
            <w:hideMark/>
          </w:tcPr>
          <w:p w14:paraId="413AF736"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2.8</w:t>
            </w:r>
          </w:p>
        </w:tc>
        <w:tc>
          <w:tcPr>
            <w:tcW w:w="1143" w:type="pct"/>
            <w:tcBorders>
              <w:top w:val="nil"/>
              <w:left w:val="nil"/>
              <w:bottom w:val="nil"/>
              <w:right w:val="nil"/>
            </w:tcBorders>
            <w:shd w:val="clear" w:color="auto" w:fill="auto"/>
            <w:noWrap/>
            <w:vAlign w:val="bottom"/>
            <w:hideMark/>
          </w:tcPr>
          <w:p w14:paraId="0E2AA3FE"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61.4</w:t>
            </w:r>
          </w:p>
        </w:tc>
        <w:tc>
          <w:tcPr>
            <w:tcW w:w="1122" w:type="pct"/>
            <w:tcBorders>
              <w:top w:val="nil"/>
              <w:left w:val="nil"/>
              <w:bottom w:val="nil"/>
              <w:right w:val="nil"/>
            </w:tcBorders>
            <w:shd w:val="clear" w:color="auto" w:fill="auto"/>
            <w:noWrap/>
            <w:vAlign w:val="bottom"/>
            <w:hideMark/>
          </w:tcPr>
          <w:p w14:paraId="14E204CB"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75.6</w:t>
            </w:r>
          </w:p>
        </w:tc>
      </w:tr>
      <w:tr w:rsidR="0076402B" w:rsidRPr="002823C9" w14:paraId="043D19B2" w14:textId="77777777" w:rsidTr="0058760B">
        <w:trPr>
          <w:trHeight w:val="320"/>
        </w:trPr>
        <w:tc>
          <w:tcPr>
            <w:tcW w:w="1766" w:type="pct"/>
            <w:tcBorders>
              <w:top w:val="nil"/>
              <w:left w:val="nil"/>
              <w:bottom w:val="nil"/>
              <w:right w:val="nil"/>
            </w:tcBorders>
            <w:shd w:val="clear" w:color="auto" w:fill="auto"/>
            <w:noWrap/>
            <w:vAlign w:val="bottom"/>
            <w:hideMark/>
          </w:tcPr>
          <w:p w14:paraId="1F7D9AFA"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Electrical and Machinery</w:t>
            </w:r>
          </w:p>
        </w:tc>
        <w:tc>
          <w:tcPr>
            <w:tcW w:w="970" w:type="pct"/>
            <w:tcBorders>
              <w:top w:val="nil"/>
              <w:left w:val="nil"/>
              <w:bottom w:val="nil"/>
              <w:right w:val="nil"/>
            </w:tcBorders>
            <w:shd w:val="clear" w:color="auto" w:fill="auto"/>
            <w:noWrap/>
            <w:vAlign w:val="bottom"/>
            <w:hideMark/>
          </w:tcPr>
          <w:p w14:paraId="30AF1C86"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22.4</w:t>
            </w:r>
          </w:p>
        </w:tc>
        <w:tc>
          <w:tcPr>
            <w:tcW w:w="1143" w:type="pct"/>
            <w:tcBorders>
              <w:top w:val="nil"/>
              <w:left w:val="nil"/>
              <w:bottom w:val="nil"/>
              <w:right w:val="nil"/>
            </w:tcBorders>
            <w:shd w:val="clear" w:color="auto" w:fill="auto"/>
            <w:noWrap/>
            <w:vAlign w:val="bottom"/>
            <w:hideMark/>
          </w:tcPr>
          <w:p w14:paraId="48E600E5"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69.2</w:t>
            </w:r>
          </w:p>
        </w:tc>
        <w:tc>
          <w:tcPr>
            <w:tcW w:w="1122" w:type="pct"/>
            <w:tcBorders>
              <w:top w:val="nil"/>
              <w:left w:val="nil"/>
              <w:bottom w:val="nil"/>
              <w:right w:val="nil"/>
            </w:tcBorders>
            <w:shd w:val="clear" w:color="auto" w:fill="auto"/>
            <w:noWrap/>
            <w:vAlign w:val="bottom"/>
            <w:hideMark/>
          </w:tcPr>
          <w:p w14:paraId="3ABD1E38"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48.7</w:t>
            </w:r>
          </w:p>
        </w:tc>
      </w:tr>
      <w:tr w:rsidR="0076402B" w:rsidRPr="002823C9" w14:paraId="1F8E619E" w14:textId="77777777" w:rsidTr="0058760B">
        <w:trPr>
          <w:trHeight w:val="320"/>
        </w:trPr>
        <w:tc>
          <w:tcPr>
            <w:tcW w:w="1766" w:type="pct"/>
            <w:tcBorders>
              <w:top w:val="nil"/>
              <w:left w:val="nil"/>
              <w:bottom w:val="nil"/>
              <w:right w:val="nil"/>
            </w:tcBorders>
            <w:shd w:val="clear" w:color="auto" w:fill="auto"/>
            <w:noWrap/>
            <w:vAlign w:val="bottom"/>
            <w:hideMark/>
          </w:tcPr>
          <w:p w14:paraId="370F82DA"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Fishing</w:t>
            </w:r>
          </w:p>
        </w:tc>
        <w:tc>
          <w:tcPr>
            <w:tcW w:w="970" w:type="pct"/>
            <w:tcBorders>
              <w:top w:val="nil"/>
              <w:left w:val="nil"/>
              <w:bottom w:val="nil"/>
              <w:right w:val="nil"/>
            </w:tcBorders>
            <w:shd w:val="clear" w:color="auto" w:fill="auto"/>
            <w:noWrap/>
            <w:vAlign w:val="bottom"/>
            <w:hideMark/>
          </w:tcPr>
          <w:p w14:paraId="691BC015"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0.3</w:t>
            </w:r>
          </w:p>
        </w:tc>
        <w:tc>
          <w:tcPr>
            <w:tcW w:w="1143" w:type="pct"/>
            <w:tcBorders>
              <w:top w:val="nil"/>
              <w:left w:val="nil"/>
              <w:bottom w:val="nil"/>
              <w:right w:val="nil"/>
            </w:tcBorders>
            <w:shd w:val="clear" w:color="auto" w:fill="auto"/>
            <w:noWrap/>
            <w:vAlign w:val="bottom"/>
            <w:hideMark/>
          </w:tcPr>
          <w:p w14:paraId="68A4CC21"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60.1</w:t>
            </w:r>
          </w:p>
        </w:tc>
        <w:tc>
          <w:tcPr>
            <w:tcW w:w="1122" w:type="pct"/>
            <w:tcBorders>
              <w:top w:val="nil"/>
              <w:left w:val="nil"/>
              <w:bottom w:val="nil"/>
              <w:right w:val="nil"/>
            </w:tcBorders>
            <w:shd w:val="clear" w:color="auto" w:fill="auto"/>
            <w:noWrap/>
            <w:vAlign w:val="bottom"/>
            <w:hideMark/>
          </w:tcPr>
          <w:p w14:paraId="1537FA6A"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74.4</w:t>
            </w:r>
          </w:p>
        </w:tc>
      </w:tr>
      <w:tr w:rsidR="0076402B" w:rsidRPr="002823C9" w14:paraId="47E31241" w14:textId="77777777" w:rsidTr="0058760B">
        <w:trPr>
          <w:trHeight w:val="320"/>
        </w:trPr>
        <w:tc>
          <w:tcPr>
            <w:tcW w:w="1766" w:type="pct"/>
            <w:tcBorders>
              <w:top w:val="nil"/>
              <w:left w:val="nil"/>
              <w:bottom w:val="nil"/>
              <w:right w:val="nil"/>
            </w:tcBorders>
            <w:shd w:val="clear" w:color="auto" w:fill="auto"/>
            <w:noWrap/>
            <w:vAlign w:val="bottom"/>
            <w:hideMark/>
          </w:tcPr>
          <w:p w14:paraId="3443AB36"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Food &amp; Beverages</w:t>
            </w:r>
          </w:p>
        </w:tc>
        <w:tc>
          <w:tcPr>
            <w:tcW w:w="970" w:type="pct"/>
            <w:tcBorders>
              <w:top w:val="nil"/>
              <w:left w:val="nil"/>
              <w:bottom w:val="nil"/>
              <w:right w:val="nil"/>
            </w:tcBorders>
            <w:shd w:val="clear" w:color="auto" w:fill="auto"/>
            <w:noWrap/>
            <w:vAlign w:val="bottom"/>
            <w:hideMark/>
          </w:tcPr>
          <w:p w14:paraId="230C1507"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4.3</w:t>
            </w:r>
          </w:p>
        </w:tc>
        <w:tc>
          <w:tcPr>
            <w:tcW w:w="1143" w:type="pct"/>
            <w:tcBorders>
              <w:top w:val="nil"/>
              <w:left w:val="nil"/>
              <w:bottom w:val="nil"/>
              <w:right w:val="nil"/>
            </w:tcBorders>
            <w:shd w:val="clear" w:color="auto" w:fill="auto"/>
            <w:noWrap/>
            <w:vAlign w:val="bottom"/>
            <w:hideMark/>
          </w:tcPr>
          <w:p w14:paraId="218F824A"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59.1</w:t>
            </w:r>
          </w:p>
        </w:tc>
        <w:tc>
          <w:tcPr>
            <w:tcW w:w="1122" w:type="pct"/>
            <w:tcBorders>
              <w:top w:val="nil"/>
              <w:left w:val="nil"/>
              <w:bottom w:val="nil"/>
              <w:right w:val="nil"/>
            </w:tcBorders>
            <w:shd w:val="clear" w:color="auto" w:fill="auto"/>
            <w:noWrap/>
            <w:vAlign w:val="bottom"/>
            <w:hideMark/>
          </w:tcPr>
          <w:p w14:paraId="19861512"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74.0</w:t>
            </w:r>
          </w:p>
        </w:tc>
      </w:tr>
      <w:tr w:rsidR="0076402B" w:rsidRPr="002823C9" w14:paraId="469A0191" w14:textId="77777777" w:rsidTr="0058760B">
        <w:trPr>
          <w:trHeight w:val="320"/>
        </w:trPr>
        <w:tc>
          <w:tcPr>
            <w:tcW w:w="1766" w:type="pct"/>
            <w:tcBorders>
              <w:top w:val="nil"/>
              <w:left w:val="nil"/>
              <w:bottom w:val="nil"/>
              <w:right w:val="nil"/>
            </w:tcBorders>
            <w:shd w:val="clear" w:color="auto" w:fill="auto"/>
            <w:noWrap/>
            <w:vAlign w:val="bottom"/>
            <w:hideMark/>
          </w:tcPr>
          <w:p w14:paraId="6D4022B9"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Metal Products</w:t>
            </w:r>
          </w:p>
        </w:tc>
        <w:tc>
          <w:tcPr>
            <w:tcW w:w="970" w:type="pct"/>
            <w:tcBorders>
              <w:top w:val="nil"/>
              <w:left w:val="nil"/>
              <w:bottom w:val="nil"/>
              <w:right w:val="nil"/>
            </w:tcBorders>
            <w:shd w:val="clear" w:color="auto" w:fill="auto"/>
            <w:noWrap/>
            <w:vAlign w:val="bottom"/>
            <w:hideMark/>
          </w:tcPr>
          <w:p w14:paraId="50810E9D"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7.2</w:t>
            </w:r>
          </w:p>
        </w:tc>
        <w:tc>
          <w:tcPr>
            <w:tcW w:w="1143" w:type="pct"/>
            <w:tcBorders>
              <w:top w:val="nil"/>
              <w:left w:val="nil"/>
              <w:bottom w:val="nil"/>
              <w:right w:val="nil"/>
            </w:tcBorders>
            <w:shd w:val="clear" w:color="auto" w:fill="auto"/>
            <w:noWrap/>
            <w:vAlign w:val="bottom"/>
            <w:hideMark/>
          </w:tcPr>
          <w:p w14:paraId="021A7D2C"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66.5</w:t>
            </w:r>
          </w:p>
        </w:tc>
        <w:tc>
          <w:tcPr>
            <w:tcW w:w="1122" w:type="pct"/>
            <w:tcBorders>
              <w:top w:val="nil"/>
              <w:left w:val="nil"/>
              <w:bottom w:val="nil"/>
              <w:right w:val="nil"/>
            </w:tcBorders>
            <w:shd w:val="clear" w:color="auto" w:fill="auto"/>
            <w:noWrap/>
            <w:vAlign w:val="bottom"/>
            <w:hideMark/>
          </w:tcPr>
          <w:p w14:paraId="4D40B62F"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57.1</w:t>
            </w:r>
          </w:p>
        </w:tc>
      </w:tr>
      <w:tr w:rsidR="0076402B" w:rsidRPr="002823C9" w14:paraId="14D4F18D" w14:textId="77777777" w:rsidTr="0058760B">
        <w:trPr>
          <w:trHeight w:val="320"/>
        </w:trPr>
        <w:tc>
          <w:tcPr>
            <w:tcW w:w="1766" w:type="pct"/>
            <w:tcBorders>
              <w:top w:val="nil"/>
              <w:left w:val="nil"/>
              <w:bottom w:val="nil"/>
              <w:right w:val="nil"/>
            </w:tcBorders>
            <w:shd w:val="clear" w:color="auto" w:fill="auto"/>
            <w:noWrap/>
            <w:vAlign w:val="bottom"/>
            <w:hideMark/>
          </w:tcPr>
          <w:p w14:paraId="1D3AF603"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Mining and Quarrying</w:t>
            </w:r>
          </w:p>
        </w:tc>
        <w:tc>
          <w:tcPr>
            <w:tcW w:w="970" w:type="pct"/>
            <w:tcBorders>
              <w:top w:val="nil"/>
              <w:left w:val="nil"/>
              <w:bottom w:val="nil"/>
              <w:right w:val="nil"/>
            </w:tcBorders>
            <w:shd w:val="clear" w:color="auto" w:fill="auto"/>
            <w:noWrap/>
            <w:vAlign w:val="bottom"/>
            <w:hideMark/>
          </w:tcPr>
          <w:p w14:paraId="79FC9EDD"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8.1</w:t>
            </w:r>
          </w:p>
        </w:tc>
        <w:tc>
          <w:tcPr>
            <w:tcW w:w="1143" w:type="pct"/>
            <w:tcBorders>
              <w:top w:val="nil"/>
              <w:left w:val="nil"/>
              <w:bottom w:val="nil"/>
              <w:right w:val="nil"/>
            </w:tcBorders>
            <w:shd w:val="clear" w:color="auto" w:fill="auto"/>
            <w:noWrap/>
            <w:vAlign w:val="bottom"/>
            <w:hideMark/>
          </w:tcPr>
          <w:p w14:paraId="6B6772F4"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50.0</w:t>
            </w:r>
          </w:p>
        </w:tc>
        <w:tc>
          <w:tcPr>
            <w:tcW w:w="1122" w:type="pct"/>
            <w:tcBorders>
              <w:top w:val="nil"/>
              <w:left w:val="nil"/>
              <w:bottom w:val="nil"/>
              <w:right w:val="nil"/>
            </w:tcBorders>
            <w:shd w:val="clear" w:color="auto" w:fill="auto"/>
            <w:noWrap/>
            <w:vAlign w:val="bottom"/>
            <w:hideMark/>
          </w:tcPr>
          <w:p w14:paraId="7AB1DF6A"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77.2</w:t>
            </w:r>
          </w:p>
        </w:tc>
      </w:tr>
      <w:tr w:rsidR="0076402B" w:rsidRPr="002823C9" w14:paraId="0C986916" w14:textId="77777777" w:rsidTr="0058760B">
        <w:trPr>
          <w:trHeight w:val="320"/>
        </w:trPr>
        <w:tc>
          <w:tcPr>
            <w:tcW w:w="1766" w:type="pct"/>
            <w:tcBorders>
              <w:top w:val="nil"/>
              <w:left w:val="nil"/>
              <w:bottom w:val="nil"/>
              <w:right w:val="nil"/>
            </w:tcBorders>
            <w:shd w:val="clear" w:color="auto" w:fill="auto"/>
            <w:noWrap/>
            <w:vAlign w:val="bottom"/>
            <w:hideMark/>
          </w:tcPr>
          <w:p w14:paraId="4843746E"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Other Manufacturing</w:t>
            </w:r>
          </w:p>
        </w:tc>
        <w:tc>
          <w:tcPr>
            <w:tcW w:w="970" w:type="pct"/>
            <w:tcBorders>
              <w:top w:val="nil"/>
              <w:left w:val="nil"/>
              <w:bottom w:val="nil"/>
              <w:right w:val="nil"/>
            </w:tcBorders>
            <w:shd w:val="clear" w:color="auto" w:fill="auto"/>
            <w:noWrap/>
            <w:vAlign w:val="bottom"/>
            <w:hideMark/>
          </w:tcPr>
          <w:p w14:paraId="5ED6815E"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8.3</w:t>
            </w:r>
          </w:p>
        </w:tc>
        <w:tc>
          <w:tcPr>
            <w:tcW w:w="1143" w:type="pct"/>
            <w:tcBorders>
              <w:top w:val="nil"/>
              <w:left w:val="nil"/>
              <w:bottom w:val="nil"/>
              <w:right w:val="nil"/>
            </w:tcBorders>
            <w:shd w:val="clear" w:color="auto" w:fill="auto"/>
            <w:noWrap/>
            <w:vAlign w:val="bottom"/>
            <w:hideMark/>
          </w:tcPr>
          <w:p w14:paraId="662DD215"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69.2</w:t>
            </w:r>
          </w:p>
        </w:tc>
        <w:tc>
          <w:tcPr>
            <w:tcW w:w="1122" w:type="pct"/>
            <w:tcBorders>
              <w:top w:val="nil"/>
              <w:left w:val="nil"/>
              <w:bottom w:val="nil"/>
              <w:right w:val="nil"/>
            </w:tcBorders>
            <w:shd w:val="clear" w:color="auto" w:fill="auto"/>
            <w:noWrap/>
            <w:vAlign w:val="bottom"/>
            <w:hideMark/>
          </w:tcPr>
          <w:p w14:paraId="06E14ECB"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48.8</w:t>
            </w:r>
          </w:p>
        </w:tc>
      </w:tr>
      <w:tr w:rsidR="0076402B" w:rsidRPr="002823C9" w14:paraId="519DFFEE" w14:textId="77777777" w:rsidTr="0058760B">
        <w:trPr>
          <w:trHeight w:val="320"/>
        </w:trPr>
        <w:tc>
          <w:tcPr>
            <w:tcW w:w="1766" w:type="pct"/>
            <w:tcBorders>
              <w:top w:val="nil"/>
              <w:left w:val="nil"/>
              <w:bottom w:val="nil"/>
              <w:right w:val="nil"/>
            </w:tcBorders>
            <w:shd w:val="clear" w:color="auto" w:fill="auto"/>
            <w:noWrap/>
            <w:vAlign w:val="bottom"/>
            <w:hideMark/>
          </w:tcPr>
          <w:p w14:paraId="4E043254"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Petroleum, Chemical and Non-Metallic Mineral Products</w:t>
            </w:r>
          </w:p>
        </w:tc>
        <w:tc>
          <w:tcPr>
            <w:tcW w:w="970" w:type="pct"/>
            <w:tcBorders>
              <w:top w:val="nil"/>
              <w:left w:val="nil"/>
              <w:bottom w:val="nil"/>
              <w:right w:val="nil"/>
            </w:tcBorders>
            <w:shd w:val="clear" w:color="auto" w:fill="auto"/>
            <w:noWrap/>
            <w:vAlign w:val="bottom"/>
            <w:hideMark/>
          </w:tcPr>
          <w:p w14:paraId="120BA958"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19.7</w:t>
            </w:r>
          </w:p>
        </w:tc>
        <w:tc>
          <w:tcPr>
            <w:tcW w:w="1143" w:type="pct"/>
            <w:tcBorders>
              <w:top w:val="nil"/>
              <w:left w:val="nil"/>
              <w:bottom w:val="nil"/>
              <w:right w:val="nil"/>
            </w:tcBorders>
            <w:shd w:val="clear" w:color="auto" w:fill="auto"/>
            <w:noWrap/>
            <w:vAlign w:val="bottom"/>
            <w:hideMark/>
          </w:tcPr>
          <w:p w14:paraId="646C4CDD"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58.5</w:t>
            </w:r>
          </w:p>
        </w:tc>
        <w:tc>
          <w:tcPr>
            <w:tcW w:w="1122" w:type="pct"/>
            <w:tcBorders>
              <w:top w:val="nil"/>
              <w:left w:val="nil"/>
              <w:bottom w:val="nil"/>
              <w:right w:val="nil"/>
            </w:tcBorders>
            <w:shd w:val="clear" w:color="auto" w:fill="auto"/>
            <w:noWrap/>
            <w:vAlign w:val="bottom"/>
            <w:hideMark/>
          </w:tcPr>
          <w:p w14:paraId="29CDA775"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60.4</w:t>
            </w:r>
          </w:p>
        </w:tc>
      </w:tr>
      <w:tr w:rsidR="0076402B" w:rsidRPr="002823C9" w14:paraId="48CA2738" w14:textId="77777777" w:rsidTr="0058760B">
        <w:trPr>
          <w:trHeight w:val="320"/>
        </w:trPr>
        <w:tc>
          <w:tcPr>
            <w:tcW w:w="1766" w:type="pct"/>
            <w:tcBorders>
              <w:top w:val="nil"/>
              <w:left w:val="nil"/>
              <w:bottom w:val="nil"/>
              <w:right w:val="nil"/>
            </w:tcBorders>
            <w:shd w:val="clear" w:color="auto" w:fill="auto"/>
            <w:noWrap/>
            <w:vAlign w:val="bottom"/>
            <w:hideMark/>
          </w:tcPr>
          <w:p w14:paraId="357031CA"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Textiles and Wearing Apparel</w:t>
            </w:r>
          </w:p>
        </w:tc>
        <w:tc>
          <w:tcPr>
            <w:tcW w:w="970" w:type="pct"/>
            <w:tcBorders>
              <w:top w:val="nil"/>
              <w:left w:val="nil"/>
              <w:bottom w:val="nil"/>
              <w:right w:val="nil"/>
            </w:tcBorders>
            <w:shd w:val="clear" w:color="auto" w:fill="auto"/>
            <w:noWrap/>
            <w:vAlign w:val="bottom"/>
            <w:hideMark/>
          </w:tcPr>
          <w:p w14:paraId="2C32F48A"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4.1</w:t>
            </w:r>
          </w:p>
        </w:tc>
        <w:tc>
          <w:tcPr>
            <w:tcW w:w="1143" w:type="pct"/>
            <w:tcBorders>
              <w:top w:val="nil"/>
              <w:left w:val="nil"/>
              <w:bottom w:val="nil"/>
              <w:right w:val="nil"/>
            </w:tcBorders>
            <w:shd w:val="clear" w:color="auto" w:fill="auto"/>
            <w:noWrap/>
            <w:vAlign w:val="bottom"/>
            <w:hideMark/>
          </w:tcPr>
          <w:p w14:paraId="39DC2A06"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70.1</w:t>
            </w:r>
          </w:p>
        </w:tc>
        <w:tc>
          <w:tcPr>
            <w:tcW w:w="1122" w:type="pct"/>
            <w:tcBorders>
              <w:top w:val="nil"/>
              <w:left w:val="nil"/>
              <w:bottom w:val="nil"/>
              <w:right w:val="nil"/>
            </w:tcBorders>
            <w:shd w:val="clear" w:color="auto" w:fill="auto"/>
            <w:noWrap/>
            <w:vAlign w:val="bottom"/>
            <w:hideMark/>
          </w:tcPr>
          <w:p w14:paraId="4E45047E"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55.9</w:t>
            </w:r>
          </w:p>
        </w:tc>
      </w:tr>
      <w:tr w:rsidR="0076402B" w:rsidRPr="002823C9" w14:paraId="487A0FD5" w14:textId="77777777" w:rsidTr="0058760B">
        <w:trPr>
          <w:trHeight w:val="320"/>
        </w:trPr>
        <w:tc>
          <w:tcPr>
            <w:tcW w:w="1766" w:type="pct"/>
            <w:tcBorders>
              <w:top w:val="nil"/>
              <w:left w:val="nil"/>
              <w:right w:val="nil"/>
            </w:tcBorders>
            <w:shd w:val="clear" w:color="auto" w:fill="auto"/>
            <w:noWrap/>
            <w:vAlign w:val="bottom"/>
            <w:hideMark/>
          </w:tcPr>
          <w:p w14:paraId="0E4F7A32"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Transport Equipment</w:t>
            </w:r>
          </w:p>
        </w:tc>
        <w:tc>
          <w:tcPr>
            <w:tcW w:w="970" w:type="pct"/>
            <w:tcBorders>
              <w:top w:val="nil"/>
              <w:left w:val="nil"/>
              <w:right w:val="nil"/>
            </w:tcBorders>
            <w:shd w:val="clear" w:color="auto" w:fill="auto"/>
            <w:noWrap/>
            <w:vAlign w:val="bottom"/>
            <w:hideMark/>
          </w:tcPr>
          <w:p w14:paraId="1A0F8464"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2.0</w:t>
            </w:r>
          </w:p>
        </w:tc>
        <w:tc>
          <w:tcPr>
            <w:tcW w:w="1143" w:type="pct"/>
            <w:tcBorders>
              <w:top w:val="nil"/>
              <w:left w:val="nil"/>
              <w:right w:val="nil"/>
            </w:tcBorders>
            <w:shd w:val="clear" w:color="auto" w:fill="auto"/>
            <w:noWrap/>
            <w:vAlign w:val="bottom"/>
            <w:hideMark/>
          </w:tcPr>
          <w:p w14:paraId="6056BAF4"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69.4</w:t>
            </w:r>
          </w:p>
        </w:tc>
        <w:tc>
          <w:tcPr>
            <w:tcW w:w="1122" w:type="pct"/>
            <w:tcBorders>
              <w:top w:val="nil"/>
              <w:left w:val="nil"/>
              <w:right w:val="nil"/>
            </w:tcBorders>
            <w:shd w:val="clear" w:color="auto" w:fill="auto"/>
            <w:noWrap/>
            <w:vAlign w:val="bottom"/>
            <w:hideMark/>
          </w:tcPr>
          <w:p w14:paraId="7A4F1F8B"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53.1</w:t>
            </w:r>
          </w:p>
        </w:tc>
      </w:tr>
      <w:tr w:rsidR="0076402B" w:rsidRPr="002823C9" w14:paraId="09C59749" w14:textId="77777777" w:rsidTr="0058760B">
        <w:trPr>
          <w:trHeight w:val="320"/>
        </w:trPr>
        <w:tc>
          <w:tcPr>
            <w:tcW w:w="1766" w:type="pct"/>
            <w:tcBorders>
              <w:top w:val="nil"/>
              <w:left w:val="nil"/>
              <w:bottom w:val="single" w:sz="4" w:space="0" w:color="auto"/>
              <w:right w:val="nil"/>
            </w:tcBorders>
            <w:shd w:val="clear" w:color="auto" w:fill="auto"/>
            <w:noWrap/>
            <w:vAlign w:val="bottom"/>
            <w:hideMark/>
          </w:tcPr>
          <w:p w14:paraId="0DBE2D6F" w14:textId="77777777" w:rsidR="0076402B" w:rsidRPr="002823C9" w:rsidRDefault="0076402B" w:rsidP="0058760B">
            <w:pPr>
              <w:rPr>
                <w:rFonts w:eastAsia="Times New Roman"/>
                <w:color w:val="000000"/>
                <w:sz w:val="22"/>
                <w:szCs w:val="22"/>
                <w:lang w:eastAsia="en-GB"/>
              </w:rPr>
            </w:pPr>
            <w:r w:rsidRPr="002823C9">
              <w:rPr>
                <w:rFonts w:eastAsia="Times New Roman"/>
                <w:color w:val="000000"/>
                <w:sz w:val="22"/>
                <w:szCs w:val="22"/>
                <w:lang w:eastAsia="en-GB"/>
              </w:rPr>
              <w:t>Wood and Paper</w:t>
            </w:r>
          </w:p>
        </w:tc>
        <w:tc>
          <w:tcPr>
            <w:tcW w:w="970" w:type="pct"/>
            <w:tcBorders>
              <w:top w:val="nil"/>
              <w:left w:val="nil"/>
              <w:bottom w:val="single" w:sz="4" w:space="0" w:color="auto"/>
              <w:right w:val="nil"/>
            </w:tcBorders>
            <w:shd w:val="clear" w:color="auto" w:fill="auto"/>
            <w:noWrap/>
            <w:vAlign w:val="bottom"/>
            <w:hideMark/>
          </w:tcPr>
          <w:p w14:paraId="53E1A0A3"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1.7</w:t>
            </w:r>
          </w:p>
        </w:tc>
        <w:tc>
          <w:tcPr>
            <w:tcW w:w="1143" w:type="pct"/>
            <w:tcBorders>
              <w:top w:val="nil"/>
              <w:left w:val="nil"/>
              <w:bottom w:val="single" w:sz="4" w:space="0" w:color="auto"/>
              <w:right w:val="nil"/>
            </w:tcBorders>
            <w:shd w:val="clear" w:color="auto" w:fill="auto"/>
            <w:noWrap/>
            <w:vAlign w:val="bottom"/>
            <w:hideMark/>
          </w:tcPr>
          <w:p w14:paraId="11DC7897"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58.8</w:t>
            </w:r>
          </w:p>
        </w:tc>
        <w:tc>
          <w:tcPr>
            <w:tcW w:w="1122" w:type="pct"/>
            <w:tcBorders>
              <w:top w:val="nil"/>
              <w:left w:val="nil"/>
              <w:bottom w:val="single" w:sz="4" w:space="0" w:color="auto"/>
              <w:right w:val="nil"/>
            </w:tcBorders>
            <w:shd w:val="clear" w:color="auto" w:fill="auto"/>
            <w:noWrap/>
            <w:vAlign w:val="bottom"/>
            <w:hideMark/>
          </w:tcPr>
          <w:p w14:paraId="520AF77F" w14:textId="77777777" w:rsidR="0076402B" w:rsidRPr="002823C9" w:rsidRDefault="0076402B" w:rsidP="0058760B">
            <w:pPr>
              <w:jc w:val="right"/>
              <w:rPr>
                <w:rFonts w:eastAsia="Times New Roman"/>
                <w:color w:val="000000"/>
                <w:sz w:val="22"/>
                <w:szCs w:val="22"/>
                <w:lang w:eastAsia="en-GB"/>
              </w:rPr>
            </w:pPr>
            <w:r w:rsidRPr="002823C9">
              <w:rPr>
                <w:rFonts w:eastAsia="Times New Roman"/>
                <w:color w:val="000000"/>
                <w:sz w:val="22"/>
                <w:szCs w:val="22"/>
                <w:lang w:eastAsia="en-GB"/>
              </w:rPr>
              <w:t>66.1</w:t>
            </w:r>
          </w:p>
        </w:tc>
      </w:tr>
    </w:tbl>
    <w:p w14:paraId="7C497E51" w14:textId="77777777" w:rsidR="0076402B" w:rsidRDefault="0076402B" w:rsidP="0076402B">
      <w:pPr>
        <w:widowControl w:val="0"/>
        <w:autoSpaceDE w:val="0"/>
        <w:autoSpaceDN w:val="0"/>
        <w:adjustRightInd w:val="0"/>
        <w:jc w:val="both"/>
        <w:rPr>
          <w:b/>
          <w:bCs/>
        </w:rPr>
      </w:pPr>
    </w:p>
    <w:p w14:paraId="2A7FEF79" w14:textId="77777777" w:rsidR="0076402B" w:rsidRDefault="0076402B" w:rsidP="0076402B">
      <w:pPr>
        <w:widowControl w:val="0"/>
        <w:autoSpaceDE w:val="0"/>
        <w:autoSpaceDN w:val="0"/>
        <w:adjustRightInd w:val="0"/>
        <w:jc w:val="both"/>
        <w:rPr>
          <w:b/>
          <w:bCs/>
        </w:rPr>
      </w:pPr>
    </w:p>
    <w:p w14:paraId="0912CD27" w14:textId="77777777" w:rsidR="0076402B" w:rsidRDefault="0076402B" w:rsidP="0076402B">
      <w:pPr>
        <w:rPr>
          <w:b/>
          <w:bCs/>
        </w:rPr>
      </w:pPr>
      <w:r>
        <w:rPr>
          <w:b/>
          <w:bCs/>
        </w:rPr>
        <w:br w:type="page"/>
      </w:r>
    </w:p>
    <w:p w14:paraId="3154FCA1" w14:textId="77777777" w:rsidR="0076402B" w:rsidRDefault="0076402B" w:rsidP="0076402B">
      <w:pPr>
        <w:widowControl w:val="0"/>
        <w:autoSpaceDE w:val="0"/>
        <w:autoSpaceDN w:val="0"/>
        <w:adjustRightInd w:val="0"/>
        <w:jc w:val="both"/>
        <w:rPr>
          <w:b/>
          <w:bCs/>
        </w:rPr>
      </w:pPr>
      <w:r>
        <w:rPr>
          <w:b/>
          <w:bCs/>
        </w:rPr>
        <w:lastRenderedPageBreak/>
        <w:t>Supplementary Table 2. Sector specific trade at-risk in value terms, including the fraction of cross-border risk.</w:t>
      </w:r>
    </w:p>
    <w:p w14:paraId="246C6D74" w14:textId="77777777" w:rsidR="0076402B" w:rsidRDefault="0076402B" w:rsidP="0076402B">
      <w:pPr>
        <w:widowControl w:val="0"/>
        <w:autoSpaceDE w:val="0"/>
        <w:autoSpaceDN w:val="0"/>
        <w:adjustRightInd w:val="0"/>
        <w:jc w:val="both"/>
        <w:rPr>
          <w:b/>
          <w:bCs/>
        </w:rPr>
      </w:pPr>
    </w:p>
    <w:tbl>
      <w:tblPr>
        <w:tblW w:w="5000" w:type="pct"/>
        <w:tblLook w:val="04A0" w:firstRow="1" w:lastRow="0" w:firstColumn="1" w:lastColumn="0" w:noHBand="0" w:noVBand="1"/>
      </w:tblPr>
      <w:tblGrid>
        <w:gridCol w:w="3142"/>
        <w:gridCol w:w="1828"/>
        <w:gridCol w:w="2062"/>
        <w:gridCol w:w="2040"/>
      </w:tblGrid>
      <w:tr w:rsidR="0076402B" w:rsidRPr="005C68BE" w14:paraId="7339A5B8" w14:textId="77777777" w:rsidTr="0058760B">
        <w:trPr>
          <w:trHeight w:val="320"/>
        </w:trPr>
        <w:tc>
          <w:tcPr>
            <w:tcW w:w="1732" w:type="pct"/>
            <w:tcBorders>
              <w:top w:val="nil"/>
              <w:left w:val="nil"/>
              <w:bottom w:val="single" w:sz="4" w:space="0" w:color="auto"/>
              <w:right w:val="nil"/>
            </w:tcBorders>
            <w:shd w:val="clear" w:color="auto" w:fill="auto"/>
            <w:noWrap/>
            <w:vAlign w:val="bottom"/>
            <w:hideMark/>
          </w:tcPr>
          <w:p w14:paraId="6EAFC11F" w14:textId="77777777" w:rsidR="0076402B" w:rsidRPr="005C68BE" w:rsidRDefault="0076402B" w:rsidP="0058760B">
            <w:pPr>
              <w:rPr>
                <w:rFonts w:eastAsia="Times New Roman"/>
                <w:b/>
                <w:bCs/>
                <w:color w:val="000000"/>
                <w:sz w:val="22"/>
                <w:szCs w:val="22"/>
                <w:lang w:eastAsia="en-GB"/>
              </w:rPr>
            </w:pPr>
            <w:r w:rsidRPr="005C68BE">
              <w:rPr>
                <w:rFonts w:eastAsia="Times New Roman"/>
                <w:b/>
                <w:bCs/>
                <w:color w:val="000000"/>
                <w:sz w:val="22"/>
                <w:szCs w:val="22"/>
                <w:lang w:eastAsia="en-GB"/>
              </w:rPr>
              <w:t>Sector</w:t>
            </w:r>
          </w:p>
        </w:tc>
        <w:tc>
          <w:tcPr>
            <w:tcW w:w="1007" w:type="pct"/>
            <w:tcBorders>
              <w:top w:val="nil"/>
              <w:left w:val="nil"/>
              <w:bottom w:val="single" w:sz="4" w:space="0" w:color="auto"/>
              <w:right w:val="nil"/>
            </w:tcBorders>
            <w:shd w:val="clear" w:color="auto" w:fill="auto"/>
            <w:noWrap/>
            <w:vAlign w:val="bottom"/>
            <w:hideMark/>
          </w:tcPr>
          <w:p w14:paraId="6790B520" w14:textId="77777777" w:rsidR="0076402B" w:rsidRPr="005C68BE" w:rsidRDefault="0076402B" w:rsidP="0058760B">
            <w:pPr>
              <w:rPr>
                <w:rFonts w:eastAsia="Times New Roman"/>
                <w:b/>
                <w:bCs/>
                <w:color w:val="000000"/>
                <w:sz w:val="22"/>
                <w:szCs w:val="22"/>
                <w:lang w:eastAsia="en-GB"/>
              </w:rPr>
            </w:pPr>
            <w:r w:rsidRPr="005C68BE">
              <w:rPr>
                <w:rFonts w:eastAsia="Times New Roman"/>
                <w:b/>
                <w:bCs/>
                <w:color w:val="000000"/>
                <w:sz w:val="22"/>
                <w:szCs w:val="22"/>
                <w:lang w:eastAsia="en-GB"/>
              </w:rPr>
              <w:t>Trade at-risk (million tonnes)</w:t>
            </w:r>
          </w:p>
        </w:tc>
        <w:tc>
          <w:tcPr>
            <w:tcW w:w="1136" w:type="pct"/>
            <w:tcBorders>
              <w:top w:val="nil"/>
              <w:left w:val="nil"/>
              <w:bottom w:val="single" w:sz="4" w:space="0" w:color="auto"/>
              <w:right w:val="nil"/>
            </w:tcBorders>
            <w:shd w:val="clear" w:color="auto" w:fill="auto"/>
            <w:noWrap/>
            <w:vAlign w:val="bottom"/>
            <w:hideMark/>
          </w:tcPr>
          <w:p w14:paraId="35817800" w14:textId="77777777" w:rsidR="0076402B" w:rsidRPr="005C68BE" w:rsidRDefault="0076402B" w:rsidP="0058760B">
            <w:pPr>
              <w:rPr>
                <w:rFonts w:eastAsia="Times New Roman"/>
                <w:b/>
                <w:bCs/>
                <w:color w:val="000000"/>
                <w:sz w:val="22"/>
                <w:szCs w:val="22"/>
                <w:lang w:eastAsia="en-GB"/>
              </w:rPr>
            </w:pPr>
            <w:r w:rsidRPr="005C68BE">
              <w:rPr>
                <w:rFonts w:eastAsia="Times New Roman"/>
                <w:b/>
                <w:bCs/>
                <w:color w:val="000000"/>
                <w:sz w:val="22"/>
                <w:szCs w:val="22"/>
                <w:lang w:eastAsia="en-GB"/>
              </w:rPr>
              <w:t>Fraction import cross-border (%)</w:t>
            </w:r>
          </w:p>
        </w:tc>
        <w:tc>
          <w:tcPr>
            <w:tcW w:w="1124" w:type="pct"/>
            <w:tcBorders>
              <w:top w:val="nil"/>
              <w:left w:val="nil"/>
              <w:bottom w:val="single" w:sz="4" w:space="0" w:color="auto"/>
              <w:right w:val="nil"/>
            </w:tcBorders>
            <w:shd w:val="clear" w:color="auto" w:fill="auto"/>
            <w:noWrap/>
            <w:vAlign w:val="bottom"/>
            <w:hideMark/>
          </w:tcPr>
          <w:p w14:paraId="42E556A4" w14:textId="77777777" w:rsidR="0076402B" w:rsidRPr="005C68BE" w:rsidRDefault="0076402B" w:rsidP="0058760B">
            <w:pPr>
              <w:rPr>
                <w:rFonts w:eastAsia="Times New Roman"/>
                <w:b/>
                <w:bCs/>
                <w:color w:val="000000"/>
                <w:sz w:val="22"/>
                <w:szCs w:val="22"/>
                <w:lang w:eastAsia="en-GB"/>
              </w:rPr>
            </w:pPr>
            <w:r w:rsidRPr="005C68BE">
              <w:rPr>
                <w:rFonts w:eastAsia="Times New Roman"/>
                <w:b/>
                <w:bCs/>
                <w:color w:val="000000"/>
                <w:sz w:val="22"/>
                <w:szCs w:val="22"/>
                <w:lang w:eastAsia="en-GB"/>
              </w:rPr>
              <w:t>Fraction export cross-border (%)</w:t>
            </w:r>
          </w:p>
        </w:tc>
      </w:tr>
      <w:tr w:rsidR="0076402B" w:rsidRPr="005C68BE" w14:paraId="1998FEA8" w14:textId="77777777" w:rsidTr="0058760B">
        <w:trPr>
          <w:trHeight w:val="320"/>
        </w:trPr>
        <w:tc>
          <w:tcPr>
            <w:tcW w:w="1732" w:type="pct"/>
            <w:tcBorders>
              <w:top w:val="nil"/>
              <w:left w:val="nil"/>
              <w:bottom w:val="nil"/>
              <w:right w:val="nil"/>
            </w:tcBorders>
            <w:shd w:val="clear" w:color="auto" w:fill="auto"/>
            <w:noWrap/>
            <w:vAlign w:val="bottom"/>
            <w:hideMark/>
          </w:tcPr>
          <w:p w14:paraId="05978360"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Agriculture</w:t>
            </w:r>
          </w:p>
        </w:tc>
        <w:tc>
          <w:tcPr>
            <w:tcW w:w="1007" w:type="pct"/>
            <w:tcBorders>
              <w:top w:val="nil"/>
              <w:left w:val="nil"/>
              <w:bottom w:val="nil"/>
              <w:right w:val="nil"/>
            </w:tcBorders>
            <w:shd w:val="clear" w:color="auto" w:fill="auto"/>
            <w:noWrap/>
            <w:vAlign w:val="bottom"/>
            <w:hideMark/>
          </w:tcPr>
          <w:p w14:paraId="2097B359"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7.5</w:t>
            </w:r>
          </w:p>
        </w:tc>
        <w:tc>
          <w:tcPr>
            <w:tcW w:w="1136" w:type="pct"/>
            <w:tcBorders>
              <w:top w:val="nil"/>
              <w:left w:val="nil"/>
              <w:bottom w:val="nil"/>
              <w:right w:val="nil"/>
            </w:tcBorders>
            <w:shd w:val="clear" w:color="auto" w:fill="auto"/>
            <w:noWrap/>
            <w:vAlign w:val="bottom"/>
            <w:hideMark/>
          </w:tcPr>
          <w:p w14:paraId="76C81D05"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58.0</w:t>
            </w:r>
          </w:p>
        </w:tc>
        <w:tc>
          <w:tcPr>
            <w:tcW w:w="1124" w:type="pct"/>
            <w:tcBorders>
              <w:top w:val="nil"/>
              <w:left w:val="nil"/>
              <w:bottom w:val="nil"/>
              <w:right w:val="nil"/>
            </w:tcBorders>
            <w:shd w:val="clear" w:color="auto" w:fill="auto"/>
            <w:noWrap/>
            <w:vAlign w:val="bottom"/>
            <w:hideMark/>
          </w:tcPr>
          <w:p w14:paraId="760E31CA"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78.8</w:t>
            </w:r>
          </w:p>
        </w:tc>
      </w:tr>
      <w:tr w:rsidR="0076402B" w:rsidRPr="005C68BE" w14:paraId="7E0BA420" w14:textId="77777777" w:rsidTr="0058760B">
        <w:trPr>
          <w:trHeight w:val="320"/>
        </w:trPr>
        <w:tc>
          <w:tcPr>
            <w:tcW w:w="1732" w:type="pct"/>
            <w:tcBorders>
              <w:top w:val="nil"/>
              <w:left w:val="nil"/>
              <w:bottom w:val="nil"/>
              <w:right w:val="nil"/>
            </w:tcBorders>
            <w:shd w:val="clear" w:color="auto" w:fill="auto"/>
            <w:noWrap/>
            <w:vAlign w:val="bottom"/>
            <w:hideMark/>
          </w:tcPr>
          <w:p w14:paraId="1D6E38A4"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Electrical and Machinery</w:t>
            </w:r>
          </w:p>
        </w:tc>
        <w:tc>
          <w:tcPr>
            <w:tcW w:w="1007" w:type="pct"/>
            <w:tcBorders>
              <w:top w:val="nil"/>
              <w:left w:val="nil"/>
              <w:bottom w:val="nil"/>
              <w:right w:val="nil"/>
            </w:tcBorders>
            <w:shd w:val="clear" w:color="auto" w:fill="auto"/>
            <w:noWrap/>
            <w:vAlign w:val="bottom"/>
            <w:hideMark/>
          </w:tcPr>
          <w:p w14:paraId="287FBB9A"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1.6</w:t>
            </w:r>
          </w:p>
        </w:tc>
        <w:tc>
          <w:tcPr>
            <w:tcW w:w="1136" w:type="pct"/>
            <w:tcBorders>
              <w:top w:val="nil"/>
              <w:left w:val="nil"/>
              <w:bottom w:val="nil"/>
              <w:right w:val="nil"/>
            </w:tcBorders>
            <w:shd w:val="clear" w:color="auto" w:fill="auto"/>
            <w:noWrap/>
            <w:vAlign w:val="bottom"/>
            <w:hideMark/>
          </w:tcPr>
          <w:p w14:paraId="474CDC7C"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67.1</w:t>
            </w:r>
          </w:p>
        </w:tc>
        <w:tc>
          <w:tcPr>
            <w:tcW w:w="1124" w:type="pct"/>
            <w:tcBorders>
              <w:top w:val="nil"/>
              <w:left w:val="nil"/>
              <w:bottom w:val="nil"/>
              <w:right w:val="nil"/>
            </w:tcBorders>
            <w:shd w:val="clear" w:color="auto" w:fill="auto"/>
            <w:noWrap/>
            <w:vAlign w:val="bottom"/>
            <w:hideMark/>
          </w:tcPr>
          <w:p w14:paraId="6AB35D35"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51.2</w:t>
            </w:r>
          </w:p>
        </w:tc>
      </w:tr>
      <w:tr w:rsidR="0076402B" w:rsidRPr="005C68BE" w14:paraId="54A75CF1" w14:textId="77777777" w:rsidTr="0058760B">
        <w:trPr>
          <w:trHeight w:val="320"/>
        </w:trPr>
        <w:tc>
          <w:tcPr>
            <w:tcW w:w="1732" w:type="pct"/>
            <w:tcBorders>
              <w:top w:val="nil"/>
              <w:left w:val="nil"/>
              <w:bottom w:val="nil"/>
              <w:right w:val="nil"/>
            </w:tcBorders>
            <w:shd w:val="clear" w:color="auto" w:fill="auto"/>
            <w:noWrap/>
            <w:vAlign w:val="bottom"/>
            <w:hideMark/>
          </w:tcPr>
          <w:p w14:paraId="1FA452B8"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Fishing</w:t>
            </w:r>
          </w:p>
        </w:tc>
        <w:tc>
          <w:tcPr>
            <w:tcW w:w="1007" w:type="pct"/>
            <w:tcBorders>
              <w:top w:val="nil"/>
              <w:left w:val="nil"/>
              <w:bottom w:val="nil"/>
              <w:right w:val="nil"/>
            </w:tcBorders>
            <w:shd w:val="clear" w:color="auto" w:fill="auto"/>
            <w:noWrap/>
            <w:vAlign w:val="bottom"/>
            <w:hideMark/>
          </w:tcPr>
          <w:p w14:paraId="7E061051"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0.1</w:t>
            </w:r>
          </w:p>
        </w:tc>
        <w:tc>
          <w:tcPr>
            <w:tcW w:w="1136" w:type="pct"/>
            <w:tcBorders>
              <w:top w:val="nil"/>
              <w:left w:val="nil"/>
              <w:bottom w:val="nil"/>
              <w:right w:val="nil"/>
            </w:tcBorders>
            <w:shd w:val="clear" w:color="auto" w:fill="auto"/>
            <w:noWrap/>
            <w:vAlign w:val="bottom"/>
            <w:hideMark/>
          </w:tcPr>
          <w:p w14:paraId="49ACEB76"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62.8</w:t>
            </w:r>
          </w:p>
        </w:tc>
        <w:tc>
          <w:tcPr>
            <w:tcW w:w="1124" w:type="pct"/>
            <w:tcBorders>
              <w:top w:val="nil"/>
              <w:left w:val="nil"/>
              <w:bottom w:val="nil"/>
              <w:right w:val="nil"/>
            </w:tcBorders>
            <w:shd w:val="clear" w:color="auto" w:fill="auto"/>
            <w:noWrap/>
            <w:vAlign w:val="bottom"/>
            <w:hideMark/>
          </w:tcPr>
          <w:p w14:paraId="09D1E769"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67.7</w:t>
            </w:r>
          </w:p>
        </w:tc>
      </w:tr>
      <w:tr w:rsidR="0076402B" w:rsidRPr="005C68BE" w14:paraId="5E4E982C" w14:textId="77777777" w:rsidTr="0058760B">
        <w:trPr>
          <w:trHeight w:val="320"/>
        </w:trPr>
        <w:tc>
          <w:tcPr>
            <w:tcW w:w="1732" w:type="pct"/>
            <w:tcBorders>
              <w:top w:val="nil"/>
              <w:left w:val="nil"/>
              <w:bottom w:val="nil"/>
              <w:right w:val="nil"/>
            </w:tcBorders>
            <w:shd w:val="clear" w:color="auto" w:fill="auto"/>
            <w:noWrap/>
            <w:vAlign w:val="bottom"/>
            <w:hideMark/>
          </w:tcPr>
          <w:p w14:paraId="33A5736D"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Food &amp; Beverages</w:t>
            </w:r>
          </w:p>
        </w:tc>
        <w:tc>
          <w:tcPr>
            <w:tcW w:w="1007" w:type="pct"/>
            <w:tcBorders>
              <w:top w:val="nil"/>
              <w:left w:val="nil"/>
              <w:bottom w:val="nil"/>
              <w:right w:val="nil"/>
            </w:tcBorders>
            <w:shd w:val="clear" w:color="auto" w:fill="auto"/>
            <w:noWrap/>
            <w:vAlign w:val="bottom"/>
            <w:hideMark/>
          </w:tcPr>
          <w:p w14:paraId="6D49E952"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5.7</w:t>
            </w:r>
          </w:p>
        </w:tc>
        <w:tc>
          <w:tcPr>
            <w:tcW w:w="1136" w:type="pct"/>
            <w:tcBorders>
              <w:top w:val="nil"/>
              <w:left w:val="nil"/>
              <w:bottom w:val="nil"/>
              <w:right w:val="nil"/>
            </w:tcBorders>
            <w:shd w:val="clear" w:color="auto" w:fill="auto"/>
            <w:noWrap/>
            <w:vAlign w:val="bottom"/>
            <w:hideMark/>
          </w:tcPr>
          <w:p w14:paraId="4788EEFE"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59.4</w:t>
            </w:r>
          </w:p>
        </w:tc>
        <w:tc>
          <w:tcPr>
            <w:tcW w:w="1124" w:type="pct"/>
            <w:tcBorders>
              <w:top w:val="nil"/>
              <w:left w:val="nil"/>
              <w:bottom w:val="nil"/>
              <w:right w:val="nil"/>
            </w:tcBorders>
            <w:shd w:val="clear" w:color="auto" w:fill="auto"/>
            <w:noWrap/>
            <w:vAlign w:val="bottom"/>
            <w:hideMark/>
          </w:tcPr>
          <w:p w14:paraId="6B455805"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67.9</w:t>
            </w:r>
          </w:p>
        </w:tc>
      </w:tr>
      <w:tr w:rsidR="0076402B" w:rsidRPr="005C68BE" w14:paraId="2F429923" w14:textId="77777777" w:rsidTr="0058760B">
        <w:trPr>
          <w:trHeight w:val="320"/>
        </w:trPr>
        <w:tc>
          <w:tcPr>
            <w:tcW w:w="1732" w:type="pct"/>
            <w:tcBorders>
              <w:top w:val="nil"/>
              <w:left w:val="nil"/>
              <w:bottom w:val="nil"/>
              <w:right w:val="nil"/>
            </w:tcBorders>
            <w:shd w:val="clear" w:color="auto" w:fill="auto"/>
            <w:noWrap/>
            <w:vAlign w:val="bottom"/>
            <w:hideMark/>
          </w:tcPr>
          <w:p w14:paraId="0830C09B"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Metal Products</w:t>
            </w:r>
          </w:p>
        </w:tc>
        <w:tc>
          <w:tcPr>
            <w:tcW w:w="1007" w:type="pct"/>
            <w:tcBorders>
              <w:top w:val="nil"/>
              <w:left w:val="nil"/>
              <w:bottom w:val="nil"/>
              <w:right w:val="nil"/>
            </w:tcBorders>
            <w:shd w:val="clear" w:color="auto" w:fill="auto"/>
            <w:noWrap/>
            <w:vAlign w:val="bottom"/>
            <w:hideMark/>
          </w:tcPr>
          <w:p w14:paraId="5159AE02"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5.1</w:t>
            </w:r>
          </w:p>
        </w:tc>
        <w:tc>
          <w:tcPr>
            <w:tcW w:w="1136" w:type="pct"/>
            <w:tcBorders>
              <w:top w:val="nil"/>
              <w:left w:val="nil"/>
              <w:bottom w:val="nil"/>
              <w:right w:val="nil"/>
            </w:tcBorders>
            <w:shd w:val="clear" w:color="auto" w:fill="auto"/>
            <w:noWrap/>
            <w:vAlign w:val="bottom"/>
            <w:hideMark/>
          </w:tcPr>
          <w:p w14:paraId="7875694D"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71.5</w:t>
            </w:r>
          </w:p>
        </w:tc>
        <w:tc>
          <w:tcPr>
            <w:tcW w:w="1124" w:type="pct"/>
            <w:tcBorders>
              <w:top w:val="nil"/>
              <w:left w:val="nil"/>
              <w:bottom w:val="nil"/>
              <w:right w:val="nil"/>
            </w:tcBorders>
            <w:shd w:val="clear" w:color="auto" w:fill="auto"/>
            <w:noWrap/>
            <w:vAlign w:val="bottom"/>
            <w:hideMark/>
          </w:tcPr>
          <w:p w14:paraId="4B55A25D"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55.3</w:t>
            </w:r>
          </w:p>
        </w:tc>
      </w:tr>
      <w:tr w:rsidR="0076402B" w:rsidRPr="005C68BE" w14:paraId="4D0A593A" w14:textId="77777777" w:rsidTr="0058760B">
        <w:trPr>
          <w:trHeight w:val="320"/>
        </w:trPr>
        <w:tc>
          <w:tcPr>
            <w:tcW w:w="1732" w:type="pct"/>
            <w:tcBorders>
              <w:top w:val="nil"/>
              <w:left w:val="nil"/>
              <w:bottom w:val="nil"/>
              <w:right w:val="nil"/>
            </w:tcBorders>
            <w:shd w:val="clear" w:color="auto" w:fill="auto"/>
            <w:noWrap/>
            <w:vAlign w:val="bottom"/>
            <w:hideMark/>
          </w:tcPr>
          <w:p w14:paraId="28F994E7"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Mining and Quarrying</w:t>
            </w:r>
          </w:p>
        </w:tc>
        <w:tc>
          <w:tcPr>
            <w:tcW w:w="1007" w:type="pct"/>
            <w:tcBorders>
              <w:top w:val="nil"/>
              <w:left w:val="nil"/>
              <w:bottom w:val="nil"/>
              <w:right w:val="nil"/>
            </w:tcBorders>
            <w:shd w:val="clear" w:color="auto" w:fill="auto"/>
            <w:noWrap/>
            <w:vAlign w:val="bottom"/>
            <w:hideMark/>
          </w:tcPr>
          <w:p w14:paraId="09D23CCF"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48.4</w:t>
            </w:r>
          </w:p>
        </w:tc>
        <w:tc>
          <w:tcPr>
            <w:tcW w:w="1136" w:type="pct"/>
            <w:tcBorders>
              <w:top w:val="nil"/>
              <w:left w:val="nil"/>
              <w:bottom w:val="nil"/>
              <w:right w:val="nil"/>
            </w:tcBorders>
            <w:shd w:val="clear" w:color="auto" w:fill="auto"/>
            <w:noWrap/>
            <w:vAlign w:val="bottom"/>
            <w:hideMark/>
          </w:tcPr>
          <w:p w14:paraId="61739156"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58.5</w:t>
            </w:r>
          </w:p>
        </w:tc>
        <w:tc>
          <w:tcPr>
            <w:tcW w:w="1124" w:type="pct"/>
            <w:tcBorders>
              <w:top w:val="nil"/>
              <w:left w:val="nil"/>
              <w:bottom w:val="nil"/>
              <w:right w:val="nil"/>
            </w:tcBorders>
            <w:shd w:val="clear" w:color="auto" w:fill="auto"/>
            <w:noWrap/>
            <w:vAlign w:val="bottom"/>
            <w:hideMark/>
          </w:tcPr>
          <w:p w14:paraId="299B7CAA"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69.4</w:t>
            </w:r>
          </w:p>
        </w:tc>
      </w:tr>
      <w:tr w:rsidR="0076402B" w:rsidRPr="005C68BE" w14:paraId="17349A9B" w14:textId="77777777" w:rsidTr="0058760B">
        <w:trPr>
          <w:trHeight w:val="320"/>
        </w:trPr>
        <w:tc>
          <w:tcPr>
            <w:tcW w:w="1732" w:type="pct"/>
            <w:tcBorders>
              <w:top w:val="nil"/>
              <w:left w:val="nil"/>
              <w:bottom w:val="nil"/>
              <w:right w:val="nil"/>
            </w:tcBorders>
            <w:shd w:val="clear" w:color="auto" w:fill="auto"/>
            <w:noWrap/>
            <w:vAlign w:val="bottom"/>
            <w:hideMark/>
          </w:tcPr>
          <w:p w14:paraId="210DED40"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Other Manufacturing</w:t>
            </w:r>
          </w:p>
        </w:tc>
        <w:tc>
          <w:tcPr>
            <w:tcW w:w="1007" w:type="pct"/>
            <w:tcBorders>
              <w:top w:val="nil"/>
              <w:left w:val="nil"/>
              <w:bottom w:val="nil"/>
              <w:right w:val="nil"/>
            </w:tcBorders>
            <w:shd w:val="clear" w:color="auto" w:fill="auto"/>
            <w:noWrap/>
            <w:vAlign w:val="bottom"/>
            <w:hideMark/>
          </w:tcPr>
          <w:p w14:paraId="2E53684C"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0.9</w:t>
            </w:r>
          </w:p>
        </w:tc>
        <w:tc>
          <w:tcPr>
            <w:tcW w:w="1136" w:type="pct"/>
            <w:tcBorders>
              <w:top w:val="nil"/>
              <w:left w:val="nil"/>
              <w:bottom w:val="nil"/>
              <w:right w:val="nil"/>
            </w:tcBorders>
            <w:shd w:val="clear" w:color="auto" w:fill="auto"/>
            <w:noWrap/>
            <w:vAlign w:val="bottom"/>
            <w:hideMark/>
          </w:tcPr>
          <w:p w14:paraId="50D5005A"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72.7</w:t>
            </w:r>
          </w:p>
        </w:tc>
        <w:tc>
          <w:tcPr>
            <w:tcW w:w="1124" w:type="pct"/>
            <w:tcBorders>
              <w:top w:val="nil"/>
              <w:left w:val="nil"/>
              <w:bottom w:val="nil"/>
              <w:right w:val="nil"/>
            </w:tcBorders>
            <w:shd w:val="clear" w:color="auto" w:fill="auto"/>
            <w:noWrap/>
            <w:vAlign w:val="bottom"/>
            <w:hideMark/>
          </w:tcPr>
          <w:p w14:paraId="167B673F"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45.5</w:t>
            </w:r>
          </w:p>
        </w:tc>
      </w:tr>
      <w:tr w:rsidR="0076402B" w:rsidRPr="005C68BE" w14:paraId="6C6E2E11" w14:textId="77777777" w:rsidTr="0058760B">
        <w:trPr>
          <w:trHeight w:val="320"/>
        </w:trPr>
        <w:tc>
          <w:tcPr>
            <w:tcW w:w="1732" w:type="pct"/>
            <w:tcBorders>
              <w:top w:val="nil"/>
              <w:left w:val="nil"/>
              <w:bottom w:val="nil"/>
              <w:right w:val="nil"/>
            </w:tcBorders>
            <w:shd w:val="clear" w:color="auto" w:fill="auto"/>
            <w:noWrap/>
            <w:vAlign w:val="bottom"/>
            <w:hideMark/>
          </w:tcPr>
          <w:p w14:paraId="581BE10F"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Petroleum, Chemical and Non-Metallic Mineral Products</w:t>
            </w:r>
          </w:p>
        </w:tc>
        <w:tc>
          <w:tcPr>
            <w:tcW w:w="1007" w:type="pct"/>
            <w:tcBorders>
              <w:top w:val="nil"/>
              <w:left w:val="nil"/>
              <w:bottom w:val="nil"/>
              <w:right w:val="nil"/>
            </w:tcBorders>
            <w:shd w:val="clear" w:color="auto" w:fill="auto"/>
            <w:noWrap/>
            <w:vAlign w:val="bottom"/>
            <w:hideMark/>
          </w:tcPr>
          <w:p w14:paraId="4095D17E"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45.5</w:t>
            </w:r>
          </w:p>
        </w:tc>
        <w:tc>
          <w:tcPr>
            <w:tcW w:w="1136" w:type="pct"/>
            <w:tcBorders>
              <w:top w:val="nil"/>
              <w:left w:val="nil"/>
              <w:bottom w:val="nil"/>
              <w:right w:val="nil"/>
            </w:tcBorders>
            <w:shd w:val="clear" w:color="auto" w:fill="auto"/>
            <w:noWrap/>
            <w:vAlign w:val="bottom"/>
            <w:hideMark/>
          </w:tcPr>
          <w:p w14:paraId="4E92AED5"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58.9</w:t>
            </w:r>
          </w:p>
        </w:tc>
        <w:tc>
          <w:tcPr>
            <w:tcW w:w="1124" w:type="pct"/>
            <w:tcBorders>
              <w:top w:val="nil"/>
              <w:left w:val="nil"/>
              <w:bottom w:val="nil"/>
              <w:right w:val="nil"/>
            </w:tcBorders>
            <w:shd w:val="clear" w:color="auto" w:fill="auto"/>
            <w:noWrap/>
            <w:vAlign w:val="bottom"/>
            <w:hideMark/>
          </w:tcPr>
          <w:p w14:paraId="6C49F5F8"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64.5</w:t>
            </w:r>
          </w:p>
        </w:tc>
      </w:tr>
      <w:tr w:rsidR="0076402B" w:rsidRPr="005C68BE" w14:paraId="5AE1D61B" w14:textId="77777777" w:rsidTr="0058760B">
        <w:trPr>
          <w:trHeight w:val="320"/>
        </w:trPr>
        <w:tc>
          <w:tcPr>
            <w:tcW w:w="1732" w:type="pct"/>
            <w:tcBorders>
              <w:top w:val="nil"/>
              <w:left w:val="nil"/>
              <w:bottom w:val="nil"/>
              <w:right w:val="nil"/>
            </w:tcBorders>
            <w:shd w:val="clear" w:color="auto" w:fill="auto"/>
            <w:noWrap/>
            <w:vAlign w:val="bottom"/>
            <w:hideMark/>
          </w:tcPr>
          <w:p w14:paraId="59EA2F7F"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Textiles and Wearing Apparel</w:t>
            </w:r>
          </w:p>
        </w:tc>
        <w:tc>
          <w:tcPr>
            <w:tcW w:w="1007" w:type="pct"/>
            <w:tcBorders>
              <w:top w:val="nil"/>
              <w:left w:val="nil"/>
              <w:bottom w:val="nil"/>
              <w:right w:val="nil"/>
            </w:tcBorders>
            <w:shd w:val="clear" w:color="auto" w:fill="auto"/>
            <w:noWrap/>
            <w:vAlign w:val="bottom"/>
            <w:hideMark/>
          </w:tcPr>
          <w:p w14:paraId="082CF594"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0.4</w:t>
            </w:r>
          </w:p>
        </w:tc>
        <w:tc>
          <w:tcPr>
            <w:tcW w:w="1136" w:type="pct"/>
            <w:tcBorders>
              <w:top w:val="nil"/>
              <w:left w:val="nil"/>
              <w:bottom w:val="nil"/>
              <w:right w:val="nil"/>
            </w:tcBorders>
            <w:shd w:val="clear" w:color="auto" w:fill="auto"/>
            <w:noWrap/>
            <w:vAlign w:val="bottom"/>
            <w:hideMark/>
          </w:tcPr>
          <w:p w14:paraId="3FD5EB75"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70.2</w:t>
            </w:r>
          </w:p>
        </w:tc>
        <w:tc>
          <w:tcPr>
            <w:tcW w:w="1124" w:type="pct"/>
            <w:tcBorders>
              <w:top w:val="nil"/>
              <w:left w:val="nil"/>
              <w:bottom w:val="nil"/>
              <w:right w:val="nil"/>
            </w:tcBorders>
            <w:shd w:val="clear" w:color="auto" w:fill="auto"/>
            <w:noWrap/>
            <w:vAlign w:val="bottom"/>
            <w:hideMark/>
          </w:tcPr>
          <w:p w14:paraId="0CB6C64B"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55.6</w:t>
            </w:r>
          </w:p>
        </w:tc>
      </w:tr>
      <w:tr w:rsidR="0076402B" w:rsidRPr="005C68BE" w14:paraId="34D4F409" w14:textId="77777777" w:rsidTr="0058760B">
        <w:trPr>
          <w:trHeight w:val="320"/>
        </w:trPr>
        <w:tc>
          <w:tcPr>
            <w:tcW w:w="1732" w:type="pct"/>
            <w:tcBorders>
              <w:top w:val="nil"/>
              <w:left w:val="nil"/>
              <w:right w:val="nil"/>
            </w:tcBorders>
            <w:shd w:val="clear" w:color="auto" w:fill="auto"/>
            <w:noWrap/>
            <w:vAlign w:val="bottom"/>
            <w:hideMark/>
          </w:tcPr>
          <w:p w14:paraId="24DF9FC1"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Transport Equipment</w:t>
            </w:r>
          </w:p>
        </w:tc>
        <w:tc>
          <w:tcPr>
            <w:tcW w:w="1007" w:type="pct"/>
            <w:tcBorders>
              <w:top w:val="nil"/>
              <w:left w:val="nil"/>
              <w:right w:val="nil"/>
            </w:tcBorders>
            <w:shd w:val="clear" w:color="auto" w:fill="auto"/>
            <w:noWrap/>
            <w:vAlign w:val="bottom"/>
            <w:hideMark/>
          </w:tcPr>
          <w:p w14:paraId="32006FB4"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0.4</w:t>
            </w:r>
          </w:p>
        </w:tc>
        <w:tc>
          <w:tcPr>
            <w:tcW w:w="1136" w:type="pct"/>
            <w:tcBorders>
              <w:top w:val="nil"/>
              <w:left w:val="nil"/>
              <w:right w:val="nil"/>
            </w:tcBorders>
            <w:shd w:val="clear" w:color="auto" w:fill="auto"/>
            <w:noWrap/>
            <w:vAlign w:val="bottom"/>
            <w:hideMark/>
          </w:tcPr>
          <w:p w14:paraId="55CA15E5"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66.6</w:t>
            </w:r>
          </w:p>
        </w:tc>
        <w:tc>
          <w:tcPr>
            <w:tcW w:w="1124" w:type="pct"/>
            <w:tcBorders>
              <w:top w:val="nil"/>
              <w:left w:val="nil"/>
              <w:right w:val="nil"/>
            </w:tcBorders>
            <w:shd w:val="clear" w:color="auto" w:fill="auto"/>
            <w:noWrap/>
            <w:vAlign w:val="bottom"/>
            <w:hideMark/>
          </w:tcPr>
          <w:p w14:paraId="44B6D34C"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55.2</w:t>
            </w:r>
          </w:p>
        </w:tc>
      </w:tr>
      <w:tr w:rsidR="0076402B" w:rsidRPr="005C68BE" w14:paraId="6A784402" w14:textId="77777777" w:rsidTr="0058760B">
        <w:trPr>
          <w:trHeight w:val="320"/>
        </w:trPr>
        <w:tc>
          <w:tcPr>
            <w:tcW w:w="1732" w:type="pct"/>
            <w:tcBorders>
              <w:top w:val="nil"/>
              <w:left w:val="nil"/>
              <w:bottom w:val="single" w:sz="4" w:space="0" w:color="auto"/>
              <w:right w:val="nil"/>
            </w:tcBorders>
            <w:shd w:val="clear" w:color="auto" w:fill="auto"/>
            <w:noWrap/>
            <w:vAlign w:val="bottom"/>
            <w:hideMark/>
          </w:tcPr>
          <w:p w14:paraId="68A2C68C" w14:textId="77777777" w:rsidR="0076402B" w:rsidRPr="005C68BE" w:rsidRDefault="0076402B" w:rsidP="0058760B">
            <w:pPr>
              <w:rPr>
                <w:rFonts w:eastAsia="Times New Roman"/>
                <w:color w:val="000000"/>
                <w:sz w:val="22"/>
                <w:szCs w:val="22"/>
                <w:lang w:eastAsia="en-GB"/>
              </w:rPr>
            </w:pPr>
            <w:r w:rsidRPr="005C68BE">
              <w:rPr>
                <w:rFonts w:eastAsia="Times New Roman"/>
                <w:color w:val="000000"/>
                <w:sz w:val="22"/>
                <w:szCs w:val="22"/>
                <w:lang w:eastAsia="en-GB"/>
              </w:rPr>
              <w:t>Wood and Paper</w:t>
            </w:r>
          </w:p>
        </w:tc>
        <w:tc>
          <w:tcPr>
            <w:tcW w:w="1007" w:type="pct"/>
            <w:tcBorders>
              <w:top w:val="nil"/>
              <w:left w:val="nil"/>
              <w:bottom w:val="single" w:sz="4" w:space="0" w:color="auto"/>
              <w:right w:val="nil"/>
            </w:tcBorders>
            <w:shd w:val="clear" w:color="auto" w:fill="auto"/>
            <w:noWrap/>
            <w:vAlign w:val="bottom"/>
            <w:hideMark/>
          </w:tcPr>
          <w:p w14:paraId="47A7DB6D"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2.0</w:t>
            </w:r>
          </w:p>
        </w:tc>
        <w:tc>
          <w:tcPr>
            <w:tcW w:w="1136" w:type="pct"/>
            <w:tcBorders>
              <w:top w:val="nil"/>
              <w:left w:val="nil"/>
              <w:bottom w:val="single" w:sz="4" w:space="0" w:color="auto"/>
              <w:right w:val="nil"/>
            </w:tcBorders>
            <w:shd w:val="clear" w:color="auto" w:fill="auto"/>
            <w:noWrap/>
            <w:vAlign w:val="bottom"/>
            <w:hideMark/>
          </w:tcPr>
          <w:p w14:paraId="0D99B406"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57.4</w:t>
            </w:r>
          </w:p>
        </w:tc>
        <w:tc>
          <w:tcPr>
            <w:tcW w:w="1124" w:type="pct"/>
            <w:tcBorders>
              <w:top w:val="nil"/>
              <w:left w:val="nil"/>
              <w:bottom w:val="single" w:sz="4" w:space="0" w:color="auto"/>
              <w:right w:val="nil"/>
            </w:tcBorders>
            <w:shd w:val="clear" w:color="auto" w:fill="auto"/>
            <w:noWrap/>
            <w:vAlign w:val="bottom"/>
            <w:hideMark/>
          </w:tcPr>
          <w:p w14:paraId="5C9C1256" w14:textId="77777777" w:rsidR="0076402B" w:rsidRPr="005C68BE" w:rsidRDefault="0076402B" w:rsidP="0058760B">
            <w:pPr>
              <w:jc w:val="right"/>
              <w:rPr>
                <w:rFonts w:eastAsia="Times New Roman"/>
                <w:color w:val="000000"/>
                <w:sz w:val="22"/>
                <w:szCs w:val="22"/>
                <w:lang w:eastAsia="en-GB"/>
              </w:rPr>
            </w:pPr>
            <w:r w:rsidRPr="005C68BE">
              <w:rPr>
                <w:rFonts w:eastAsia="Times New Roman"/>
                <w:color w:val="000000"/>
                <w:sz w:val="22"/>
                <w:szCs w:val="22"/>
                <w:lang w:eastAsia="en-GB"/>
              </w:rPr>
              <w:t>72.7</w:t>
            </w:r>
          </w:p>
        </w:tc>
      </w:tr>
    </w:tbl>
    <w:p w14:paraId="22D5E79B" w14:textId="77777777" w:rsidR="0076402B" w:rsidRDefault="0076402B" w:rsidP="0076402B">
      <w:pPr>
        <w:widowControl w:val="0"/>
        <w:autoSpaceDE w:val="0"/>
        <w:autoSpaceDN w:val="0"/>
        <w:adjustRightInd w:val="0"/>
        <w:jc w:val="both"/>
        <w:rPr>
          <w:b/>
          <w:bCs/>
        </w:rPr>
      </w:pPr>
    </w:p>
    <w:p w14:paraId="0322E7D9" w14:textId="77777777" w:rsidR="0076402B" w:rsidRDefault="0076402B" w:rsidP="0076402B">
      <w:pPr>
        <w:rPr>
          <w:b/>
          <w:bCs/>
        </w:rPr>
      </w:pPr>
      <w:r>
        <w:rPr>
          <w:b/>
          <w:bCs/>
        </w:rPr>
        <w:br w:type="page"/>
      </w:r>
    </w:p>
    <w:p w14:paraId="6D252EB2" w14:textId="77777777" w:rsidR="0076402B" w:rsidRDefault="0076402B" w:rsidP="0076402B">
      <w:pPr>
        <w:widowControl w:val="0"/>
        <w:autoSpaceDE w:val="0"/>
        <w:autoSpaceDN w:val="0"/>
        <w:adjustRightInd w:val="0"/>
        <w:jc w:val="both"/>
        <w:rPr>
          <w:b/>
          <w:bCs/>
        </w:rPr>
      </w:pPr>
      <w:r>
        <w:rPr>
          <w:b/>
          <w:bCs/>
        </w:rPr>
        <w:lastRenderedPageBreak/>
        <w:t>Supplementary Table 3. Sector specific industry output and consumption at-risk, including the fraction of cross-border risk.</w:t>
      </w:r>
    </w:p>
    <w:p w14:paraId="467D4BB7" w14:textId="77777777" w:rsidR="0076402B" w:rsidRDefault="0076402B" w:rsidP="0076402B">
      <w:pPr>
        <w:widowControl w:val="0"/>
        <w:autoSpaceDE w:val="0"/>
        <w:autoSpaceDN w:val="0"/>
        <w:adjustRightInd w:val="0"/>
        <w:jc w:val="both"/>
        <w:rPr>
          <w:b/>
          <w:bCs/>
        </w:rPr>
      </w:pPr>
    </w:p>
    <w:tbl>
      <w:tblPr>
        <w:tblW w:w="5000" w:type="pct"/>
        <w:tblLook w:val="04A0" w:firstRow="1" w:lastRow="0" w:firstColumn="1" w:lastColumn="0" w:noHBand="0" w:noVBand="1"/>
      </w:tblPr>
      <w:tblGrid>
        <w:gridCol w:w="2628"/>
        <w:gridCol w:w="1875"/>
        <w:gridCol w:w="1401"/>
        <w:gridCol w:w="1767"/>
        <w:gridCol w:w="1401"/>
      </w:tblGrid>
      <w:tr w:rsidR="0076402B" w:rsidRPr="008D115E" w14:paraId="3EB89F62" w14:textId="77777777" w:rsidTr="0058760B">
        <w:trPr>
          <w:trHeight w:val="320"/>
        </w:trPr>
        <w:tc>
          <w:tcPr>
            <w:tcW w:w="1448" w:type="pct"/>
            <w:tcBorders>
              <w:top w:val="nil"/>
              <w:left w:val="nil"/>
              <w:bottom w:val="single" w:sz="4" w:space="0" w:color="auto"/>
              <w:right w:val="nil"/>
            </w:tcBorders>
            <w:shd w:val="clear" w:color="auto" w:fill="auto"/>
            <w:noWrap/>
            <w:vAlign w:val="bottom"/>
            <w:hideMark/>
          </w:tcPr>
          <w:p w14:paraId="4FCE8F5C" w14:textId="77777777" w:rsidR="0076402B" w:rsidRPr="008D115E" w:rsidRDefault="0076402B" w:rsidP="0058760B">
            <w:pPr>
              <w:rPr>
                <w:rFonts w:eastAsia="Times New Roman"/>
                <w:b/>
                <w:bCs/>
                <w:color w:val="000000"/>
                <w:sz w:val="22"/>
                <w:szCs w:val="22"/>
                <w:lang w:eastAsia="en-GB"/>
              </w:rPr>
            </w:pPr>
            <w:r w:rsidRPr="008D115E">
              <w:rPr>
                <w:rFonts w:eastAsia="Times New Roman"/>
                <w:b/>
                <w:bCs/>
                <w:color w:val="000000"/>
                <w:sz w:val="22"/>
                <w:szCs w:val="22"/>
                <w:lang w:eastAsia="en-GB"/>
              </w:rPr>
              <w:t>Sector</w:t>
            </w:r>
          </w:p>
        </w:tc>
        <w:tc>
          <w:tcPr>
            <w:tcW w:w="1033" w:type="pct"/>
            <w:tcBorders>
              <w:top w:val="nil"/>
              <w:left w:val="nil"/>
              <w:bottom w:val="single" w:sz="4" w:space="0" w:color="auto"/>
              <w:right w:val="nil"/>
            </w:tcBorders>
            <w:shd w:val="clear" w:color="auto" w:fill="auto"/>
            <w:noWrap/>
            <w:vAlign w:val="bottom"/>
            <w:hideMark/>
          </w:tcPr>
          <w:p w14:paraId="425E9B22" w14:textId="77777777" w:rsidR="0076402B" w:rsidRPr="008D115E" w:rsidRDefault="0076402B" w:rsidP="0058760B">
            <w:pPr>
              <w:rPr>
                <w:rFonts w:eastAsia="Times New Roman"/>
                <w:b/>
                <w:bCs/>
                <w:color w:val="000000"/>
                <w:sz w:val="22"/>
                <w:szCs w:val="22"/>
                <w:lang w:eastAsia="en-GB"/>
              </w:rPr>
            </w:pPr>
            <w:r w:rsidRPr="008D115E">
              <w:rPr>
                <w:rFonts w:eastAsia="Times New Roman"/>
                <w:b/>
                <w:bCs/>
                <w:color w:val="000000"/>
                <w:sz w:val="22"/>
                <w:szCs w:val="22"/>
                <w:lang w:eastAsia="en-GB"/>
              </w:rPr>
              <w:t>Industry output at-risk (USD billion)</w:t>
            </w:r>
          </w:p>
        </w:tc>
        <w:tc>
          <w:tcPr>
            <w:tcW w:w="772" w:type="pct"/>
            <w:tcBorders>
              <w:top w:val="nil"/>
              <w:left w:val="nil"/>
              <w:bottom w:val="single" w:sz="4" w:space="0" w:color="auto"/>
              <w:right w:val="nil"/>
            </w:tcBorders>
            <w:shd w:val="clear" w:color="auto" w:fill="auto"/>
            <w:noWrap/>
            <w:vAlign w:val="bottom"/>
            <w:hideMark/>
          </w:tcPr>
          <w:p w14:paraId="4272319B" w14:textId="77777777" w:rsidR="0076402B" w:rsidRPr="008D115E" w:rsidRDefault="0076402B" w:rsidP="0058760B">
            <w:pPr>
              <w:rPr>
                <w:rFonts w:eastAsia="Times New Roman"/>
                <w:b/>
                <w:bCs/>
                <w:color w:val="000000"/>
                <w:sz w:val="22"/>
                <w:szCs w:val="22"/>
                <w:lang w:eastAsia="en-GB"/>
              </w:rPr>
            </w:pPr>
            <w:r w:rsidRPr="008D115E">
              <w:rPr>
                <w:rFonts w:eastAsia="Times New Roman"/>
                <w:b/>
                <w:bCs/>
                <w:color w:val="000000"/>
                <w:sz w:val="22"/>
                <w:szCs w:val="22"/>
                <w:lang w:eastAsia="en-GB"/>
              </w:rPr>
              <w:t>Fraction cross-border (%)</w:t>
            </w:r>
          </w:p>
        </w:tc>
        <w:tc>
          <w:tcPr>
            <w:tcW w:w="974" w:type="pct"/>
            <w:tcBorders>
              <w:top w:val="nil"/>
              <w:left w:val="nil"/>
              <w:bottom w:val="single" w:sz="4" w:space="0" w:color="auto"/>
              <w:right w:val="nil"/>
            </w:tcBorders>
            <w:shd w:val="clear" w:color="auto" w:fill="auto"/>
            <w:noWrap/>
            <w:vAlign w:val="bottom"/>
            <w:hideMark/>
          </w:tcPr>
          <w:p w14:paraId="31E5E160" w14:textId="77777777" w:rsidR="0076402B" w:rsidRPr="008D115E" w:rsidRDefault="0076402B" w:rsidP="0058760B">
            <w:pPr>
              <w:rPr>
                <w:rFonts w:eastAsia="Times New Roman"/>
                <w:b/>
                <w:bCs/>
                <w:color w:val="000000"/>
                <w:sz w:val="22"/>
                <w:szCs w:val="22"/>
                <w:lang w:eastAsia="en-GB"/>
              </w:rPr>
            </w:pPr>
            <w:r w:rsidRPr="008D115E">
              <w:rPr>
                <w:rFonts w:eastAsia="Times New Roman"/>
                <w:b/>
                <w:bCs/>
                <w:color w:val="000000"/>
                <w:sz w:val="22"/>
                <w:szCs w:val="22"/>
                <w:lang w:eastAsia="en-GB"/>
              </w:rPr>
              <w:t>Consumption at-risk (USD billion)</w:t>
            </w:r>
          </w:p>
        </w:tc>
        <w:tc>
          <w:tcPr>
            <w:tcW w:w="694" w:type="pct"/>
            <w:tcBorders>
              <w:top w:val="nil"/>
              <w:left w:val="nil"/>
              <w:bottom w:val="single" w:sz="4" w:space="0" w:color="auto"/>
              <w:right w:val="nil"/>
            </w:tcBorders>
            <w:shd w:val="clear" w:color="auto" w:fill="auto"/>
            <w:noWrap/>
            <w:vAlign w:val="bottom"/>
            <w:hideMark/>
          </w:tcPr>
          <w:p w14:paraId="5B03E016" w14:textId="77777777" w:rsidR="0076402B" w:rsidRPr="008D115E" w:rsidRDefault="0076402B" w:rsidP="0058760B">
            <w:pPr>
              <w:rPr>
                <w:rFonts w:eastAsia="Times New Roman"/>
                <w:b/>
                <w:bCs/>
                <w:color w:val="000000"/>
                <w:sz w:val="22"/>
                <w:szCs w:val="22"/>
                <w:lang w:eastAsia="en-GB"/>
              </w:rPr>
            </w:pPr>
            <w:r w:rsidRPr="008D115E">
              <w:rPr>
                <w:rFonts w:eastAsia="Times New Roman"/>
                <w:b/>
                <w:bCs/>
                <w:color w:val="000000"/>
                <w:sz w:val="22"/>
                <w:szCs w:val="22"/>
                <w:lang w:eastAsia="en-GB"/>
              </w:rPr>
              <w:t>Fraction cross-border (%)</w:t>
            </w:r>
          </w:p>
        </w:tc>
      </w:tr>
      <w:tr w:rsidR="0076402B" w:rsidRPr="008D115E" w14:paraId="6EE21EB7" w14:textId="77777777" w:rsidTr="0058760B">
        <w:trPr>
          <w:trHeight w:val="320"/>
        </w:trPr>
        <w:tc>
          <w:tcPr>
            <w:tcW w:w="1448" w:type="pct"/>
            <w:tcBorders>
              <w:top w:val="nil"/>
              <w:left w:val="nil"/>
              <w:bottom w:val="nil"/>
              <w:right w:val="nil"/>
            </w:tcBorders>
            <w:shd w:val="clear" w:color="auto" w:fill="auto"/>
            <w:noWrap/>
            <w:vAlign w:val="bottom"/>
            <w:hideMark/>
          </w:tcPr>
          <w:p w14:paraId="4BC741F3"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Agriculture</w:t>
            </w:r>
          </w:p>
        </w:tc>
        <w:tc>
          <w:tcPr>
            <w:tcW w:w="1033" w:type="pct"/>
            <w:tcBorders>
              <w:top w:val="nil"/>
              <w:left w:val="nil"/>
              <w:bottom w:val="nil"/>
              <w:right w:val="nil"/>
            </w:tcBorders>
            <w:shd w:val="clear" w:color="auto" w:fill="auto"/>
            <w:noWrap/>
            <w:vAlign w:val="bottom"/>
            <w:hideMark/>
          </w:tcPr>
          <w:p w14:paraId="3639EED4"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2.71</w:t>
            </w:r>
          </w:p>
        </w:tc>
        <w:tc>
          <w:tcPr>
            <w:tcW w:w="772" w:type="pct"/>
            <w:tcBorders>
              <w:top w:val="nil"/>
              <w:left w:val="nil"/>
              <w:bottom w:val="nil"/>
              <w:right w:val="nil"/>
            </w:tcBorders>
            <w:shd w:val="clear" w:color="auto" w:fill="auto"/>
            <w:noWrap/>
            <w:vAlign w:val="bottom"/>
            <w:hideMark/>
          </w:tcPr>
          <w:p w14:paraId="678C15E7"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67.59</w:t>
            </w:r>
          </w:p>
        </w:tc>
        <w:tc>
          <w:tcPr>
            <w:tcW w:w="974" w:type="pct"/>
            <w:tcBorders>
              <w:top w:val="nil"/>
              <w:left w:val="nil"/>
              <w:bottom w:val="nil"/>
              <w:right w:val="nil"/>
            </w:tcBorders>
            <w:shd w:val="clear" w:color="auto" w:fill="auto"/>
            <w:noWrap/>
            <w:vAlign w:val="bottom"/>
            <w:hideMark/>
          </w:tcPr>
          <w:p w14:paraId="0431256D"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0.58</w:t>
            </w:r>
          </w:p>
        </w:tc>
        <w:tc>
          <w:tcPr>
            <w:tcW w:w="772" w:type="pct"/>
            <w:tcBorders>
              <w:top w:val="nil"/>
              <w:left w:val="nil"/>
              <w:bottom w:val="nil"/>
              <w:right w:val="nil"/>
            </w:tcBorders>
            <w:shd w:val="clear" w:color="auto" w:fill="auto"/>
            <w:noWrap/>
            <w:vAlign w:val="bottom"/>
            <w:hideMark/>
          </w:tcPr>
          <w:p w14:paraId="6C75664A"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74.11</w:t>
            </w:r>
          </w:p>
        </w:tc>
      </w:tr>
      <w:tr w:rsidR="0076402B" w:rsidRPr="008D115E" w14:paraId="474E67A6" w14:textId="77777777" w:rsidTr="0058760B">
        <w:trPr>
          <w:trHeight w:val="320"/>
        </w:trPr>
        <w:tc>
          <w:tcPr>
            <w:tcW w:w="1448" w:type="pct"/>
            <w:tcBorders>
              <w:top w:val="nil"/>
              <w:left w:val="nil"/>
              <w:bottom w:val="nil"/>
              <w:right w:val="nil"/>
            </w:tcBorders>
            <w:shd w:val="clear" w:color="auto" w:fill="auto"/>
            <w:noWrap/>
            <w:vAlign w:val="bottom"/>
            <w:hideMark/>
          </w:tcPr>
          <w:p w14:paraId="73C139CE"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Electrical and Machinery</w:t>
            </w:r>
          </w:p>
        </w:tc>
        <w:tc>
          <w:tcPr>
            <w:tcW w:w="1033" w:type="pct"/>
            <w:tcBorders>
              <w:top w:val="nil"/>
              <w:left w:val="nil"/>
              <w:bottom w:val="nil"/>
              <w:right w:val="nil"/>
            </w:tcBorders>
            <w:shd w:val="clear" w:color="auto" w:fill="auto"/>
            <w:noWrap/>
            <w:vAlign w:val="bottom"/>
            <w:hideMark/>
          </w:tcPr>
          <w:p w14:paraId="56D3804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25.39</w:t>
            </w:r>
          </w:p>
        </w:tc>
        <w:tc>
          <w:tcPr>
            <w:tcW w:w="772" w:type="pct"/>
            <w:tcBorders>
              <w:top w:val="nil"/>
              <w:left w:val="nil"/>
              <w:bottom w:val="nil"/>
              <w:right w:val="nil"/>
            </w:tcBorders>
            <w:shd w:val="clear" w:color="auto" w:fill="auto"/>
            <w:noWrap/>
            <w:vAlign w:val="bottom"/>
            <w:hideMark/>
          </w:tcPr>
          <w:p w14:paraId="0AEC3786"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66.90</w:t>
            </w:r>
          </w:p>
        </w:tc>
        <w:tc>
          <w:tcPr>
            <w:tcW w:w="974" w:type="pct"/>
            <w:tcBorders>
              <w:top w:val="nil"/>
              <w:left w:val="nil"/>
              <w:bottom w:val="nil"/>
              <w:right w:val="nil"/>
            </w:tcBorders>
            <w:shd w:val="clear" w:color="auto" w:fill="auto"/>
            <w:noWrap/>
            <w:vAlign w:val="bottom"/>
            <w:hideMark/>
          </w:tcPr>
          <w:p w14:paraId="231AD777"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9.72</w:t>
            </w:r>
          </w:p>
        </w:tc>
        <w:tc>
          <w:tcPr>
            <w:tcW w:w="772" w:type="pct"/>
            <w:tcBorders>
              <w:top w:val="nil"/>
              <w:left w:val="nil"/>
              <w:bottom w:val="nil"/>
              <w:right w:val="nil"/>
            </w:tcBorders>
            <w:shd w:val="clear" w:color="auto" w:fill="auto"/>
            <w:noWrap/>
            <w:vAlign w:val="bottom"/>
            <w:hideMark/>
          </w:tcPr>
          <w:p w14:paraId="57C8A428"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56.81</w:t>
            </w:r>
          </w:p>
        </w:tc>
      </w:tr>
      <w:tr w:rsidR="0076402B" w:rsidRPr="008D115E" w14:paraId="11C883CC" w14:textId="77777777" w:rsidTr="0058760B">
        <w:trPr>
          <w:trHeight w:val="320"/>
        </w:trPr>
        <w:tc>
          <w:tcPr>
            <w:tcW w:w="1448" w:type="pct"/>
            <w:tcBorders>
              <w:top w:val="nil"/>
              <w:left w:val="nil"/>
              <w:bottom w:val="nil"/>
              <w:right w:val="nil"/>
            </w:tcBorders>
            <w:shd w:val="clear" w:color="auto" w:fill="auto"/>
            <w:noWrap/>
            <w:vAlign w:val="bottom"/>
            <w:hideMark/>
          </w:tcPr>
          <w:p w14:paraId="25EB3255"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Fishing</w:t>
            </w:r>
          </w:p>
        </w:tc>
        <w:tc>
          <w:tcPr>
            <w:tcW w:w="1033" w:type="pct"/>
            <w:tcBorders>
              <w:top w:val="nil"/>
              <w:left w:val="nil"/>
              <w:bottom w:val="nil"/>
              <w:right w:val="nil"/>
            </w:tcBorders>
            <w:shd w:val="clear" w:color="auto" w:fill="auto"/>
            <w:noWrap/>
            <w:vAlign w:val="bottom"/>
            <w:hideMark/>
          </w:tcPr>
          <w:p w14:paraId="4AF6B75A"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0.32</w:t>
            </w:r>
          </w:p>
        </w:tc>
        <w:tc>
          <w:tcPr>
            <w:tcW w:w="772" w:type="pct"/>
            <w:tcBorders>
              <w:top w:val="nil"/>
              <w:left w:val="nil"/>
              <w:bottom w:val="nil"/>
              <w:right w:val="nil"/>
            </w:tcBorders>
            <w:shd w:val="clear" w:color="auto" w:fill="auto"/>
            <w:noWrap/>
            <w:vAlign w:val="bottom"/>
            <w:hideMark/>
          </w:tcPr>
          <w:p w14:paraId="75E4D4AE"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63.30</w:t>
            </w:r>
          </w:p>
        </w:tc>
        <w:tc>
          <w:tcPr>
            <w:tcW w:w="974" w:type="pct"/>
            <w:tcBorders>
              <w:top w:val="nil"/>
              <w:left w:val="nil"/>
              <w:bottom w:val="nil"/>
              <w:right w:val="nil"/>
            </w:tcBorders>
            <w:shd w:val="clear" w:color="auto" w:fill="auto"/>
            <w:noWrap/>
            <w:vAlign w:val="bottom"/>
            <w:hideMark/>
          </w:tcPr>
          <w:p w14:paraId="66C0010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0.05</w:t>
            </w:r>
          </w:p>
        </w:tc>
        <w:tc>
          <w:tcPr>
            <w:tcW w:w="772" w:type="pct"/>
            <w:tcBorders>
              <w:top w:val="nil"/>
              <w:left w:val="nil"/>
              <w:bottom w:val="nil"/>
              <w:right w:val="nil"/>
            </w:tcBorders>
            <w:shd w:val="clear" w:color="auto" w:fill="auto"/>
            <w:noWrap/>
            <w:vAlign w:val="bottom"/>
            <w:hideMark/>
          </w:tcPr>
          <w:p w14:paraId="6EF395D8"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71.25</w:t>
            </w:r>
          </w:p>
        </w:tc>
      </w:tr>
      <w:tr w:rsidR="0076402B" w:rsidRPr="008D115E" w14:paraId="36C10E5A" w14:textId="77777777" w:rsidTr="0058760B">
        <w:trPr>
          <w:trHeight w:val="320"/>
        </w:trPr>
        <w:tc>
          <w:tcPr>
            <w:tcW w:w="1448" w:type="pct"/>
            <w:tcBorders>
              <w:top w:val="nil"/>
              <w:left w:val="nil"/>
              <w:bottom w:val="nil"/>
              <w:right w:val="nil"/>
            </w:tcBorders>
            <w:shd w:val="clear" w:color="auto" w:fill="auto"/>
            <w:noWrap/>
            <w:vAlign w:val="bottom"/>
            <w:hideMark/>
          </w:tcPr>
          <w:p w14:paraId="5474D431"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Food &amp; Beverages</w:t>
            </w:r>
          </w:p>
        </w:tc>
        <w:tc>
          <w:tcPr>
            <w:tcW w:w="1033" w:type="pct"/>
            <w:tcBorders>
              <w:top w:val="nil"/>
              <w:left w:val="nil"/>
              <w:bottom w:val="nil"/>
              <w:right w:val="nil"/>
            </w:tcBorders>
            <w:shd w:val="clear" w:color="auto" w:fill="auto"/>
            <w:noWrap/>
            <w:vAlign w:val="bottom"/>
            <w:hideMark/>
          </w:tcPr>
          <w:p w14:paraId="20FD46A7"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6.95</w:t>
            </w:r>
          </w:p>
        </w:tc>
        <w:tc>
          <w:tcPr>
            <w:tcW w:w="772" w:type="pct"/>
            <w:tcBorders>
              <w:top w:val="nil"/>
              <w:left w:val="nil"/>
              <w:bottom w:val="nil"/>
              <w:right w:val="nil"/>
            </w:tcBorders>
            <w:shd w:val="clear" w:color="auto" w:fill="auto"/>
            <w:noWrap/>
            <w:vAlign w:val="bottom"/>
            <w:hideMark/>
          </w:tcPr>
          <w:p w14:paraId="2F8C28E5"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65.90</w:t>
            </w:r>
          </w:p>
        </w:tc>
        <w:tc>
          <w:tcPr>
            <w:tcW w:w="974" w:type="pct"/>
            <w:tcBorders>
              <w:top w:val="nil"/>
              <w:left w:val="nil"/>
              <w:bottom w:val="nil"/>
              <w:right w:val="nil"/>
            </w:tcBorders>
            <w:shd w:val="clear" w:color="auto" w:fill="auto"/>
            <w:noWrap/>
            <w:vAlign w:val="bottom"/>
            <w:hideMark/>
          </w:tcPr>
          <w:p w14:paraId="2F09A3D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2.28</w:t>
            </w:r>
          </w:p>
        </w:tc>
        <w:tc>
          <w:tcPr>
            <w:tcW w:w="772" w:type="pct"/>
            <w:tcBorders>
              <w:top w:val="nil"/>
              <w:left w:val="nil"/>
              <w:bottom w:val="nil"/>
              <w:right w:val="nil"/>
            </w:tcBorders>
            <w:shd w:val="clear" w:color="auto" w:fill="auto"/>
            <w:noWrap/>
            <w:vAlign w:val="bottom"/>
            <w:hideMark/>
          </w:tcPr>
          <w:p w14:paraId="1FDE85D5"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74.43</w:t>
            </w:r>
          </w:p>
        </w:tc>
      </w:tr>
      <w:tr w:rsidR="0076402B" w:rsidRPr="008D115E" w14:paraId="1650E393" w14:textId="77777777" w:rsidTr="0058760B">
        <w:trPr>
          <w:trHeight w:val="320"/>
        </w:trPr>
        <w:tc>
          <w:tcPr>
            <w:tcW w:w="1448" w:type="pct"/>
            <w:tcBorders>
              <w:top w:val="nil"/>
              <w:left w:val="nil"/>
              <w:bottom w:val="nil"/>
              <w:right w:val="nil"/>
            </w:tcBorders>
            <w:shd w:val="clear" w:color="auto" w:fill="auto"/>
            <w:noWrap/>
            <w:vAlign w:val="bottom"/>
            <w:hideMark/>
          </w:tcPr>
          <w:p w14:paraId="27506199"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Metal Products</w:t>
            </w:r>
          </w:p>
        </w:tc>
        <w:tc>
          <w:tcPr>
            <w:tcW w:w="1033" w:type="pct"/>
            <w:tcBorders>
              <w:top w:val="nil"/>
              <w:left w:val="nil"/>
              <w:bottom w:val="nil"/>
              <w:right w:val="nil"/>
            </w:tcBorders>
            <w:shd w:val="clear" w:color="auto" w:fill="auto"/>
            <w:noWrap/>
            <w:vAlign w:val="bottom"/>
            <w:hideMark/>
          </w:tcPr>
          <w:p w14:paraId="51BCE85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11.43</w:t>
            </w:r>
          </w:p>
        </w:tc>
        <w:tc>
          <w:tcPr>
            <w:tcW w:w="772" w:type="pct"/>
            <w:tcBorders>
              <w:top w:val="nil"/>
              <w:left w:val="nil"/>
              <w:bottom w:val="nil"/>
              <w:right w:val="nil"/>
            </w:tcBorders>
            <w:shd w:val="clear" w:color="auto" w:fill="auto"/>
            <w:noWrap/>
            <w:vAlign w:val="bottom"/>
            <w:hideMark/>
          </w:tcPr>
          <w:p w14:paraId="57298567"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62.37</w:t>
            </w:r>
          </w:p>
        </w:tc>
        <w:tc>
          <w:tcPr>
            <w:tcW w:w="974" w:type="pct"/>
            <w:tcBorders>
              <w:top w:val="nil"/>
              <w:left w:val="nil"/>
              <w:bottom w:val="nil"/>
              <w:right w:val="nil"/>
            </w:tcBorders>
            <w:shd w:val="clear" w:color="auto" w:fill="auto"/>
            <w:noWrap/>
            <w:vAlign w:val="bottom"/>
            <w:hideMark/>
          </w:tcPr>
          <w:p w14:paraId="6EEFA4AB"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0.39</w:t>
            </w:r>
          </w:p>
        </w:tc>
        <w:tc>
          <w:tcPr>
            <w:tcW w:w="772" w:type="pct"/>
            <w:tcBorders>
              <w:top w:val="nil"/>
              <w:left w:val="nil"/>
              <w:bottom w:val="nil"/>
              <w:right w:val="nil"/>
            </w:tcBorders>
            <w:shd w:val="clear" w:color="auto" w:fill="auto"/>
            <w:noWrap/>
            <w:vAlign w:val="bottom"/>
            <w:hideMark/>
          </w:tcPr>
          <w:p w14:paraId="7A8D35AB"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58.62</w:t>
            </w:r>
          </w:p>
        </w:tc>
      </w:tr>
      <w:tr w:rsidR="0076402B" w:rsidRPr="008D115E" w14:paraId="79C040E3" w14:textId="77777777" w:rsidTr="0058760B">
        <w:trPr>
          <w:trHeight w:val="320"/>
        </w:trPr>
        <w:tc>
          <w:tcPr>
            <w:tcW w:w="1448" w:type="pct"/>
            <w:tcBorders>
              <w:top w:val="nil"/>
              <w:left w:val="nil"/>
              <w:bottom w:val="nil"/>
              <w:right w:val="nil"/>
            </w:tcBorders>
            <w:shd w:val="clear" w:color="auto" w:fill="auto"/>
            <w:noWrap/>
            <w:vAlign w:val="bottom"/>
            <w:hideMark/>
          </w:tcPr>
          <w:p w14:paraId="38373B05"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Mining and Quarrying</w:t>
            </w:r>
          </w:p>
        </w:tc>
        <w:tc>
          <w:tcPr>
            <w:tcW w:w="1033" w:type="pct"/>
            <w:tcBorders>
              <w:top w:val="nil"/>
              <w:left w:val="nil"/>
              <w:bottom w:val="nil"/>
              <w:right w:val="nil"/>
            </w:tcBorders>
            <w:shd w:val="clear" w:color="auto" w:fill="auto"/>
            <w:noWrap/>
            <w:vAlign w:val="bottom"/>
            <w:hideMark/>
          </w:tcPr>
          <w:p w14:paraId="39E006A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1.99</w:t>
            </w:r>
          </w:p>
        </w:tc>
        <w:tc>
          <w:tcPr>
            <w:tcW w:w="772" w:type="pct"/>
            <w:tcBorders>
              <w:top w:val="nil"/>
              <w:left w:val="nil"/>
              <w:bottom w:val="nil"/>
              <w:right w:val="nil"/>
            </w:tcBorders>
            <w:shd w:val="clear" w:color="auto" w:fill="auto"/>
            <w:noWrap/>
            <w:vAlign w:val="bottom"/>
            <w:hideMark/>
          </w:tcPr>
          <w:p w14:paraId="626B4A31"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59.59</w:t>
            </w:r>
          </w:p>
        </w:tc>
        <w:tc>
          <w:tcPr>
            <w:tcW w:w="974" w:type="pct"/>
            <w:tcBorders>
              <w:top w:val="nil"/>
              <w:left w:val="nil"/>
              <w:bottom w:val="nil"/>
              <w:right w:val="nil"/>
            </w:tcBorders>
            <w:shd w:val="clear" w:color="auto" w:fill="auto"/>
            <w:noWrap/>
            <w:vAlign w:val="bottom"/>
            <w:hideMark/>
          </w:tcPr>
          <w:p w14:paraId="490A35BB"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0.06</w:t>
            </w:r>
          </w:p>
        </w:tc>
        <w:tc>
          <w:tcPr>
            <w:tcW w:w="772" w:type="pct"/>
            <w:tcBorders>
              <w:top w:val="nil"/>
              <w:left w:val="nil"/>
              <w:bottom w:val="nil"/>
              <w:right w:val="nil"/>
            </w:tcBorders>
            <w:shd w:val="clear" w:color="auto" w:fill="auto"/>
            <w:noWrap/>
            <w:vAlign w:val="bottom"/>
            <w:hideMark/>
          </w:tcPr>
          <w:p w14:paraId="27BC3169"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63.22</w:t>
            </w:r>
          </w:p>
        </w:tc>
      </w:tr>
      <w:tr w:rsidR="0076402B" w:rsidRPr="008D115E" w14:paraId="61B4C3F2" w14:textId="77777777" w:rsidTr="0058760B">
        <w:trPr>
          <w:trHeight w:val="320"/>
        </w:trPr>
        <w:tc>
          <w:tcPr>
            <w:tcW w:w="1448" w:type="pct"/>
            <w:tcBorders>
              <w:top w:val="nil"/>
              <w:left w:val="nil"/>
              <w:bottom w:val="nil"/>
              <w:right w:val="nil"/>
            </w:tcBorders>
            <w:shd w:val="clear" w:color="auto" w:fill="auto"/>
            <w:noWrap/>
            <w:vAlign w:val="bottom"/>
            <w:hideMark/>
          </w:tcPr>
          <w:p w14:paraId="5F864A0F"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Other Manufacturing</w:t>
            </w:r>
          </w:p>
        </w:tc>
        <w:tc>
          <w:tcPr>
            <w:tcW w:w="1033" w:type="pct"/>
            <w:tcBorders>
              <w:top w:val="nil"/>
              <w:left w:val="nil"/>
              <w:bottom w:val="nil"/>
              <w:right w:val="nil"/>
            </w:tcBorders>
            <w:shd w:val="clear" w:color="auto" w:fill="auto"/>
            <w:noWrap/>
            <w:vAlign w:val="bottom"/>
            <w:hideMark/>
          </w:tcPr>
          <w:p w14:paraId="3DD41C8F"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2.67</w:t>
            </w:r>
          </w:p>
        </w:tc>
        <w:tc>
          <w:tcPr>
            <w:tcW w:w="772" w:type="pct"/>
            <w:tcBorders>
              <w:top w:val="nil"/>
              <w:left w:val="nil"/>
              <w:bottom w:val="nil"/>
              <w:right w:val="nil"/>
            </w:tcBorders>
            <w:shd w:val="clear" w:color="auto" w:fill="auto"/>
            <w:noWrap/>
            <w:vAlign w:val="bottom"/>
            <w:hideMark/>
          </w:tcPr>
          <w:p w14:paraId="0D585E23"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67.28</w:t>
            </w:r>
          </w:p>
        </w:tc>
        <w:tc>
          <w:tcPr>
            <w:tcW w:w="974" w:type="pct"/>
            <w:tcBorders>
              <w:top w:val="nil"/>
              <w:left w:val="nil"/>
              <w:bottom w:val="nil"/>
              <w:right w:val="nil"/>
            </w:tcBorders>
            <w:shd w:val="clear" w:color="auto" w:fill="auto"/>
            <w:noWrap/>
            <w:vAlign w:val="bottom"/>
            <w:hideMark/>
          </w:tcPr>
          <w:p w14:paraId="1220236F"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1.69</w:t>
            </w:r>
          </w:p>
        </w:tc>
        <w:tc>
          <w:tcPr>
            <w:tcW w:w="772" w:type="pct"/>
            <w:tcBorders>
              <w:top w:val="nil"/>
              <w:left w:val="nil"/>
              <w:bottom w:val="nil"/>
              <w:right w:val="nil"/>
            </w:tcBorders>
            <w:shd w:val="clear" w:color="auto" w:fill="auto"/>
            <w:noWrap/>
            <w:vAlign w:val="bottom"/>
            <w:hideMark/>
          </w:tcPr>
          <w:p w14:paraId="75FC0E1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59.16</w:t>
            </w:r>
          </w:p>
        </w:tc>
      </w:tr>
      <w:tr w:rsidR="0076402B" w:rsidRPr="008D115E" w14:paraId="446325FD" w14:textId="77777777" w:rsidTr="0058760B">
        <w:trPr>
          <w:trHeight w:val="320"/>
        </w:trPr>
        <w:tc>
          <w:tcPr>
            <w:tcW w:w="1448" w:type="pct"/>
            <w:tcBorders>
              <w:top w:val="nil"/>
              <w:left w:val="nil"/>
              <w:bottom w:val="nil"/>
              <w:right w:val="nil"/>
            </w:tcBorders>
            <w:shd w:val="clear" w:color="auto" w:fill="auto"/>
            <w:noWrap/>
            <w:vAlign w:val="bottom"/>
            <w:hideMark/>
          </w:tcPr>
          <w:p w14:paraId="6ECDFB0B"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Petroleum, Chemical and Non-Metallic Mineral Products</w:t>
            </w:r>
          </w:p>
        </w:tc>
        <w:tc>
          <w:tcPr>
            <w:tcW w:w="1033" w:type="pct"/>
            <w:tcBorders>
              <w:top w:val="nil"/>
              <w:left w:val="nil"/>
              <w:bottom w:val="nil"/>
              <w:right w:val="nil"/>
            </w:tcBorders>
            <w:shd w:val="clear" w:color="auto" w:fill="auto"/>
            <w:noWrap/>
            <w:vAlign w:val="bottom"/>
            <w:hideMark/>
          </w:tcPr>
          <w:p w14:paraId="6F24D6EB"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23.58</w:t>
            </w:r>
          </w:p>
        </w:tc>
        <w:tc>
          <w:tcPr>
            <w:tcW w:w="772" w:type="pct"/>
            <w:tcBorders>
              <w:top w:val="nil"/>
              <w:left w:val="nil"/>
              <w:bottom w:val="nil"/>
              <w:right w:val="nil"/>
            </w:tcBorders>
            <w:shd w:val="clear" w:color="auto" w:fill="auto"/>
            <w:noWrap/>
            <w:vAlign w:val="bottom"/>
            <w:hideMark/>
          </w:tcPr>
          <w:p w14:paraId="7355F45F"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58.34</w:t>
            </w:r>
          </w:p>
        </w:tc>
        <w:tc>
          <w:tcPr>
            <w:tcW w:w="974" w:type="pct"/>
            <w:tcBorders>
              <w:top w:val="nil"/>
              <w:left w:val="nil"/>
              <w:bottom w:val="nil"/>
              <w:right w:val="nil"/>
            </w:tcBorders>
            <w:shd w:val="clear" w:color="auto" w:fill="auto"/>
            <w:noWrap/>
            <w:vAlign w:val="bottom"/>
            <w:hideMark/>
          </w:tcPr>
          <w:p w14:paraId="438CDC38"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2.85</w:t>
            </w:r>
          </w:p>
        </w:tc>
        <w:tc>
          <w:tcPr>
            <w:tcW w:w="772" w:type="pct"/>
            <w:tcBorders>
              <w:top w:val="nil"/>
              <w:left w:val="nil"/>
              <w:bottom w:val="nil"/>
              <w:right w:val="nil"/>
            </w:tcBorders>
            <w:shd w:val="clear" w:color="auto" w:fill="auto"/>
            <w:noWrap/>
            <w:vAlign w:val="bottom"/>
            <w:hideMark/>
          </w:tcPr>
          <w:p w14:paraId="0DE925FD"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65.38</w:t>
            </w:r>
          </w:p>
        </w:tc>
      </w:tr>
      <w:tr w:rsidR="0076402B" w:rsidRPr="008D115E" w14:paraId="25275092" w14:textId="77777777" w:rsidTr="0058760B">
        <w:trPr>
          <w:trHeight w:val="320"/>
        </w:trPr>
        <w:tc>
          <w:tcPr>
            <w:tcW w:w="1448" w:type="pct"/>
            <w:tcBorders>
              <w:top w:val="nil"/>
              <w:left w:val="nil"/>
              <w:bottom w:val="nil"/>
              <w:right w:val="nil"/>
            </w:tcBorders>
            <w:shd w:val="clear" w:color="auto" w:fill="auto"/>
            <w:noWrap/>
            <w:vAlign w:val="bottom"/>
            <w:hideMark/>
          </w:tcPr>
          <w:p w14:paraId="2AB534E7"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Textiles and Wearing Apparel</w:t>
            </w:r>
          </w:p>
        </w:tc>
        <w:tc>
          <w:tcPr>
            <w:tcW w:w="1033" w:type="pct"/>
            <w:tcBorders>
              <w:top w:val="nil"/>
              <w:left w:val="nil"/>
              <w:bottom w:val="nil"/>
              <w:right w:val="nil"/>
            </w:tcBorders>
            <w:shd w:val="clear" w:color="auto" w:fill="auto"/>
            <w:noWrap/>
            <w:vAlign w:val="bottom"/>
            <w:hideMark/>
          </w:tcPr>
          <w:p w14:paraId="04BB3B2B"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5.02</w:t>
            </w:r>
          </w:p>
        </w:tc>
        <w:tc>
          <w:tcPr>
            <w:tcW w:w="772" w:type="pct"/>
            <w:tcBorders>
              <w:top w:val="nil"/>
              <w:left w:val="nil"/>
              <w:bottom w:val="nil"/>
              <w:right w:val="nil"/>
            </w:tcBorders>
            <w:shd w:val="clear" w:color="auto" w:fill="auto"/>
            <w:noWrap/>
            <w:vAlign w:val="bottom"/>
            <w:hideMark/>
          </w:tcPr>
          <w:p w14:paraId="1DD98B68"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65.59</w:t>
            </w:r>
          </w:p>
        </w:tc>
        <w:tc>
          <w:tcPr>
            <w:tcW w:w="974" w:type="pct"/>
            <w:tcBorders>
              <w:top w:val="nil"/>
              <w:left w:val="nil"/>
              <w:bottom w:val="nil"/>
              <w:right w:val="nil"/>
            </w:tcBorders>
            <w:shd w:val="clear" w:color="auto" w:fill="auto"/>
            <w:noWrap/>
            <w:vAlign w:val="bottom"/>
            <w:hideMark/>
          </w:tcPr>
          <w:p w14:paraId="3DC5E3C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3.73</w:t>
            </w:r>
          </w:p>
        </w:tc>
        <w:tc>
          <w:tcPr>
            <w:tcW w:w="772" w:type="pct"/>
            <w:tcBorders>
              <w:top w:val="nil"/>
              <w:left w:val="nil"/>
              <w:bottom w:val="nil"/>
              <w:right w:val="nil"/>
            </w:tcBorders>
            <w:shd w:val="clear" w:color="auto" w:fill="auto"/>
            <w:noWrap/>
            <w:vAlign w:val="bottom"/>
            <w:hideMark/>
          </w:tcPr>
          <w:p w14:paraId="6BBF4E2F"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58.71</w:t>
            </w:r>
          </w:p>
        </w:tc>
      </w:tr>
      <w:tr w:rsidR="0076402B" w:rsidRPr="008D115E" w14:paraId="2766BFFB" w14:textId="77777777" w:rsidTr="0058760B">
        <w:trPr>
          <w:trHeight w:val="320"/>
        </w:trPr>
        <w:tc>
          <w:tcPr>
            <w:tcW w:w="1448" w:type="pct"/>
            <w:tcBorders>
              <w:top w:val="nil"/>
              <w:left w:val="nil"/>
              <w:right w:val="nil"/>
            </w:tcBorders>
            <w:shd w:val="clear" w:color="auto" w:fill="auto"/>
            <w:noWrap/>
            <w:vAlign w:val="bottom"/>
            <w:hideMark/>
          </w:tcPr>
          <w:p w14:paraId="704AAF4D"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Transport Equipment</w:t>
            </w:r>
          </w:p>
        </w:tc>
        <w:tc>
          <w:tcPr>
            <w:tcW w:w="1033" w:type="pct"/>
            <w:tcBorders>
              <w:top w:val="nil"/>
              <w:left w:val="nil"/>
              <w:right w:val="nil"/>
            </w:tcBorders>
            <w:shd w:val="clear" w:color="auto" w:fill="auto"/>
            <w:noWrap/>
            <w:vAlign w:val="bottom"/>
            <w:hideMark/>
          </w:tcPr>
          <w:p w14:paraId="7C341B00"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9.55</w:t>
            </w:r>
          </w:p>
        </w:tc>
        <w:tc>
          <w:tcPr>
            <w:tcW w:w="772" w:type="pct"/>
            <w:tcBorders>
              <w:top w:val="nil"/>
              <w:left w:val="nil"/>
              <w:right w:val="nil"/>
            </w:tcBorders>
            <w:shd w:val="clear" w:color="auto" w:fill="auto"/>
            <w:noWrap/>
            <w:vAlign w:val="bottom"/>
            <w:hideMark/>
          </w:tcPr>
          <w:p w14:paraId="75FCBCEB"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68.50</w:t>
            </w:r>
          </w:p>
        </w:tc>
        <w:tc>
          <w:tcPr>
            <w:tcW w:w="974" w:type="pct"/>
            <w:tcBorders>
              <w:top w:val="nil"/>
              <w:left w:val="nil"/>
              <w:right w:val="nil"/>
            </w:tcBorders>
            <w:shd w:val="clear" w:color="auto" w:fill="auto"/>
            <w:noWrap/>
            <w:vAlign w:val="bottom"/>
            <w:hideMark/>
          </w:tcPr>
          <w:p w14:paraId="7BE86F31"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4.25</w:t>
            </w:r>
          </w:p>
        </w:tc>
        <w:tc>
          <w:tcPr>
            <w:tcW w:w="772" w:type="pct"/>
            <w:tcBorders>
              <w:top w:val="nil"/>
              <w:left w:val="nil"/>
              <w:right w:val="nil"/>
            </w:tcBorders>
            <w:shd w:val="clear" w:color="auto" w:fill="auto"/>
            <w:noWrap/>
            <w:vAlign w:val="bottom"/>
            <w:hideMark/>
          </w:tcPr>
          <w:p w14:paraId="1EFE9354"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51.10</w:t>
            </w:r>
          </w:p>
        </w:tc>
      </w:tr>
      <w:tr w:rsidR="0076402B" w:rsidRPr="008D115E" w14:paraId="78D4CFF0" w14:textId="77777777" w:rsidTr="0058760B">
        <w:trPr>
          <w:trHeight w:val="320"/>
        </w:trPr>
        <w:tc>
          <w:tcPr>
            <w:tcW w:w="1448" w:type="pct"/>
            <w:tcBorders>
              <w:top w:val="nil"/>
              <w:left w:val="nil"/>
              <w:bottom w:val="single" w:sz="4" w:space="0" w:color="auto"/>
              <w:right w:val="nil"/>
            </w:tcBorders>
            <w:shd w:val="clear" w:color="auto" w:fill="auto"/>
            <w:noWrap/>
            <w:vAlign w:val="bottom"/>
            <w:hideMark/>
          </w:tcPr>
          <w:p w14:paraId="2BDFB815" w14:textId="77777777" w:rsidR="0076402B" w:rsidRPr="008D115E" w:rsidRDefault="0076402B" w:rsidP="0058760B">
            <w:pPr>
              <w:rPr>
                <w:rFonts w:eastAsia="Times New Roman"/>
                <w:color w:val="000000"/>
                <w:sz w:val="22"/>
                <w:szCs w:val="22"/>
                <w:lang w:eastAsia="en-GB"/>
              </w:rPr>
            </w:pPr>
            <w:r w:rsidRPr="008D115E">
              <w:rPr>
                <w:rFonts w:eastAsia="Times New Roman"/>
                <w:color w:val="000000"/>
                <w:sz w:val="22"/>
                <w:szCs w:val="22"/>
                <w:lang w:eastAsia="en-GB"/>
              </w:rPr>
              <w:t>Wood and Paper</w:t>
            </w:r>
          </w:p>
        </w:tc>
        <w:tc>
          <w:tcPr>
            <w:tcW w:w="1033" w:type="pct"/>
            <w:tcBorders>
              <w:top w:val="nil"/>
              <w:left w:val="nil"/>
              <w:bottom w:val="single" w:sz="4" w:space="0" w:color="auto"/>
              <w:right w:val="nil"/>
            </w:tcBorders>
            <w:shd w:val="clear" w:color="auto" w:fill="auto"/>
            <w:noWrap/>
            <w:vAlign w:val="bottom"/>
            <w:hideMark/>
          </w:tcPr>
          <w:p w14:paraId="40A5C470"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3.74</w:t>
            </w:r>
          </w:p>
        </w:tc>
        <w:tc>
          <w:tcPr>
            <w:tcW w:w="772" w:type="pct"/>
            <w:tcBorders>
              <w:top w:val="nil"/>
              <w:left w:val="nil"/>
              <w:bottom w:val="single" w:sz="4" w:space="0" w:color="auto"/>
              <w:right w:val="nil"/>
            </w:tcBorders>
            <w:shd w:val="clear" w:color="auto" w:fill="auto"/>
            <w:noWrap/>
            <w:vAlign w:val="bottom"/>
            <w:hideMark/>
          </w:tcPr>
          <w:p w14:paraId="326DC91E"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63.27</w:t>
            </w:r>
          </w:p>
        </w:tc>
        <w:tc>
          <w:tcPr>
            <w:tcW w:w="974" w:type="pct"/>
            <w:tcBorders>
              <w:top w:val="nil"/>
              <w:left w:val="nil"/>
              <w:bottom w:val="single" w:sz="4" w:space="0" w:color="auto"/>
              <w:right w:val="nil"/>
            </w:tcBorders>
            <w:shd w:val="clear" w:color="auto" w:fill="auto"/>
            <w:noWrap/>
            <w:vAlign w:val="bottom"/>
            <w:hideMark/>
          </w:tcPr>
          <w:p w14:paraId="38C941DD"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0.42</w:t>
            </w:r>
          </w:p>
        </w:tc>
        <w:tc>
          <w:tcPr>
            <w:tcW w:w="772" w:type="pct"/>
            <w:tcBorders>
              <w:top w:val="nil"/>
              <w:left w:val="nil"/>
              <w:bottom w:val="single" w:sz="4" w:space="0" w:color="auto"/>
              <w:right w:val="nil"/>
            </w:tcBorders>
            <w:shd w:val="clear" w:color="auto" w:fill="auto"/>
            <w:noWrap/>
            <w:vAlign w:val="bottom"/>
            <w:hideMark/>
          </w:tcPr>
          <w:p w14:paraId="1BF09D72" w14:textId="77777777" w:rsidR="0076402B" w:rsidRPr="008D115E" w:rsidRDefault="0076402B" w:rsidP="0058760B">
            <w:pPr>
              <w:jc w:val="right"/>
              <w:rPr>
                <w:rFonts w:eastAsia="Times New Roman"/>
                <w:color w:val="000000"/>
                <w:sz w:val="22"/>
                <w:szCs w:val="22"/>
                <w:lang w:eastAsia="en-GB"/>
              </w:rPr>
            </w:pPr>
            <w:r w:rsidRPr="008D115E">
              <w:rPr>
                <w:rFonts w:eastAsia="Times New Roman"/>
                <w:color w:val="000000"/>
                <w:sz w:val="22"/>
                <w:szCs w:val="22"/>
                <w:lang w:eastAsia="en-GB"/>
              </w:rPr>
              <w:t>61.14</w:t>
            </w:r>
          </w:p>
        </w:tc>
      </w:tr>
    </w:tbl>
    <w:p w14:paraId="62274962" w14:textId="3F77074A" w:rsidR="002057A4" w:rsidRDefault="002057A4"/>
    <w:p w14:paraId="545F773A" w14:textId="6D6DC1A3" w:rsidR="00B50ECD" w:rsidRDefault="00B50ECD"/>
    <w:p w14:paraId="26AA74B1" w14:textId="744B621F" w:rsidR="00B50ECD" w:rsidRDefault="00B50ECD">
      <w:r>
        <w:br w:type="page"/>
      </w:r>
    </w:p>
    <w:p w14:paraId="0B002578" w14:textId="0107E1F7" w:rsidR="00B50ECD" w:rsidRDefault="00B50ECD">
      <w:pPr>
        <w:rPr>
          <w:b/>
          <w:bCs/>
        </w:rPr>
      </w:pPr>
      <w:r w:rsidRPr="00B50ECD">
        <w:rPr>
          <w:b/>
          <w:bCs/>
        </w:rPr>
        <w:lastRenderedPageBreak/>
        <w:t>Supplementary References</w:t>
      </w:r>
    </w:p>
    <w:p w14:paraId="26746DC4" w14:textId="5BA3B20C" w:rsidR="00B50ECD" w:rsidRDefault="00B50ECD">
      <w:pPr>
        <w:rPr>
          <w:b/>
          <w:bCs/>
        </w:rPr>
      </w:pPr>
    </w:p>
    <w:p w14:paraId="26A1BCB6" w14:textId="51DD9436" w:rsidR="00B50ECD" w:rsidRPr="00B50ECD" w:rsidRDefault="00B50ECD" w:rsidP="00B50ECD">
      <w:pPr>
        <w:widowControl w:val="0"/>
        <w:autoSpaceDE w:val="0"/>
        <w:autoSpaceDN w:val="0"/>
        <w:adjustRightInd w:val="0"/>
        <w:ind w:left="640" w:hanging="640"/>
        <w:rPr>
          <w:noProof/>
        </w:rPr>
      </w:pPr>
      <w:r>
        <w:rPr>
          <w:b/>
          <w:bCs/>
        </w:rPr>
        <w:fldChar w:fldCharType="begin" w:fldLock="1"/>
      </w:r>
      <w:r>
        <w:rPr>
          <w:b/>
          <w:bCs/>
        </w:rPr>
        <w:instrText xml:space="preserve">ADDIN Mendeley Bibliography CSL_BIBLIOGRAPHY </w:instrText>
      </w:r>
      <w:r>
        <w:rPr>
          <w:b/>
          <w:bCs/>
        </w:rPr>
        <w:fldChar w:fldCharType="separate"/>
      </w:r>
      <w:r w:rsidRPr="00B50ECD">
        <w:rPr>
          <w:noProof/>
        </w:rPr>
        <w:t>1.</w:t>
      </w:r>
      <w:r w:rsidRPr="00B50ECD">
        <w:rPr>
          <w:noProof/>
        </w:rPr>
        <w:tab/>
        <w:t xml:space="preserve">Verschuur, J., Koks, E. E. &amp; Hall, J. W. Global economic impacts of COVID-19 lockdown measures stand out in high-frequency shipping data. </w:t>
      </w:r>
      <w:r w:rsidRPr="00B50ECD">
        <w:rPr>
          <w:i/>
          <w:iCs/>
          <w:noProof/>
        </w:rPr>
        <w:t>PLoS One</w:t>
      </w:r>
      <w:r w:rsidRPr="00B50ECD">
        <w:rPr>
          <w:noProof/>
        </w:rPr>
        <w:t xml:space="preserve"> </w:t>
      </w:r>
      <w:r w:rsidRPr="00B50ECD">
        <w:rPr>
          <w:b/>
          <w:bCs/>
          <w:noProof/>
        </w:rPr>
        <w:t>16</w:t>
      </w:r>
      <w:r w:rsidRPr="00B50ECD">
        <w:rPr>
          <w:noProof/>
        </w:rPr>
        <w:t>, e0248818 (2021).</w:t>
      </w:r>
    </w:p>
    <w:p w14:paraId="25D1581A" w14:textId="77777777" w:rsidR="00B50ECD" w:rsidRPr="00B50ECD" w:rsidRDefault="00B50ECD" w:rsidP="00B50ECD">
      <w:pPr>
        <w:widowControl w:val="0"/>
        <w:autoSpaceDE w:val="0"/>
        <w:autoSpaceDN w:val="0"/>
        <w:adjustRightInd w:val="0"/>
        <w:ind w:left="640" w:hanging="640"/>
        <w:rPr>
          <w:noProof/>
        </w:rPr>
      </w:pPr>
      <w:r w:rsidRPr="00B50ECD">
        <w:rPr>
          <w:noProof/>
        </w:rPr>
        <w:t>2.</w:t>
      </w:r>
      <w:r w:rsidRPr="00B50ECD">
        <w:rPr>
          <w:noProof/>
        </w:rPr>
        <w:tab/>
        <w:t xml:space="preserve">Verschuur, J., Koks, E. E. &amp; Hall, J. W. Ports’ criticality in international trade and global supply-chains. </w:t>
      </w:r>
      <w:r w:rsidRPr="00B50ECD">
        <w:rPr>
          <w:i/>
          <w:iCs/>
          <w:noProof/>
        </w:rPr>
        <w:t>Nat. Commun.</w:t>
      </w:r>
      <w:r w:rsidRPr="00B50ECD">
        <w:rPr>
          <w:noProof/>
        </w:rPr>
        <w:t xml:space="preserve"> </w:t>
      </w:r>
      <w:r w:rsidRPr="00B50ECD">
        <w:rPr>
          <w:b/>
          <w:bCs/>
          <w:noProof/>
        </w:rPr>
        <w:t>13</w:t>
      </w:r>
      <w:r w:rsidRPr="00B50ECD">
        <w:rPr>
          <w:noProof/>
        </w:rPr>
        <w:t>, 4351 (2022).</w:t>
      </w:r>
    </w:p>
    <w:p w14:paraId="31F26465" w14:textId="6B2DA9F2" w:rsidR="00B50ECD" w:rsidRPr="00B50ECD" w:rsidRDefault="00B50ECD" w:rsidP="00B50ECD">
      <w:pPr>
        <w:widowControl w:val="0"/>
        <w:autoSpaceDE w:val="0"/>
        <w:autoSpaceDN w:val="0"/>
        <w:adjustRightInd w:val="0"/>
        <w:ind w:left="640" w:hanging="640"/>
        <w:rPr>
          <w:b/>
          <w:bCs/>
        </w:rPr>
      </w:pPr>
      <w:r>
        <w:rPr>
          <w:b/>
          <w:bCs/>
        </w:rPr>
        <w:fldChar w:fldCharType="end"/>
      </w:r>
    </w:p>
    <w:sectPr w:rsidR="00B50ECD" w:rsidRPr="00B50ECD" w:rsidSect="00124FED">
      <w:pgSz w:w="11952" w:h="1684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2B"/>
    <w:rsid w:val="00032A56"/>
    <w:rsid w:val="00124FED"/>
    <w:rsid w:val="001F2F53"/>
    <w:rsid w:val="002057A4"/>
    <w:rsid w:val="00607832"/>
    <w:rsid w:val="0076402B"/>
    <w:rsid w:val="007739AF"/>
    <w:rsid w:val="008A1D3A"/>
    <w:rsid w:val="00B50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9AA9"/>
  <w15:chartTrackingRefBased/>
  <w15:docId w15:val="{D7E90897-7397-194D-9BF7-361E91E7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2B"/>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9984D-A396-5747-B5B9-57FFEA9D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3168</Words>
  <Characters>18060</Characters>
  <Application>Microsoft Office Word</Application>
  <DocSecurity>0</DocSecurity>
  <Lines>150</Lines>
  <Paragraphs>42</Paragraphs>
  <ScaleCrop>false</ScaleCrop>
  <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Verschuur</dc:creator>
  <cp:keywords/>
  <dc:description/>
  <cp:lastModifiedBy>Jasper Verschuur</cp:lastModifiedBy>
  <cp:revision>2</cp:revision>
  <dcterms:created xsi:type="dcterms:W3CDTF">2023-01-09T17:09:00Z</dcterms:created>
  <dcterms:modified xsi:type="dcterms:W3CDTF">2023-01-13T13:05:00Z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http://www.zotero.org/styles/frontiers-in-environmental-science</vt:lpwstr>
  </property>
  <property fmtid="{D5CDD505-2E9C-101B-9397-08002B2CF9AE}" pid="9" name="Mendeley Recent Style Name 3_1">
    <vt:lpwstr>Frontiers in Environmental Science</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http://www.zotero.org/styles/nature-communications</vt:lpwstr>
  </property>
  <property fmtid="{D5CDD505-2E9C-101B-9397-08002B2CF9AE}" pid="13" name="Mendeley Recent Style Name 5_1">
    <vt:lpwstr>Nature Communications</vt:lpwstr>
  </property>
  <property fmtid="{D5CDD505-2E9C-101B-9397-08002B2CF9AE}" pid="14" name="Mendeley Recent Style Id 6_1">
    <vt:lpwstr>http://www.zotero.org/styles/plos-one</vt:lpwstr>
  </property>
  <property fmtid="{D5CDD505-2E9C-101B-9397-08002B2CF9AE}" pid="15" name="Mendeley Recent Style Name 6_1">
    <vt:lpwstr>PLOS ONE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http://www.zotero.org/styles/science-advances</vt:lpwstr>
  </property>
  <property fmtid="{D5CDD505-2E9C-101B-9397-08002B2CF9AE}" pid="19" name="Mendeley Recent Style Name 8_1">
    <vt:lpwstr>Science Advances</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781b9479-f752-3654-9829-7b2764f7616c</vt:lpwstr>
  </property>
  <property fmtid="{D5CDD505-2E9C-101B-9397-08002B2CF9AE}" pid="24" name="Mendeley Citation Style_1">
    <vt:lpwstr>http://www.zotero.org/styles/nature</vt:lpwstr>
  </property>
</Properties>
</file>