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Supporting information</w:t>
      </w:r>
    </w:p>
    <w:p>
      <w:pPr>
        <w:spacing w:line="360" w:lineRule="auto"/>
        <w:jc w:val="center"/>
        <w:rPr>
          <w:rFonts w:ascii="Times New Roman" w:hAnsi="Times New Roman" w:cs="Times New Roman"/>
          <w:b/>
          <w:bCs/>
          <w:sz w:val="32"/>
          <w:szCs w:val="32"/>
        </w:rPr>
      </w:pPr>
    </w:p>
    <w:p>
      <w:pPr>
        <w:spacing w:line="360" w:lineRule="auto"/>
        <w:jc w:val="center"/>
        <w:rPr>
          <w:rFonts w:ascii="Times New Roman" w:hAnsi="Times New Roman" w:cs="Times New Roman"/>
          <w:b/>
          <w:bCs/>
          <w:sz w:val="32"/>
          <w:szCs w:val="32"/>
        </w:rPr>
      </w:pPr>
    </w:p>
    <w:p>
      <w:pPr>
        <w:spacing w:line="360" w:lineRule="auto"/>
        <w:rPr>
          <w:rFonts w:ascii="Times New Roman" w:hAnsi="Times New Roman" w:cs="Times New Roman"/>
          <w:sz w:val="28"/>
          <w:szCs w:val="28"/>
        </w:rPr>
      </w:pPr>
      <w:r>
        <w:rPr>
          <w:rFonts w:ascii="Times New Roman" w:hAnsi="Times New Roman" w:cs="Times New Roman"/>
          <w:sz w:val="28"/>
          <w:szCs w:val="28"/>
        </w:rPr>
        <w:t>Fluorescent Aptasensor Based on Fe</w:t>
      </w:r>
      <w:r>
        <w:rPr>
          <w:rFonts w:ascii="Times New Roman" w:hAnsi="Times New Roman" w:cs="Times New Roman"/>
          <w:sz w:val="28"/>
          <w:szCs w:val="28"/>
          <w:vertAlign w:val="subscript"/>
        </w:rPr>
        <w:t>3</w:t>
      </w:r>
      <w:r>
        <w:rPr>
          <w:rFonts w:ascii="Times New Roman" w:hAnsi="Times New Roman" w:cs="Times New Roman"/>
          <w:sz w:val="28"/>
          <w:szCs w:val="28"/>
        </w:rPr>
        <w:t>O</w:t>
      </w:r>
      <w:r>
        <w:rPr>
          <w:rFonts w:ascii="Times New Roman" w:hAnsi="Times New Roman" w:cs="Times New Roman"/>
          <w:sz w:val="28"/>
          <w:szCs w:val="28"/>
          <w:vertAlign w:val="subscript"/>
        </w:rPr>
        <w:t>4</w:t>
      </w:r>
      <w:r>
        <w:rPr>
          <w:rFonts w:ascii="Times New Roman" w:hAnsi="Times New Roman" w:cs="Times New Roman"/>
          <w:sz w:val="28"/>
          <w:szCs w:val="28"/>
        </w:rPr>
        <w:t>@PPy</w:t>
      </w:r>
    </w:p>
    <w:p>
      <w:pPr>
        <w:spacing w:line="360" w:lineRule="auto"/>
        <w:rPr>
          <w:rFonts w:ascii="Times New Roman" w:hAnsi="Times New Roman" w:cs="Times New Roman"/>
          <w:lang w:val="en-GB"/>
        </w:rPr>
      </w:pPr>
      <w:r>
        <w:rPr>
          <w:rFonts w:ascii="Times New Roman" w:hAnsi="Times New Roman" w:cs="Times New Roman"/>
        </w:rPr>
        <w:t>Zhe Jiao</w:t>
      </w:r>
      <w:r>
        <w:rPr>
          <w:rFonts w:ascii="Times New Roman" w:hAnsi="Times New Roman" w:cs="Times New Roman"/>
          <w:vertAlign w:val="superscript"/>
          <w:lang w:val="en-GB"/>
        </w:rPr>
        <w:t>a*</w:t>
      </w:r>
      <w:r>
        <w:rPr>
          <w:rFonts w:ascii="Times New Roman" w:hAnsi="Times New Roman" w:cs="Times New Roman"/>
        </w:rPr>
        <w:t>, Shaohe Jiao</w:t>
      </w:r>
      <w:r>
        <w:rPr>
          <w:rFonts w:ascii="Times New Roman" w:hAnsi="Times New Roman" w:cs="Times New Roman"/>
          <w:vertAlign w:val="superscript"/>
        </w:rPr>
        <w:t>b</w:t>
      </w:r>
      <w:r>
        <w:rPr>
          <w:rFonts w:ascii="Times New Roman" w:hAnsi="Times New Roman" w:cs="Times New Roman"/>
        </w:rPr>
        <w:t>, Yueting Wang</w:t>
      </w:r>
      <w:r>
        <w:rPr>
          <w:rFonts w:ascii="Times New Roman" w:hAnsi="Times New Roman" w:cs="Times New Roman"/>
          <w:vertAlign w:val="superscript"/>
        </w:rPr>
        <w:t>a</w:t>
      </w:r>
      <w:r>
        <w:rPr>
          <w:rFonts w:ascii="Times New Roman" w:hAnsi="Times New Roman" w:cs="Times New Roman"/>
        </w:rPr>
        <w:t>, Weibin Chen</w:t>
      </w:r>
      <w:r>
        <w:rPr>
          <w:rFonts w:ascii="Times New Roman" w:hAnsi="Times New Roman" w:cs="Times New Roman"/>
          <w:vertAlign w:val="superscript"/>
          <w:lang w:val="en-GB"/>
        </w:rPr>
        <w:t>a</w:t>
      </w:r>
      <w:r>
        <w:rPr>
          <w:rFonts w:ascii="Times New Roman" w:hAnsi="Times New Roman" w:cs="Times New Roman"/>
          <w:lang w:val="en-GB"/>
        </w:rPr>
        <w:t xml:space="preserve">, </w:t>
      </w:r>
      <w:r>
        <w:rPr>
          <w:rFonts w:ascii="Times New Roman" w:hAnsi="Times New Roman" w:cs="Times New Roman"/>
        </w:rPr>
        <w:t>Yangzi Xie</w:t>
      </w:r>
      <w:r>
        <w:rPr>
          <w:rFonts w:ascii="Times New Roman" w:hAnsi="Times New Roman" w:cs="Times New Roman"/>
          <w:vertAlign w:val="superscript"/>
        </w:rPr>
        <w:t>a</w:t>
      </w:r>
      <w:r>
        <w:rPr>
          <w:rFonts w:ascii="Times New Roman" w:hAnsi="Times New Roman" w:cs="Times New Roman"/>
        </w:rPr>
        <w:t>,</w:t>
      </w:r>
      <w:r>
        <w:rPr>
          <w:rFonts w:hint="eastAsia" w:ascii="Times New Roman" w:hAnsi="Times New Roman" w:cs="Times New Roman"/>
          <w:lang w:val="en-US" w:eastAsia="zh-CN"/>
        </w:rPr>
        <w:t xml:space="preserve"> </w:t>
      </w:r>
      <w:r>
        <w:rPr>
          <w:rFonts w:ascii="Times New Roman" w:hAnsi="Times New Roman" w:cs="Times New Roman"/>
        </w:rPr>
        <w:t>Xiaolin Zhang</w:t>
      </w:r>
      <w:r>
        <w:rPr>
          <w:rFonts w:ascii="Times New Roman" w:hAnsi="Times New Roman" w:cs="Times New Roman"/>
          <w:vertAlign w:val="superscript"/>
        </w:rPr>
        <w:t>a</w:t>
      </w:r>
      <w:r>
        <w:rPr>
          <w:rFonts w:ascii="Times New Roman" w:hAnsi="Times New Roman" w:cs="Times New Roman"/>
        </w:rPr>
        <w:t>,</w:t>
      </w:r>
      <w:bookmarkStart w:id="2" w:name="_GoBack"/>
      <w:bookmarkEnd w:id="2"/>
      <w:r>
        <w:rPr>
          <w:rFonts w:ascii="Times New Roman" w:hAnsi="Times New Roman" w:cs="Times New Roman"/>
        </w:rPr>
        <w:t xml:space="preserve"> Long Yi</w:t>
      </w:r>
      <w:r>
        <w:rPr>
          <w:rFonts w:ascii="Times New Roman" w:hAnsi="Times New Roman" w:cs="Times New Roman"/>
          <w:vertAlign w:val="superscript"/>
        </w:rPr>
        <w:t>a</w:t>
      </w:r>
      <w:r>
        <w:rPr>
          <w:rFonts w:ascii="Times New Roman" w:hAnsi="Times New Roman" w:cs="Times New Roman"/>
        </w:rPr>
        <w:t xml:space="preserve"> </w:t>
      </w:r>
    </w:p>
    <w:p>
      <w:pPr>
        <w:spacing w:line="360" w:lineRule="auto"/>
        <w:rPr>
          <w:rFonts w:ascii="Times New Roman" w:hAnsi="Times New Roman" w:cs="Times New Roman"/>
          <w:lang w:val="en-GB"/>
        </w:rPr>
      </w:pPr>
      <w:r>
        <w:rPr>
          <w:rFonts w:ascii="Times New Roman" w:hAnsi="Times New Roman" w:cs="Times New Roman"/>
          <w:vertAlign w:val="superscript"/>
          <w:lang w:val="en-GB"/>
        </w:rPr>
        <w:t>a</w:t>
      </w:r>
      <w:r>
        <w:rPr>
          <w:rFonts w:ascii="Times New Roman" w:hAnsi="Times New Roman" w:cs="Times New Roman"/>
          <w:lang w:val="en-GB"/>
        </w:rPr>
        <w:t>School of Environment and Civil Engineering, Dongguan University of Technology, Dongguan 523808, China.</w:t>
      </w:r>
    </w:p>
    <w:p>
      <w:pPr>
        <w:spacing w:line="360" w:lineRule="auto"/>
        <w:rPr>
          <w:rFonts w:ascii="Times New Roman" w:hAnsi="Times New Roman" w:cs="Times New Roman"/>
          <w:lang w:val="en-GB"/>
        </w:rPr>
      </w:pPr>
      <w:bookmarkStart w:id="0" w:name="_Hlk11571349"/>
      <w:r>
        <w:rPr>
          <w:rFonts w:ascii="Times New Roman" w:hAnsi="Times New Roman" w:cs="Times New Roman"/>
          <w:vertAlign w:val="superscript"/>
          <w:lang w:val="en-GB"/>
        </w:rPr>
        <w:t>b</w:t>
      </w:r>
      <w:r>
        <w:rPr>
          <w:rFonts w:ascii="Times New Roman" w:hAnsi="Times New Roman" w:cs="Times New Roman"/>
          <w:lang w:val="en-GB"/>
        </w:rPr>
        <w:t>Tobacco Science Institute of Jiangxi Province, Nanchang 330025, China</w:t>
      </w:r>
    </w:p>
    <w:bookmarkEnd w:id="0"/>
    <w:p/>
    <w:p/>
    <w:p/>
    <w:p/>
    <w:p/>
    <w:p/>
    <w:p/>
    <w:p/>
    <w:p/>
    <w:p/>
    <w:p/>
    <w:p/>
    <w:p/>
    <w:p/>
    <w:p/>
    <w:p/>
    <w:p/>
    <w:p/>
    <w:p/>
    <w:p/>
    <w:p/>
    <w:p>
      <w:r>
        <w:drawing>
          <wp:inline distT="0" distB="0" distL="0" distR="0">
            <wp:extent cx="5267325" cy="29622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67325" cy="2962275"/>
                    </a:xfrm>
                    <a:prstGeom prst="rect">
                      <a:avLst/>
                    </a:prstGeom>
                    <a:noFill/>
                    <a:ln>
                      <a:noFill/>
                    </a:ln>
                  </pic:spPr>
                </pic:pic>
              </a:graphicData>
            </a:graphic>
          </wp:inline>
        </w:drawing>
      </w:r>
    </w:p>
    <w:p/>
    <w:p>
      <w:pPr>
        <w:spacing w:line="360" w:lineRule="auto"/>
        <w:rPr>
          <w:rFonts w:ascii="Times New Roman" w:hAnsi="Times New Roman"/>
          <w:szCs w:val="21"/>
        </w:rPr>
      </w:pPr>
      <w:r>
        <w:rPr>
          <w:rFonts w:hint="eastAsia" w:ascii="Times New Roman" w:hAnsi="Times New Roman"/>
          <w:szCs w:val="21"/>
        </w:rPr>
        <w:t>F</w:t>
      </w:r>
      <w:r>
        <w:rPr>
          <w:rFonts w:ascii="Times New Roman" w:hAnsi="Times New Roman"/>
          <w:szCs w:val="21"/>
        </w:rPr>
        <w:t>igure S1 The PL spectra of MG (A1, B1, C1) and PL intensity change of MG (A2, B2, C2) in the presence of different concentrations of different aptamer. (A) aptamer for acetamiprid; (B) aptamer for thrombin; (C) aptamer for Pb</w:t>
      </w:r>
      <w:r>
        <w:rPr>
          <w:rFonts w:ascii="Times New Roman" w:hAnsi="Times New Roman"/>
          <w:szCs w:val="21"/>
          <w:vertAlign w:val="superscript"/>
        </w:rPr>
        <w:t>2+</w:t>
      </w:r>
      <w:r>
        <w:rPr>
          <w:rFonts w:ascii="Times New Roman" w:hAnsi="Times New Roman"/>
          <w:szCs w:val="21"/>
        </w:rPr>
        <w:t xml:space="preserve">. concentration: 10 </w:t>
      </w:r>
      <w:r>
        <w:rPr>
          <w:rFonts w:ascii="Times New Roman" w:hAnsi="Times New Roman" w:cs="Times New Roman"/>
          <w:szCs w:val="21"/>
        </w:rPr>
        <w:t>μ</w:t>
      </w:r>
      <w:r>
        <w:rPr>
          <w:rFonts w:ascii="Times New Roman" w:hAnsi="Times New Roman"/>
          <w:szCs w:val="21"/>
        </w:rPr>
        <w:t xml:space="preserve">M. </w:t>
      </w:r>
    </w:p>
    <w:p>
      <w:pPr>
        <w:spacing w:line="360" w:lineRule="auto"/>
        <w:rPr>
          <w:rFonts w:ascii="Times New Roman" w:hAnsi="Times New Roman"/>
          <w:szCs w:val="21"/>
        </w:rPr>
      </w:pPr>
      <w:r>
        <w:rPr>
          <w:rFonts w:ascii="Times New Roman" w:hAnsi="Times New Roman"/>
          <w:szCs w:val="21"/>
        </w:rPr>
        <w:drawing>
          <wp:inline distT="0" distB="0" distL="0" distR="0">
            <wp:extent cx="5266690" cy="173101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extLst>
                        <a:ext uri="{28A0092B-C50C-407E-A947-70E740481C1C}">
                          <a14:useLocalDpi xmlns:a14="http://schemas.microsoft.com/office/drawing/2010/main" val="0"/>
                        </a:ext>
                      </a:extLst>
                    </a:blip>
                    <a:srcRect t="22330" b="19212"/>
                    <a:stretch>
                      <a:fillRect/>
                    </a:stretch>
                  </pic:blipFill>
                  <pic:spPr>
                    <a:xfrm>
                      <a:off x="0" y="0"/>
                      <a:ext cx="5267325" cy="1731665"/>
                    </a:xfrm>
                    <a:prstGeom prst="rect">
                      <a:avLst/>
                    </a:prstGeom>
                    <a:noFill/>
                    <a:ln>
                      <a:noFill/>
                    </a:ln>
                  </pic:spPr>
                </pic:pic>
              </a:graphicData>
            </a:graphic>
          </wp:inline>
        </w:drawing>
      </w:r>
    </w:p>
    <w:p>
      <w:pPr>
        <w:spacing w:line="360" w:lineRule="auto"/>
        <w:rPr>
          <w:rFonts w:ascii="Times New Roman" w:hAnsi="Times New Roman"/>
          <w:szCs w:val="21"/>
        </w:rPr>
      </w:pPr>
      <w:r>
        <w:rPr>
          <w:rFonts w:hint="eastAsia" w:ascii="Times New Roman" w:hAnsi="Times New Roman"/>
          <w:szCs w:val="21"/>
        </w:rPr>
        <w:t>F</w:t>
      </w:r>
      <w:r>
        <w:rPr>
          <w:rFonts w:ascii="Times New Roman" w:hAnsi="Times New Roman"/>
          <w:szCs w:val="21"/>
        </w:rPr>
        <w:t>igure S2 The PL spectra of TTAPE in different conditions (1) in the presence of aptamer; (2) in the presence of nuclease; (3) TTAPE; (A) aptamer for acetamiprid; (B) aptamer for thrombin; (C) aptamer for Pb</w:t>
      </w:r>
      <w:r>
        <w:rPr>
          <w:rFonts w:ascii="Times New Roman" w:hAnsi="Times New Roman"/>
          <w:szCs w:val="21"/>
          <w:vertAlign w:val="superscript"/>
        </w:rPr>
        <w:t>2+</w:t>
      </w:r>
      <w:r>
        <w:rPr>
          <w:rFonts w:ascii="Times New Roman" w:hAnsi="Times New Roman"/>
          <w:szCs w:val="21"/>
        </w:rPr>
        <w:t xml:space="preserve">. Experimental conditions: TTAPE, 10 </w:t>
      </w:r>
      <w:r>
        <w:rPr>
          <w:rFonts w:ascii="Times New Roman" w:hAnsi="Times New Roman" w:cs="Times New Roman"/>
          <w:szCs w:val="21"/>
        </w:rPr>
        <w:t>n</w:t>
      </w:r>
      <w:r>
        <w:rPr>
          <w:rFonts w:ascii="Times New Roman" w:hAnsi="Times New Roman"/>
          <w:szCs w:val="21"/>
        </w:rPr>
        <w:t xml:space="preserve">M; aptamer, 2.0 </w:t>
      </w:r>
      <w:r>
        <w:rPr>
          <w:rFonts w:ascii="Times New Roman" w:hAnsi="Times New Roman" w:cs="Times New Roman"/>
          <w:szCs w:val="21"/>
        </w:rPr>
        <w:t>μ</w:t>
      </w:r>
      <w:r>
        <w:rPr>
          <w:rFonts w:ascii="Times New Roman" w:hAnsi="Times New Roman"/>
          <w:szCs w:val="21"/>
        </w:rPr>
        <w:t xml:space="preserve">M. </w:t>
      </w:r>
    </w:p>
    <w:p>
      <w:pPr>
        <w:spacing w:line="360" w:lineRule="auto"/>
        <w:rPr>
          <w:rFonts w:ascii="Times New Roman" w:hAnsi="Times New Roman"/>
          <w:szCs w:val="21"/>
        </w:rPr>
      </w:pPr>
      <w:r>
        <w:rPr>
          <w:rFonts w:ascii="Times New Roman" w:hAnsi="Times New Roman"/>
          <w:szCs w:val="21"/>
        </w:rPr>
        <w:drawing>
          <wp:inline distT="0" distB="0" distL="0" distR="0">
            <wp:extent cx="5266690" cy="21399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t="11658" b="16095"/>
                    <a:stretch>
                      <a:fillRect/>
                    </a:stretch>
                  </pic:blipFill>
                  <pic:spPr>
                    <a:xfrm>
                      <a:off x="0" y="0"/>
                      <a:ext cx="5267325" cy="2140173"/>
                    </a:xfrm>
                    <a:prstGeom prst="rect">
                      <a:avLst/>
                    </a:prstGeom>
                    <a:noFill/>
                    <a:ln>
                      <a:noFill/>
                    </a:ln>
                  </pic:spPr>
                </pic:pic>
              </a:graphicData>
            </a:graphic>
          </wp:inline>
        </w:drawing>
      </w:r>
    </w:p>
    <w:p>
      <w:pPr>
        <w:spacing w:line="360" w:lineRule="auto"/>
        <w:rPr>
          <w:rFonts w:ascii="Times New Roman" w:hAnsi="Times New Roman"/>
          <w:szCs w:val="21"/>
        </w:rPr>
      </w:pPr>
      <w:r>
        <w:rPr>
          <w:rFonts w:hint="eastAsia" w:ascii="Times New Roman" w:hAnsi="Times New Roman"/>
          <w:szCs w:val="21"/>
        </w:rPr>
        <w:t>F</w:t>
      </w:r>
      <w:r>
        <w:rPr>
          <w:rFonts w:ascii="Times New Roman" w:hAnsi="Times New Roman"/>
          <w:szCs w:val="21"/>
        </w:rPr>
        <w:t xml:space="preserve">igure S3 The PL spectra of MG in different conditions (1) MG; (2) in the presence of aptamer; (3) in the presence of nuclease; (A) aptamer for acetamiprid; (B) aptamer for thrombin. Experimental conditions: MG, 10 </w:t>
      </w:r>
      <w:r>
        <w:rPr>
          <w:rFonts w:ascii="Times New Roman" w:hAnsi="Times New Roman" w:cs="Times New Roman"/>
          <w:szCs w:val="21"/>
        </w:rPr>
        <w:t>μ</w:t>
      </w:r>
      <w:r>
        <w:rPr>
          <w:rFonts w:ascii="Times New Roman" w:hAnsi="Times New Roman"/>
          <w:szCs w:val="21"/>
        </w:rPr>
        <w:t xml:space="preserve">M; aptamer, 20 </w:t>
      </w:r>
      <w:r>
        <w:rPr>
          <w:rFonts w:ascii="Times New Roman" w:hAnsi="Times New Roman" w:cs="Times New Roman"/>
          <w:szCs w:val="21"/>
        </w:rPr>
        <w:t>μ</w:t>
      </w:r>
      <w:r>
        <w:rPr>
          <w:rFonts w:ascii="Times New Roman" w:hAnsi="Times New Roman"/>
          <w:szCs w:val="21"/>
        </w:rPr>
        <w:t xml:space="preserve">M.  </w:t>
      </w:r>
    </w:p>
    <w:p>
      <w:pPr>
        <w:spacing w:line="360" w:lineRule="auto"/>
        <w:rPr>
          <w:rFonts w:ascii="Times New Roman" w:hAnsi="Times New Roman"/>
          <w:szCs w:val="21"/>
          <w:vertAlign w:val="superscript"/>
        </w:rPr>
      </w:pPr>
      <w:r>
        <w:rPr>
          <w:rFonts w:ascii="Times New Roman" w:hAnsi="Times New Roman"/>
          <w:szCs w:val="21"/>
        </w:rPr>
        <w:drawing>
          <wp:inline distT="0" distB="0" distL="0" distR="0">
            <wp:extent cx="5267325" cy="29622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67325" cy="2962275"/>
                    </a:xfrm>
                    <a:prstGeom prst="rect">
                      <a:avLst/>
                    </a:prstGeom>
                    <a:noFill/>
                    <a:ln>
                      <a:noFill/>
                    </a:ln>
                  </pic:spPr>
                </pic:pic>
              </a:graphicData>
            </a:graphic>
          </wp:inline>
        </w:drawing>
      </w:r>
    </w:p>
    <w:p>
      <w:pPr>
        <w:spacing w:line="360" w:lineRule="auto"/>
        <w:rPr>
          <w:rFonts w:ascii="Times New Roman" w:hAnsi="Times New Roman"/>
          <w:szCs w:val="21"/>
          <w:vertAlign w:val="superscript"/>
        </w:rPr>
      </w:pPr>
      <w:r>
        <w:rPr>
          <w:rFonts w:hint="eastAsia" w:ascii="Times New Roman" w:hAnsi="Times New Roman"/>
          <w:szCs w:val="21"/>
        </w:rPr>
        <w:t>F</w:t>
      </w:r>
      <w:r>
        <w:rPr>
          <w:rFonts w:ascii="Times New Roman" w:hAnsi="Times New Roman"/>
          <w:szCs w:val="21"/>
        </w:rPr>
        <w:t>igure S4 The PL spectra of MG/aptamer complex (A1, B1) and PL intensity change of MG/aptamer complex (A2, B2) in the presence of different amounts of Fe</w:t>
      </w:r>
      <w:r>
        <w:rPr>
          <w:rFonts w:ascii="Times New Roman" w:hAnsi="Times New Roman"/>
          <w:szCs w:val="21"/>
          <w:vertAlign w:val="subscript"/>
        </w:rPr>
        <w:t>3</w:t>
      </w:r>
      <w:r>
        <w:rPr>
          <w:rFonts w:ascii="Times New Roman" w:hAnsi="Times New Roman"/>
          <w:szCs w:val="21"/>
        </w:rPr>
        <w:t>O</w:t>
      </w:r>
      <w:r>
        <w:rPr>
          <w:rFonts w:ascii="Times New Roman" w:hAnsi="Times New Roman"/>
          <w:szCs w:val="21"/>
          <w:vertAlign w:val="subscript"/>
        </w:rPr>
        <w:t>4</w:t>
      </w:r>
      <w:r>
        <w:rPr>
          <w:rFonts w:ascii="Times New Roman" w:hAnsi="Times New Roman"/>
          <w:szCs w:val="21"/>
        </w:rPr>
        <w:t>. (A) aptamer for acetamiprid; (B) aptamer for thrombin; (C) aptamer for Pb</w:t>
      </w:r>
      <w:r>
        <w:rPr>
          <w:rFonts w:ascii="Times New Roman" w:hAnsi="Times New Roman"/>
          <w:szCs w:val="21"/>
          <w:vertAlign w:val="superscript"/>
        </w:rPr>
        <w:t>2+</w:t>
      </w:r>
      <w:r>
        <w:rPr>
          <w:rFonts w:ascii="Times New Roman" w:hAnsi="Times New Roman"/>
          <w:szCs w:val="21"/>
        </w:rPr>
        <w:t xml:space="preserve">. Experimental conditions: MG, 10 </w:t>
      </w:r>
      <w:r>
        <w:rPr>
          <w:rFonts w:ascii="Times New Roman" w:hAnsi="Times New Roman" w:cs="Times New Roman"/>
          <w:szCs w:val="21"/>
        </w:rPr>
        <w:t>μ</w:t>
      </w:r>
      <w:r>
        <w:rPr>
          <w:rFonts w:ascii="Times New Roman" w:hAnsi="Times New Roman"/>
          <w:szCs w:val="21"/>
        </w:rPr>
        <w:t xml:space="preserve">M; aptamer, 20 </w:t>
      </w:r>
      <w:r>
        <w:rPr>
          <w:rFonts w:ascii="Times New Roman" w:hAnsi="Times New Roman" w:cs="Times New Roman"/>
          <w:szCs w:val="21"/>
        </w:rPr>
        <w:t>μ</w:t>
      </w:r>
      <w:r>
        <w:rPr>
          <w:rFonts w:ascii="Times New Roman" w:hAnsi="Times New Roman"/>
          <w:szCs w:val="21"/>
        </w:rPr>
        <w:t xml:space="preserve">M.  </w:t>
      </w:r>
    </w:p>
    <w:p>
      <w:pPr>
        <w:spacing w:line="360" w:lineRule="auto"/>
        <w:rPr>
          <w:rFonts w:ascii="Times New Roman" w:hAnsi="Times New Roman"/>
          <w:szCs w:val="21"/>
        </w:rPr>
      </w:pPr>
      <w:r>
        <w:rPr>
          <w:rFonts w:hint="eastAsia" w:ascii="Times New Roman" w:hAnsi="Times New Roman"/>
          <w:szCs w:val="21"/>
        </w:rPr>
        <w:drawing>
          <wp:inline distT="0" distB="0" distL="0" distR="0">
            <wp:extent cx="5267325" cy="29622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67325" cy="2962275"/>
                    </a:xfrm>
                    <a:prstGeom prst="rect">
                      <a:avLst/>
                    </a:prstGeom>
                    <a:noFill/>
                    <a:ln>
                      <a:noFill/>
                    </a:ln>
                  </pic:spPr>
                </pic:pic>
              </a:graphicData>
            </a:graphic>
          </wp:inline>
        </w:drawing>
      </w:r>
    </w:p>
    <w:p>
      <w:pPr>
        <w:spacing w:line="360" w:lineRule="auto"/>
        <w:rPr>
          <w:rFonts w:ascii="Times New Roman" w:hAnsi="Times New Roman"/>
          <w:szCs w:val="21"/>
        </w:rPr>
      </w:pPr>
      <w:r>
        <w:rPr>
          <w:rFonts w:hint="eastAsia" w:ascii="Times New Roman" w:hAnsi="Times New Roman"/>
          <w:szCs w:val="21"/>
        </w:rPr>
        <w:t>F</w:t>
      </w:r>
      <w:r>
        <w:rPr>
          <w:rFonts w:ascii="Times New Roman" w:hAnsi="Times New Roman"/>
          <w:szCs w:val="21"/>
        </w:rPr>
        <w:t>igure S5 The PL spectra of MG in the absence (A1, B1) and presence (A2, B2) of Fe</w:t>
      </w:r>
      <w:r>
        <w:rPr>
          <w:rFonts w:ascii="Times New Roman" w:hAnsi="Times New Roman"/>
          <w:szCs w:val="21"/>
          <w:vertAlign w:val="subscript"/>
        </w:rPr>
        <w:t>3</w:t>
      </w:r>
      <w:r>
        <w:rPr>
          <w:rFonts w:ascii="Times New Roman" w:hAnsi="Times New Roman"/>
          <w:szCs w:val="21"/>
        </w:rPr>
        <w:t>O</w:t>
      </w:r>
      <w:r>
        <w:rPr>
          <w:rFonts w:ascii="Times New Roman" w:hAnsi="Times New Roman"/>
          <w:szCs w:val="21"/>
          <w:vertAlign w:val="subscript"/>
        </w:rPr>
        <w:t>4</w:t>
      </w:r>
      <w:r>
        <w:rPr>
          <w:rFonts w:ascii="Times New Roman" w:hAnsi="Times New Roman"/>
          <w:szCs w:val="21"/>
        </w:rPr>
        <w:t xml:space="preserve"> at different conditions: M1, mismatch aptamer; T1, targets. Experimental conditions: MG, 10 </w:t>
      </w:r>
      <w:r>
        <w:rPr>
          <w:rFonts w:ascii="Times New Roman" w:hAnsi="Times New Roman" w:cs="Times New Roman"/>
          <w:szCs w:val="21"/>
        </w:rPr>
        <w:t>μ</w:t>
      </w:r>
      <w:r>
        <w:rPr>
          <w:rFonts w:ascii="Times New Roman" w:hAnsi="Times New Roman"/>
          <w:szCs w:val="21"/>
        </w:rPr>
        <w:t xml:space="preserve">M; aptamer, 20 </w:t>
      </w:r>
      <w:r>
        <w:rPr>
          <w:rFonts w:ascii="Times New Roman" w:hAnsi="Times New Roman" w:cs="Times New Roman"/>
          <w:szCs w:val="21"/>
        </w:rPr>
        <w:t>μ</w:t>
      </w:r>
      <w:r>
        <w:rPr>
          <w:rFonts w:ascii="Times New Roman" w:hAnsi="Times New Roman"/>
          <w:szCs w:val="21"/>
        </w:rPr>
        <w:t>M; Fe</w:t>
      </w:r>
      <w:r>
        <w:rPr>
          <w:rFonts w:ascii="Times New Roman" w:hAnsi="Times New Roman"/>
          <w:szCs w:val="21"/>
          <w:vertAlign w:val="subscript"/>
        </w:rPr>
        <w:t>3</w:t>
      </w:r>
      <w:r>
        <w:rPr>
          <w:rFonts w:ascii="Times New Roman" w:hAnsi="Times New Roman"/>
          <w:szCs w:val="21"/>
        </w:rPr>
        <w:t>O</w:t>
      </w:r>
      <w:r>
        <w:rPr>
          <w:rFonts w:ascii="Times New Roman" w:hAnsi="Times New Roman"/>
          <w:szCs w:val="21"/>
          <w:vertAlign w:val="subscript"/>
        </w:rPr>
        <w:t>4</w:t>
      </w:r>
      <w:r>
        <w:rPr>
          <w:rFonts w:ascii="Times New Roman" w:hAnsi="Times New Roman"/>
          <w:szCs w:val="21"/>
        </w:rPr>
        <w:t>, 2.0 mg.</w:t>
      </w:r>
    </w:p>
    <w:p>
      <w:pPr>
        <w:spacing w:line="360" w:lineRule="auto"/>
        <w:rPr>
          <w:rFonts w:ascii="Times New Roman" w:hAnsi="Times New Roman"/>
          <w:szCs w:val="21"/>
        </w:rPr>
      </w:pPr>
      <w:r>
        <w:rPr>
          <w:rFonts w:ascii="Times New Roman" w:hAnsi="Times New Roman"/>
          <w:szCs w:val="21"/>
        </w:rPr>
        <w:drawing>
          <wp:inline distT="0" distB="0" distL="0" distR="0">
            <wp:extent cx="5267325" cy="296227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67325" cy="2962275"/>
                    </a:xfrm>
                    <a:prstGeom prst="rect">
                      <a:avLst/>
                    </a:prstGeom>
                    <a:noFill/>
                    <a:ln>
                      <a:noFill/>
                    </a:ln>
                  </pic:spPr>
                </pic:pic>
              </a:graphicData>
            </a:graphic>
          </wp:inline>
        </w:drawing>
      </w:r>
      <w:r>
        <w:rPr>
          <w:rFonts w:hint="eastAsia" w:ascii="Times New Roman" w:hAnsi="Times New Roman"/>
          <w:szCs w:val="21"/>
        </w:rPr>
        <w:t>F</w:t>
      </w:r>
      <w:r>
        <w:rPr>
          <w:rFonts w:ascii="Times New Roman" w:hAnsi="Times New Roman"/>
          <w:szCs w:val="21"/>
        </w:rPr>
        <w:t xml:space="preserve">igure S6 The recovery of PL spectra of TTAPE/aptamer complex (A1, B1) and PL intensity of TTAPE/aptamer (A2, B2) upon addition of different concentrations of complementary chain of aptamer. (A) aptamer for acetamiprid; (B) aptamer for thrombin. MG, 10 </w:t>
      </w:r>
      <w:r>
        <w:rPr>
          <w:rFonts w:ascii="Times New Roman" w:hAnsi="Times New Roman" w:cs="Times New Roman"/>
          <w:szCs w:val="21"/>
        </w:rPr>
        <w:t>μ</w:t>
      </w:r>
      <w:r>
        <w:rPr>
          <w:rFonts w:ascii="Times New Roman" w:hAnsi="Times New Roman"/>
          <w:szCs w:val="21"/>
        </w:rPr>
        <w:t xml:space="preserve">M; aptamer, 20 </w:t>
      </w:r>
      <w:r>
        <w:rPr>
          <w:rFonts w:ascii="Times New Roman" w:hAnsi="Times New Roman" w:cs="Times New Roman"/>
          <w:szCs w:val="21"/>
        </w:rPr>
        <w:t>μ</w:t>
      </w:r>
      <w:r>
        <w:rPr>
          <w:rFonts w:ascii="Times New Roman" w:hAnsi="Times New Roman"/>
          <w:szCs w:val="21"/>
        </w:rPr>
        <w:t>M</w:t>
      </w:r>
    </w:p>
    <w:p>
      <w:pPr>
        <w:spacing w:line="360" w:lineRule="auto"/>
        <w:rPr>
          <w:rFonts w:ascii="Times New Roman" w:hAnsi="Times New Roman"/>
          <w:szCs w:val="21"/>
        </w:rPr>
      </w:pPr>
      <w:r>
        <w:rPr>
          <w:rFonts w:ascii="Times New Roman" w:hAnsi="Times New Roman"/>
          <w:szCs w:val="21"/>
        </w:rPr>
        <w:drawing>
          <wp:inline distT="0" distB="0" distL="0" distR="0">
            <wp:extent cx="5267325" cy="296227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67325" cy="2962275"/>
                    </a:xfrm>
                    <a:prstGeom prst="rect">
                      <a:avLst/>
                    </a:prstGeom>
                    <a:noFill/>
                    <a:ln>
                      <a:noFill/>
                    </a:ln>
                  </pic:spPr>
                </pic:pic>
              </a:graphicData>
            </a:graphic>
          </wp:inline>
        </w:drawing>
      </w:r>
    </w:p>
    <w:p>
      <w:pPr>
        <w:spacing w:line="360" w:lineRule="auto"/>
        <w:rPr>
          <w:rFonts w:ascii="Times New Roman" w:hAnsi="Times New Roman"/>
          <w:szCs w:val="21"/>
        </w:rPr>
      </w:pPr>
      <w:r>
        <w:rPr>
          <w:rFonts w:hint="eastAsia" w:ascii="Times New Roman" w:hAnsi="Times New Roman"/>
          <w:szCs w:val="21"/>
        </w:rPr>
        <w:t>F</w:t>
      </w:r>
      <w:r>
        <w:rPr>
          <w:rFonts w:ascii="Times New Roman" w:hAnsi="Times New Roman"/>
          <w:szCs w:val="21"/>
        </w:rPr>
        <w:t>igure S7 The recovery of PL spectra of TTAPE/aptamer complex (A1, B1, C1) and PL intensity of TTAPE/aptamer (A2, B2, C2) upon addition of different concentrations of targets. (A) aptamer for acetamiprid; (B) aptamer for thrombin; (C) aptamer for Pb</w:t>
      </w:r>
      <w:r>
        <w:rPr>
          <w:rFonts w:ascii="Times New Roman" w:hAnsi="Times New Roman"/>
          <w:szCs w:val="21"/>
          <w:vertAlign w:val="superscript"/>
        </w:rPr>
        <w:t>2+</w:t>
      </w:r>
      <w:r>
        <w:rPr>
          <w:rFonts w:ascii="Times New Roman" w:hAnsi="Times New Roman"/>
          <w:szCs w:val="21"/>
        </w:rPr>
        <w:t xml:space="preserve">. MG, 10 </w:t>
      </w:r>
      <w:r>
        <w:rPr>
          <w:rFonts w:ascii="Times New Roman" w:hAnsi="Times New Roman" w:cs="Times New Roman"/>
          <w:szCs w:val="21"/>
        </w:rPr>
        <w:t>μ</w:t>
      </w:r>
      <w:r>
        <w:rPr>
          <w:rFonts w:ascii="Times New Roman" w:hAnsi="Times New Roman"/>
          <w:szCs w:val="21"/>
        </w:rPr>
        <w:t xml:space="preserve">M; aptamer, 20 </w:t>
      </w:r>
      <w:r>
        <w:rPr>
          <w:rFonts w:ascii="Times New Roman" w:hAnsi="Times New Roman" w:cs="Times New Roman"/>
          <w:szCs w:val="21"/>
        </w:rPr>
        <w:t>μ</w:t>
      </w:r>
      <w:r>
        <w:rPr>
          <w:rFonts w:ascii="Times New Roman" w:hAnsi="Times New Roman"/>
          <w:szCs w:val="21"/>
        </w:rPr>
        <w:t>M</w:t>
      </w:r>
    </w:p>
    <w:p>
      <w:pPr>
        <w:autoSpaceDE w:val="0"/>
        <w:autoSpaceDN w:val="0"/>
        <w:adjustRightInd w:val="0"/>
        <w:spacing w:line="360" w:lineRule="auto"/>
        <w:rPr>
          <w:rFonts w:ascii="Times New Roman" w:hAnsi="Times New Roman"/>
          <w:szCs w:val="21"/>
        </w:rPr>
      </w:pPr>
      <w:r>
        <w:rPr>
          <w:rFonts w:ascii="Times New Roman" w:hAnsi="Times New Roman"/>
          <w:szCs w:val="21"/>
        </w:rPr>
        <w:drawing>
          <wp:inline distT="0" distB="0" distL="0" distR="0">
            <wp:extent cx="5266690" cy="1789430"/>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a:extLst>
                        <a:ext uri="{28A0092B-C50C-407E-A947-70E740481C1C}">
                          <a14:useLocalDpi xmlns:a14="http://schemas.microsoft.com/office/drawing/2010/main" val="0"/>
                        </a:ext>
                      </a:extLst>
                    </a:blip>
                    <a:srcRect t="17569" b="22001"/>
                    <a:stretch>
                      <a:fillRect/>
                    </a:stretch>
                  </pic:blipFill>
                  <pic:spPr>
                    <a:xfrm>
                      <a:off x="0" y="0"/>
                      <a:ext cx="5267325" cy="1790088"/>
                    </a:xfrm>
                    <a:prstGeom prst="rect">
                      <a:avLst/>
                    </a:prstGeom>
                    <a:noFill/>
                    <a:ln>
                      <a:noFill/>
                    </a:ln>
                  </pic:spPr>
                </pic:pic>
              </a:graphicData>
            </a:graphic>
          </wp:inline>
        </w:drawing>
      </w:r>
    </w:p>
    <w:p>
      <w:pPr>
        <w:autoSpaceDE w:val="0"/>
        <w:autoSpaceDN w:val="0"/>
        <w:adjustRightInd w:val="0"/>
        <w:spacing w:line="360" w:lineRule="auto"/>
        <w:rPr>
          <w:rFonts w:ascii="Times New Roman" w:hAnsi="Times New Roman"/>
          <w:szCs w:val="21"/>
        </w:rPr>
      </w:pPr>
      <w:r>
        <w:rPr>
          <w:rFonts w:hint="eastAsia" w:ascii="Times New Roman" w:hAnsi="Times New Roman"/>
          <w:szCs w:val="21"/>
        </w:rPr>
        <w:t>F</w:t>
      </w:r>
      <w:r>
        <w:rPr>
          <w:rFonts w:ascii="Times New Roman" w:hAnsi="Times New Roman"/>
          <w:szCs w:val="21"/>
        </w:rPr>
        <w:t xml:space="preserve">igure S8 (A) Relative PL intensity of the TTAPE-based biosensor to different targets. The concentration of all interfering species was 1 </w:t>
      </w:r>
      <w:r>
        <w:rPr>
          <w:rFonts w:ascii="Times New Roman" w:hAnsi="Times New Roman" w:cs="Times New Roman"/>
          <w:szCs w:val="21"/>
        </w:rPr>
        <w:t>μ</w:t>
      </w:r>
      <w:r>
        <w:rPr>
          <w:rFonts w:ascii="Times New Roman" w:hAnsi="Times New Roman"/>
          <w:szCs w:val="21"/>
        </w:rPr>
        <w:t xml:space="preserve">M, and acetamiprid was 20 ng/L. (B) Relative PL intensity of the TTAPE-based biosensor to different targets. The concentration of all compounds was 20 ng/L. </w:t>
      </w:r>
    </w:p>
    <w:p>
      <w:pPr>
        <w:autoSpaceDE w:val="0"/>
        <w:autoSpaceDN w:val="0"/>
        <w:adjustRightInd w:val="0"/>
        <w:spacing w:line="360" w:lineRule="auto"/>
        <w:rPr>
          <w:rFonts w:ascii="Times New Roman" w:hAnsi="Times New Roman"/>
          <w:szCs w:val="21"/>
        </w:rPr>
      </w:pPr>
      <w:r>
        <w:rPr>
          <w:rFonts w:hint="eastAsia" w:ascii="Times New Roman" w:hAnsi="Times New Roman"/>
          <w:szCs w:val="21"/>
        </w:rPr>
        <w:drawing>
          <wp:inline distT="0" distB="0" distL="0" distR="0">
            <wp:extent cx="5266690" cy="2397760"/>
            <wp:effectExtent l="0" t="0" r="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2">
                      <a:extLst>
                        <a:ext uri="{28A0092B-C50C-407E-A947-70E740481C1C}">
                          <a14:useLocalDpi xmlns:a14="http://schemas.microsoft.com/office/drawing/2010/main" val="0"/>
                        </a:ext>
                      </a:extLst>
                    </a:blip>
                    <a:srcRect t="11658" b="7392"/>
                    <a:stretch>
                      <a:fillRect/>
                    </a:stretch>
                  </pic:blipFill>
                  <pic:spPr>
                    <a:xfrm>
                      <a:off x="0" y="0"/>
                      <a:ext cx="5267325" cy="2397967"/>
                    </a:xfrm>
                    <a:prstGeom prst="rect">
                      <a:avLst/>
                    </a:prstGeom>
                    <a:noFill/>
                    <a:ln>
                      <a:noFill/>
                    </a:ln>
                  </pic:spPr>
                </pic:pic>
              </a:graphicData>
            </a:graphic>
          </wp:inline>
        </w:drawing>
      </w:r>
      <w:r>
        <w:rPr>
          <w:rFonts w:hint="eastAsia" w:ascii="Times New Roman" w:hAnsi="Times New Roman"/>
          <w:szCs w:val="21"/>
        </w:rPr>
        <w:t>F</w:t>
      </w:r>
      <w:r>
        <w:rPr>
          <w:rFonts w:ascii="Times New Roman" w:hAnsi="Times New Roman"/>
          <w:szCs w:val="21"/>
        </w:rPr>
        <w:t xml:space="preserve">igure S9 Relative PL intensity of the MG-based biosensor to different targets. The concentration of all interfering species was 1 </w:t>
      </w:r>
      <w:r>
        <w:rPr>
          <w:rFonts w:ascii="Times New Roman" w:hAnsi="Times New Roman" w:cs="Times New Roman"/>
          <w:szCs w:val="21"/>
        </w:rPr>
        <w:t>μ</w:t>
      </w:r>
      <w:r>
        <w:rPr>
          <w:rFonts w:ascii="Times New Roman" w:hAnsi="Times New Roman"/>
          <w:szCs w:val="21"/>
        </w:rPr>
        <w:t>M, and acetamiprid was 20 ng/L. b. Relative PL intensity of the MG-based biosensor to different targets. The concentration of all compounds was 20 ng/L.</w:t>
      </w:r>
    </w:p>
    <w:p/>
    <w:p>
      <w:pPr>
        <w:spacing w:line="360" w:lineRule="auto"/>
        <w:rPr>
          <w:rFonts w:ascii="Times New Roman" w:hAnsi="Times New Roman" w:cs="Times New Roman"/>
        </w:rPr>
      </w:pPr>
      <w:bookmarkStart w:id="1" w:name="_Hlk90906413"/>
      <w:r>
        <w:rPr>
          <w:rFonts w:ascii="Times New Roman" w:hAnsi="Times New Roman"/>
          <w:szCs w:val="21"/>
        </w:rPr>
        <w:t>Table S1 Analytical results of the determination of acetamiprid, thrombin and Pb</w:t>
      </w:r>
      <w:r>
        <w:rPr>
          <w:rFonts w:ascii="Times New Roman" w:hAnsi="Times New Roman"/>
          <w:szCs w:val="21"/>
          <w:vertAlign w:val="superscript"/>
        </w:rPr>
        <w:t>2+</w:t>
      </w:r>
      <w:r>
        <w:rPr>
          <w:rFonts w:ascii="Times New Roman" w:hAnsi="Times New Roman"/>
          <w:szCs w:val="21"/>
        </w:rPr>
        <w:t xml:space="preserve"> using the MG based-aptasensor</w:t>
      </w:r>
    </w:p>
    <w:bookmarkEnd w:id="1"/>
    <w:tbl>
      <w:tblPr>
        <w:tblStyle w:val="5"/>
        <w:tblW w:w="0" w:type="auto"/>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1525"/>
        <w:gridCol w:w="1045"/>
        <w:gridCol w:w="1181"/>
        <w:gridCol w:w="1181"/>
        <w:gridCol w:w="1543"/>
        <w:gridCol w:w="1805"/>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525" w:type="dxa"/>
          </w:tcPr>
          <w:p>
            <w:pPr>
              <w:spacing w:line="360" w:lineRule="auto"/>
              <w:rPr>
                <w:rFonts w:ascii="Times New Roman" w:hAnsi="Times New Roman" w:cs="Times New Roman"/>
              </w:rPr>
            </w:pPr>
          </w:p>
        </w:tc>
        <w:tc>
          <w:tcPr>
            <w:tcW w:w="1045" w:type="dxa"/>
          </w:tcPr>
          <w:p>
            <w:pPr>
              <w:spacing w:line="360" w:lineRule="auto"/>
              <w:rPr>
                <w:rFonts w:ascii="Times New Roman" w:hAnsi="Times New Roman" w:cs="Times New Roman"/>
              </w:rPr>
            </w:pPr>
            <w:r>
              <w:rPr>
                <w:rFonts w:ascii="Times New Roman" w:hAnsi="Times New Roman" w:cs="Times New Roman"/>
              </w:rPr>
              <w:t xml:space="preserve">Measured </w:t>
            </w:r>
          </w:p>
        </w:tc>
        <w:tc>
          <w:tcPr>
            <w:tcW w:w="1181" w:type="dxa"/>
          </w:tcPr>
          <w:p>
            <w:pPr>
              <w:spacing w:line="360" w:lineRule="auto"/>
              <w:rPr>
                <w:rFonts w:ascii="Times New Roman" w:hAnsi="Times New Roman" w:cs="Times New Roman"/>
              </w:rPr>
            </w:pPr>
            <w:r>
              <w:rPr>
                <w:rFonts w:ascii="Times New Roman" w:hAnsi="Times New Roman" w:cs="Times New Roman"/>
              </w:rPr>
              <w:t xml:space="preserve">Added </w:t>
            </w:r>
          </w:p>
        </w:tc>
        <w:tc>
          <w:tcPr>
            <w:tcW w:w="1181" w:type="dxa"/>
          </w:tcPr>
          <w:p>
            <w:pPr>
              <w:spacing w:line="360" w:lineRule="auto"/>
              <w:rPr>
                <w:rFonts w:ascii="Times New Roman" w:hAnsi="Times New Roman" w:cs="Times New Roman"/>
              </w:rPr>
            </w:pPr>
            <w:r>
              <w:rPr>
                <w:rFonts w:ascii="Times New Roman" w:hAnsi="Times New Roman" w:cs="Times New Roman"/>
              </w:rPr>
              <w:t xml:space="preserve">Found </w:t>
            </w:r>
          </w:p>
        </w:tc>
        <w:tc>
          <w:tcPr>
            <w:tcW w:w="1543" w:type="dxa"/>
          </w:tcPr>
          <w:p>
            <w:pPr>
              <w:spacing w:line="360" w:lineRule="auto"/>
              <w:rPr>
                <w:rFonts w:ascii="Times New Roman" w:hAnsi="Times New Roman" w:cs="Times New Roman"/>
              </w:rPr>
            </w:pPr>
            <w:r>
              <w:rPr>
                <w:rFonts w:ascii="Times New Roman" w:hAnsi="Times New Roman" w:cs="Times New Roman"/>
              </w:rPr>
              <w:t xml:space="preserve">Recovery (%) </w:t>
            </w:r>
          </w:p>
        </w:tc>
        <w:tc>
          <w:tcPr>
            <w:tcW w:w="1805" w:type="dxa"/>
          </w:tcPr>
          <w:p>
            <w:pPr>
              <w:spacing w:line="360" w:lineRule="auto"/>
              <w:rPr>
                <w:rFonts w:ascii="Times New Roman" w:hAnsi="Times New Roman" w:cs="Times New Roman"/>
              </w:rPr>
            </w:pPr>
            <w:r>
              <w:rPr>
                <w:rFonts w:ascii="Times New Roman" w:hAnsi="Times New Roman" w:cs="Times New Roman"/>
              </w:rPr>
              <w:t>RSD (n = 3, %)</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86" w:hRule="atLeast"/>
        </w:trPr>
        <w:tc>
          <w:tcPr>
            <w:tcW w:w="1525" w:type="dxa"/>
            <w:vMerge w:val="restart"/>
          </w:tcPr>
          <w:p>
            <w:pPr>
              <w:spacing w:line="360" w:lineRule="auto"/>
              <w:rPr>
                <w:rFonts w:ascii="Times New Roman" w:hAnsi="Times New Roman" w:cs="Times New Roman"/>
              </w:rPr>
            </w:pPr>
            <w:r>
              <w:rPr>
                <w:rFonts w:hint="eastAsia" w:ascii="Times New Roman" w:hAnsi="Times New Roman" w:cs="Times New Roman"/>
              </w:rPr>
              <w:t>a</w:t>
            </w:r>
            <w:r>
              <w:rPr>
                <w:rFonts w:ascii="Times New Roman" w:hAnsi="Times New Roman" w:cs="Times New Roman"/>
              </w:rPr>
              <w:t>cetamiprid</w:t>
            </w:r>
          </w:p>
        </w:tc>
        <w:tc>
          <w:tcPr>
            <w:tcW w:w="1045" w:type="dxa"/>
          </w:tcPr>
          <w:p>
            <w:pPr>
              <w:spacing w:line="360" w:lineRule="auto"/>
              <w:rPr>
                <w:rFonts w:ascii="Times New Roman" w:hAnsi="Times New Roman" w:cs="Times New Roman"/>
              </w:rPr>
            </w:pPr>
            <w:r>
              <w:rPr>
                <w:rFonts w:hint="eastAsia" w:ascii="Times New Roman" w:hAnsi="Times New Roman" w:cs="Times New Roman"/>
              </w:rPr>
              <w:t>0</w:t>
            </w:r>
            <w:r>
              <w:rPr>
                <w:rFonts w:ascii="Times New Roman" w:hAnsi="Times New Roman" w:cs="Times New Roman"/>
              </w:rPr>
              <w:t>.18</w:t>
            </w:r>
          </w:p>
        </w:tc>
        <w:tc>
          <w:tcPr>
            <w:tcW w:w="1181" w:type="dxa"/>
          </w:tcPr>
          <w:p>
            <w:pPr>
              <w:spacing w:line="360" w:lineRule="auto"/>
              <w:rPr>
                <w:rFonts w:ascii="Times New Roman" w:hAnsi="Times New Roman" w:cs="Times New Roman"/>
              </w:rPr>
            </w:pPr>
            <w:r>
              <w:rPr>
                <w:rFonts w:ascii="Times New Roman" w:hAnsi="Times New Roman" w:cs="Times New Roman"/>
              </w:rPr>
              <w:t>0.2 μg/L</w:t>
            </w:r>
          </w:p>
        </w:tc>
        <w:tc>
          <w:tcPr>
            <w:tcW w:w="1181" w:type="dxa"/>
          </w:tcPr>
          <w:p>
            <w:pPr>
              <w:spacing w:line="360" w:lineRule="auto"/>
              <w:rPr>
                <w:rFonts w:ascii="Times New Roman" w:hAnsi="Times New Roman" w:cs="Times New Roman"/>
              </w:rPr>
            </w:pPr>
          </w:p>
        </w:tc>
        <w:tc>
          <w:tcPr>
            <w:tcW w:w="1543" w:type="dxa"/>
          </w:tcPr>
          <w:p>
            <w:pPr>
              <w:spacing w:line="360" w:lineRule="auto"/>
              <w:rPr>
                <w:rFonts w:ascii="Times New Roman" w:hAnsi="Times New Roman" w:cs="Times New Roman"/>
              </w:rPr>
            </w:pPr>
            <w:r>
              <w:rPr>
                <w:rFonts w:hint="eastAsia" w:ascii="Times New Roman" w:hAnsi="Times New Roman" w:cs="Times New Roman"/>
              </w:rPr>
              <w:t>9</w:t>
            </w:r>
            <w:r>
              <w:rPr>
                <w:rFonts w:ascii="Times New Roman" w:hAnsi="Times New Roman" w:cs="Times New Roman"/>
              </w:rPr>
              <w:t>8</w:t>
            </w:r>
          </w:p>
        </w:tc>
        <w:tc>
          <w:tcPr>
            <w:tcW w:w="1805" w:type="dxa"/>
          </w:tcPr>
          <w:p>
            <w:pPr>
              <w:spacing w:line="360" w:lineRule="auto"/>
              <w:rPr>
                <w:rFonts w:ascii="Times New Roman" w:hAnsi="Times New Roman" w:cs="Times New Roman"/>
              </w:rPr>
            </w:pPr>
            <w:r>
              <w:rPr>
                <w:rFonts w:hint="eastAsia" w:ascii="Times New Roman" w:hAnsi="Times New Roman" w:cs="Times New Roman"/>
              </w:rPr>
              <w:t>6</w:t>
            </w:r>
            <w:r>
              <w:rPr>
                <w:rFonts w:ascii="Times New Roman" w:hAnsi="Times New Roman" w:cs="Times New Roman"/>
              </w:rPr>
              <w:t>.9</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86" w:hRule="atLeast"/>
        </w:trPr>
        <w:tc>
          <w:tcPr>
            <w:tcW w:w="1525" w:type="dxa"/>
            <w:vMerge w:val="continue"/>
          </w:tcPr>
          <w:p>
            <w:pPr>
              <w:spacing w:line="360" w:lineRule="auto"/>
              <w:rPr>
                <w:rFonts w:ascii="Times New Roman" w:hAnsi="Times New Roman" w:cs="Times New Roman"/>
              </w:rPr>
            </w:pPr>
          </w:p>
        </w:tc>
        <w:tc>
          <w:tcPr>
            <w:tcW w:w="1045" w:type="dxa"/>
          </w:tcPr>
          <w:p>
            <w:pPr>
              <w:spacing w:line="360" w:lineRule="auto"/>
              <w:rPr>
                <w:rFonts w:ascii="Times New Roman" w:hAnsi="Times New Roman" w:cs="Times New Roman"/>
              </w:rPr>
            </w:pPr>
          </w:p>
        </w:tc>
        <w:tc>
          <w:tcPr>
            <w:tcW w:w="1181" w:type="dxa"/>
          </w:tcPr>
          <w:p>
            <w:pPr>
              <w:spacing w:line="360" w:lineRule="auto"/>
              <w:rPr>
                <w:rFonts w:ascii="Times New Roman" w:hAnsi="Times New Roman" w:cs="Times New Roman"/>
              </w:rPr>
            </w:pPr>
            <w:r>
              <w:rPr>
                <w:rFonts w:ascii="Times New Roman" w:hAnsi="Times New Roman" w:cs="Times New Roman"/>
              </w:rPr>
              <w:t>0.4 μg/L</w:t>
            </w:r>
          </w:p>
        </w:tc>
        <w:tc>
          <w:tcPr>
            <w:tcW w:w="1181" w:type="dxa"/>
          </w:tcPr>
          <w:p>
            <w:pPr>
              <w:spacing w:line="360" w:lineRule="auto"/>
              <w:rPr>
                <w:rFonts w:ascii="Times New Roman" w:hAnsi="Times New Roman" w:cs="Times New Roman"/>
              </w:rPr>
            </w:pPr>
          </w:p>
        </w:tc>
        <w:tc>
          <w:tcPr>
            <w:tcW w:w="1543" w:type="dxa"/>
          </w:tcPr>
          <w:p>
            <w:pPr>
              <w:spacing w:line="360" w:lineRule="auto"/>
              <w:rPr>
                <w:rFonts w:ascii="Times New Roman" w:hAnsi="Times New Roman" w:cs="Times New Roman"/>
              </w:rPr>
            </w:pPr>
            <w:r>
              <w:rPr>
                <w:rFonts w:hint="eastAsia" w:ascii="Times New Roman" w:hAnsi="Times New Roman" w:cs="Times New Roman"/>
              </w:rPr>
              <w:t>9</w:t>
            </w:r>
            <w:r>
              <w:rPr>
                <w:rFonts w:ascii="Times New Roman" w:hAnsi="Times New Roman" w:cs="Times New Roman"/>
              </w:rPr>
              <w:t>3</w:t>
            </w:r>
          </w:p>
        </w:tc>
        <w:tc>
          <w:tcPr>
            <w:tcW w:w="1805" w:type="dxa"/>
          </w:tcPr>
          <w:p>
            <w:pPr>
              <w:spacing w:line="360" w:lineRule="auto"/>
              <w:rPr>
                <w:rFonts w:ascii="Times New Roman" w:hAnsi="Times New Roman" w:cs="Times New Roman"/>
              </w:rPr>
            </w:pPr>
            <w:r>
              <w:rPr>
                <w:rFonts w:hint="eastAsia" w:ascii="Times New Roman" w:hAnsi="Times New Roman" w:cs="Times New Roman"/>
              </w:rPr>
              <w:t>8</w:t>
            </w:r>
            <w:r>
              <w:rPr>
                <w:rFonts w:ascii="Times New Roman" w:hAnsi="Times New Roman" w:cs="Times New Roman"/>
              </w:rPr>
              <w:t>.1</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86" w:hRule="atLeast"/>
        </w:trPr>
        <w:tc>
          <w:tcPr>
            <w:tcW w:w="1525" w:type="dxa"/>
            <w:vMerge w:val="continue"/>
          </w:tcPr>
          <w:p>
            <w:pPr>
              <w:spacing w:line="360" w:lineRule="auto"/>
              <w:rPr>
                <w:rFonts w:ascii="Times New Roman" w:hAnsi="Times New Roman" w:cs="Times New Roman"/>
              </w:rPr>
            </w:pPr>
          </w:p>
        </w:tc>
        <w:tc>
          <w:tcPr>
            <w:tcW w:w="1045" w:type="dxa"/>
          </w:tcPr>
          <w:p>
            <w:pPr>
              <w:spacing w:line="360" w:lineRule="auto"/>
              <w:rPr>
                <w:rFonts w:ascii="Times New Roman" w:hAnsi="Times New Roman" w:cs="Times New Roman"/>
              </w:rPr>
            </w:pPr>
          </w:p>
        </w:tc>
        <w:tc>
          <w:tcPr>
            <w:tcW w:w="1181" w:type="dxa"/>
          </w:tcPr>
          <w:p>
            <w:pPr>
              <w:spacing w:line="360" w:lineRule="auto"/>
              <w:rPr>
                <w:rFonts w:ascii="Times New Roman" w:hAnsi="Times New Roman" w:cs="Times New Roman"/>
              </w:rPr>
            </w:pPr>
            <w:r>
              <w:rPr>
                <w:rFonts w:ascii="Times New Roman" w:hAnsi="Times New Roman" w:cs="Times New Roman"/>
              </w:rPr>
              <w:t>0.6 μg/L</w:t>
            </w:r>
          </w:p>
        </w:tc>
        <w:tc>
          <w:tcPr>
            <w:tcW w:w="1181" w:type="dxa"/>
          </w:tcPr>
          <w:p>
            <w:pPr>
              <w:spacing w:line="360" w:lineRule="auto"/>
              <w:rPr>
                <w:rFonts w:ascii="Times New Roman" w:hAnsi="Times New Roman" w:cs="Times New Roman"/>
              </w:rPr>
            </w:pPr>
          </w:p>
        </w:tc>
        <w:tc>
          <w:tcPr>
            <w:tcW w:w="1543" w:type="dxa"/>
          </w:tcPr>
          <w:p>
            <w:pPr>
              <w:spacing w:line="360" w:lineRule="auto"/>
              <w:rPr>
                <w:rFonts w:ascii="Times New Roman" w:hAnsi="Times New Roman" w:cs="Times New Roman"/>
              </w:rPr>
            </w:pPr>
            <w:r>
              <w:rPr>
                <w:rFonts w:hint="eastAsia" w:ascii="Times New Roman" w:hAnsi="Times New Roman" w:cs="Times New Roman"/>
              </w:rPr>
              <w:t>9</w:t>
            </w:r>
            <w:r>
              <w:rPr>
                <w:rFonts w:ascii="Times New Roman" w:hAnsi="Times New Roman" w:cs="Times New Roman"/>
              </w:rPr>
              <w:t>0</w:t>
            </w:r>
          </w:p>
        </w:tc>
        <w:tc>
          <w:tcPr>
            <w:tcW w:w="1805" w:type="dxa"/>
          </w:tcPr>
          <w:p>
            <w:pPr>
              <w:spacing w:line="360" w:lineRule="auto"/>
              <w:rPr>
                <w:rFonts w:ascii="Times New Roman" w:hAnsi="Times New Roman" w:cs="Times New Roman"/>
              </w:rPr>
            </w:pPr>
            <w:r>
              <w:rPr>
                <w:rFonts w:hint="eastAsia" w:ascii="Times New Roman" w:hAnsi="Times New Roman" w:cs="Times New Roman"/>
              </w:rPr>
              <w:t>4</w:t>
            </w:r>
            <w:r>
              <w:rPr>
                <w:rFonts w:ascii="Times New Roman" w:hAnsi="Times New Roman" w:cs="Times New Roman"/>
              </w:rPr>
              <w:t>.3</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86" w:hRule="atLeast"/>
        </w:trPr>
        <w:tc>
          <w:tcPr>
            <w:tcW w:w="1525" w:type="dxa"/>
            <w:vMerge w:val="restart"/>
          </w:tcPr>
          <w:p>
            <w:pPr>
              <w:spacing w:line="360" w:lineRule="auto"/>
              <w:rPr>
                <w:rFonts w:ascii="Times New Roman" w:hAnsi="Times New Roman" w:cs="Times New Roman"/>
              </w:rPr>
            </w:pPr>
            <w:r>
              <w:rPr>
                <w:rFonts w:hint="eastAsia" w:ascii="Times New Roman" w:hAnsi="Times New Roman" w:cs="Times New Roman"/>
              </w:rPr>
              <w:t>t</w:t>
            </w:r>
            <w:r>
              <w:rPr>
                <w:rFonts w:ascii="Times New Roman" w:hAnsi="Times New Roman" w:cs="Times New Roman"/>
              </w:rPr>
              <w:t>hrombin</w:t>
            </w:r>
          </w:p>
        </w:tc>
        <w:tc>
          <w:tcPr>
            <w:tcW w:w="1045" w:type="dxa"/>
          </w:tcPr>
          <w:p>
            <w:pPr>
              <w:spacing w:line="360" w:lineRule="auto"/>
              <w:rPr>
                <w:rFonts w:ascii="Times New Roman" w:hAnsi="Times New Roman" w:cs="Times New Roman"/>
              </w:rPr>
            </w:pPr>
            <w:r>
              <w:rPr>
                <w:rFonts w:hint="eastAsia" w:ascii="Times New Roman" w:hAnsi="Times New Roman" w:cs="Times New Roman"/>
              </w:rPr>
              <w:t>-</w:t>
            </w:r>
          </w:p>
        </w:tc>
        <w:tc>
          <w:tcPr>
            <w:tcW w:w="1181" w:type="dxa"/>
          </w:tcPr>
          <w:p>
            <w:pPr>
              <w:spacing w:line="360" w:lineRule="auto"/>
              <w:rPr>
                <w:rFonts w:ascii="Times New Roman" w:hAnsi="Times New Roman" w:cs="Times New Roman"/>
              </w:rPr>
            </w:pPr>
            <w:r>
              <w:rPr>
                <w:rFonts w:ascii="Times New Roman" w:hAnsi="Times New Roman" w:cs="Times New Roman"/>
              </w:rPr>
              <w:t>100 nM</w:t>
            </w:r>
          </w:p>
        </w:tc>
        <w:tc>
          <w:tcPr>
            <w:tcW w:w="1181" w:type="dxa"/>
          </w:tcPr>
          <w:p>
            <w:pPr>
              <w:spacing w:line="360" w:lineRule="auto"/>
              <w:rPr>
                <w:rFonts w:ascii="Times New Roman" w:hAnsi="Times New Roman" w:cs="Times New Roman"/>
              </w:rPr>
            </w:pPr>
          </w:p>
        </w:tc>
        <w:tc>
          <w:tcPr>
            <w:tcW w:w="1543" w:type="dxa"/>
          </w:tcPr>
          <w:p>
            <w:pPr>
              <w:spacing w:line="360" w:lineRule="auto"/>
              <w:rPr>
                <w:rFonts w:ascii="Times New Roman" w:hAnsi="Times New Roman" w:cs="Times New Roman"/>
              </w:rPr>
            </w:pPr>
            <w:r>
              <w:rPr>
                <w:rFonts w:hint="eastAsia" w:ascii="Times New Roman" w:hAnsi="Times New Roman" w:cs="Times New Roman"/>
              </w:rPr>
              <w:t>8</w:t>
            </w:r>
            <w:r>
              <w:rPr>
                <w:rFonts w:ascii="Times New Roman" w:hAnsi="Times New Roman" w:cs="Times New Roman"/>
              </w:rPr>
              <w:t>1</w:t>
            </w:r>
          </w:p>
        </w:tc>
        <w:tc>
          <w:tcPr>
            <w:tcW w:w="1805" w:type="dxa"/>
          </w:tcPr>
          <w:p>
            <w:pPr>
              <w:spacing w:line="360" w:lineRule="auto"/>
              <w:rPr>
                <w:rFonts w:ascii="Times New Roman" w:hAnsi="Times New Roman" w:cs="Times New Roman"/>
              </w:rPr>
            </w:pPr>
            <w:r>
              <w:rPr>
                <w:rFonts w:hint="eastAsia" w:ascii="Times New Roman" w:hAnsi="Times New Roman" w:cs="Times New Roman"/>
              </w:rPr>
              <w:t>5</w:t>
            </w:r>
            <w:r>
              <w:rPr>
                <w:rFonts w:ascii="Times New Roman" w:hAnsi="Times New Roman" w:cs="Times New Roman"/>
              </w:rPr>
              <w:t>.5</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86" w:hRule="atLeast"/>
        </w:trPr>
        <w:tc>
          <w:tcPr>
            <w:tcW w:w="1525" w:type="dxa"/>
            <w:vMerge w:val="continue"/>
          </w:tcPr>
          <w:p>
            <w:pPr>
              <w:spacing w:line="360" w:lineRule="auto"/>
              <w:rPr>
                <w:rFonts w:ascii="Times New Roman" w:hAnsi="Times New Roman" w:cs="Times New Roman"/>
              </w:rPr>
            </w:pPr>
          </w:p>
        </w:tc>
        <w:tc>
          <w:tcPr>
            <w:tcW w:w="1045" w:type="dxa"/>
          </w:tcPr>
          <w:p>
            <w:pPr>
              <w:spacing w:line="360" w:lineRule="auto"/>
              <w:rPr>
                <w:rFonts w:ascii="Times New Roman" w:hAnsi="Times New Roman" w:cs="Times New Roman"/>
              </w:rPr>
            </w:pPr>
            <w:r>
              <w:rPr>
                <w:rFonts w:hint="eastAsia" w:ascii="Times New Roman" w:hAnsi="Times New Roman" w:cs="Times New Roman"/>
              </w:rPr>
              <w:t>-</w:t>
            </w:r>
          </w:p>
        </w:tc>
        <w:tc>
          <w:tcPr>
            <w:tcW w:w="1181" w:type="dxa"/>
          </w:tcPr>
          <w:p>
            <w:pPr>
              <w:spacing w:line="360" w:lineRule="auto"/>
              <w:rPr>
                <w:rFonts w:ascii="Times New Roman" w:hAnsi="Times New Roman" w:cs="Times New Roman"/>
              </w:rPr>
            </w:pPr>
            <w:r>
              <w:rPr>
                <w:rFonts w:ascii="Times New Roman" w:hAnsi="Times New Roman" w:cs="Times New Roman"/>
              </w:rPr>
              <w:t>200 nM</w:t>
            </w:r>
          </w:p>
        </w:tc>
        <w:tc>
          <w:tcPr>
            <w:tcW w:w="1181" w:type="dxa"/>
          </w:tcPr>
          <w:p>
            <w:pPr>
              <w:spacing w:line="360" w:lineRule="auto"/>
              <w:rPr>
                <w:rFonts w:ascii="Times New Roman" w:hAnsi="Times New Roman" w:cs="Times New Roman"/>
              </w:rPr>
            </w:pPr>
          </w:p>
        </w:tc>
        <w:tc>
          <w:tcPr>
            <w:tcW w:w="1543" w:type="dxa"/>
          </w:tcPr>
          <w:p>
            <w:pPr>
              <w:spacing w:line="360" w:lineRule="auto"/>
              <w:rPr>
                <w:rFonts w:ascii="Times New Roman" w:hAnsi="Times New Roman" w:cs="Times New Roman"/>
              </w:rPr>
            </w:pPr>
            <w:r>
              <w:rPr>
                <w:rFonts w:hint="eastAsia" w:ascii="Times New Roman" w:hAnsi="Times New Roman" w:cs="Times New Roman"/>
              </w:rPr>
              <w:t>8</w:t>
            </w:r>
            <w:r>
              <w:rPr>
                <w:rFonts w:ascii="Times New Roman" w:hAnsi="Times New Roman" w:cs="Times New Roman"/>
              </w:rPr>
              <w:t>7</w:t>
            </w:r>
          </w:p>
        </w:tc>
        <w:tc>
          <w:tcPr>
            <w:tcW w:w="1805" w:type="dxa"/>
          </w:tcPr>
          <w:p>
            <w:pPr>
              <w:spacing w:line="360" w:lineRule="auto"/>
              <w:rPr>
                <w:rFonts w:ascii="Times New Roman" w:hAnsi="Times New Roman" w:cs="Times New Roman"/>
              </w:rPr>
            </w:pPr>
            <w:r>
              <w:rPr>
                <w:rFonts w:hint="eastAsia" w:ascii="Times New Roman" w:hAnsi="Times New Roman" w:cs="Times New Roman"/>
              </w:rPr>
              <w:t>7</w:t>
            </w:r>
            <w:r>
              <w:rPr>
                <w:rFonts w:ascii="Times New Roman" w:hAnsi="Times New Roman" w:cs="Times New Roman"/>
              </w:rPr>
              <w:t>.8</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86" w:hRule="atLeast"/>
        </w:trPr>
        <w:tc>
          <w:tcPr>
            <w:tcW w:w="1525" w:type="dxa"/>
            <w:vMerge w:val="continue"/>
          </w:tcPr>
          <w:p>
            <w:pPr>
              <w:spacing w:line="360" w:lineRule="auto"/>
              <w:rPr>
                <w:rFonts w:ascii="Times New Roman" w:hAnsi="Times New Roman" w:cs="Times New Roman"/>
              </w:rPr>
            </w:pPr>
          </w:p>
        </w:tc>
        <w:tc>
          <w:tcPr>
            <w:tcW w:w="1045" w:type="dxa"/>
          </w:tcPr>
          <w:p>
            <w:pPr>
              <w:spacing w:line="360" w:lineRule="auto"/>
              <w:rPr>
                <w:rFonts w:ascii="Times New Roman" w:hAnsi="Times New Roman" w:cs="Times New Roman"/>
              </w:rPr>
            </w:pPr>
            <w:r>
              <w:rPr>
                <w:rFonts w:hint="eastAsia" w:ascii="Times New Roman" w:hAnsi="Times New Roman" w:cs="Times New Roman"/>
              </w:rPr>
              <w:t>-</w:t>
            </w:r>
          </w:p>
        </w:tc>
        <w:tc>
          <w:tcPr>
            <w:tcW w:w="1181" w:type="dxa"/>
          </w:tcPr>
          <w:p>
            <w:pPr>
              <w:spacing w:line="360" w:lineRule="auto"/>
              <w:rPr>
                <w:rFonts w:ascii="Times New Roman" w:hAnsi="Times New Roman" w:cs="Times New Roman"/>
              </w:rPr>
            </w:pPr>
            <w:r>
              <w:rPr>
                <w:rFonts w:ascii="Times New Roman" w:hAnsi="Times New Roman" w:cs="Times New Roman"/>
              </w:rPr>
              <w:t>300 nM</w:t>
            </w:r>
          </w:p>
        </w:tc>
        <w:tc>
          <w:tcPr>
            <w:tcW w:w="1181" w:type="dxa"/>
          </w:tcPr>
          <w:p>
            <w:pPr>
              <w:spacing w:line="360" w:lineRule="auto"/>
              <w:rPr>
                <w:rFonts w:ascii="Times New Roman" w:hAnsi="Times New Roman" w:cs="Times New Roman"/>
              </w:rPr>
            </w:pPr>
          </w:p>
        </w:tc>
        <w:tc>
          <w:tcPr>
            <w:tcW w:w="1543" w:type="dxa"/>
          </w:tcPr>
          <w:p>
            <w:pPr>
              <w:spacing w:line="360" w:lineRule="auto"/>
              <w:rPr>
                <w:rFonts w:ascii="Times New Roman" w:hAnsi="Times New Roman" w:cs="Times New Roman"/>
              </w:rPr>
            </w:pPr>
            <w:r>
              <w:rPr>
                <w:rFonts w:hint="eastAsia" w:ascii="Times New Roman" w:hAnsi="Times New Roman" w:cs="Times New Roman"/>
              </w:rPr>
              <w:t>8</w:t>
            </w:r>
            <w:r>
              <w:rPr>
                <w:rFonts w:ascii="Times New Roman" w:hAnsi="Times New Roman" w:cs="Times New Roman"/>
              </w:rPr>
              <w:t>6</w:t>
            </w:r>
          </w:p>
        </w:tc>
        <w:tc>
          <w:tcPr>
            <w:tcW w:w="1805" w:type="dxa"/>
          </w:tcPr>
          <w:p>
            <w:pPr>
              <w:spacing w:line="360" w:lineRule="auto"/>
              <w:rPr>
                <w:rFonts w:ascii="Times New Roman" w:hAnsi="Times New Roman" w:cs="Times New Roman"/>
              </w:rPr>
            </w:pPr>
            <w:r>
              <w:rPr>
                <w:rFonts w:hint="eastAsia" w:ascii="Times New Roman" w:hAnsi="Times New Roman" w:cs="Times New Roman"/>
              </w:rPr>
              <w:t>9</w:t>
            </w:r>
            <w:r>
              <w:rPr>
                <w:rFonts w:ascii="Times New Roman" w:hAnsi="Times New Roman" w:cs="Times New Roman"/>
              </w:rPr>
              <w:t>.2</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c5NzEwNDEyYTg0MWMxZmE3NmYxNTYwZTgwMTEyNWIifQ=="/>
  </w:docVars>
  <w:rsids>
    <w:rsidRoot w:val="007F79B2"/>
    <w:rsid w:val="00081FF5"/>
    <w:rsid w:val="00087AA3"/>
    <w:rsid w:val="000A52B0"/>
    <w:rsid w:val="000B50B9"/>
    <w:rsid w:val="00123723"/>
    <w:rsid w:val="00131DDA"/>
    <w:rsid w:val="00181004"/>
    <w:rsid w:val="001C1F6D"/>
    <w:rsid w:val="001D61E3"/>
    <w:rsid w:val="002102AD"/>
    <w:rsid w:val="00221505"/>
    <w:rsid w:val="0027514A"/>
    <w:rsid w:val="002A4B79"/>
    <w:rsid w:val="002C2EB6"/>
    <w:rsid w:val="002E1A77"/>
    <w:rsid w:val="00355D0F"/>
    <w:rsid w:val="00465041"/>
    <w:rsid w:val="004D0DA3"/>
    <w:rsid w:val="004D5D5D"/>
    <w:rsid w:val="004D7474"/>
    <w:rsid w:val="004E2F92"/>
    <w:rsid w:val="004E5981"/>
    <w:rsid w:val="00563CBF"/>
    <w:rsid w:val="00573DD1"/>
    <w:rsid w:val="005A2ECA"/>
    <w:rsid w:val="005F52DF"/>
    <w:rsid w:val="006004F1"/>
    <w:rsid w:val="00624B41"/>
    <w:rsid w:val="00665729"/>
    <w:rsid w:val="00672610"/>
    <w:rsid w:val="00706A73"/>
    <w:rsid w:val="00712142"/>
    <w:rsid w:val="00767143"/>
    <w:rsid w:val="00775369"/>
    <w:rsid w:val="007E2F73"/>
    <w:rsid w:val="007F79B2"/>
    <w:rsid w:val="008037D3"/>
    <w:rsid w:val="00867756"/>
    <w:rsid w:val="008715E3"/>
    <w:rsid w:val="00894BB8"/>
    <w:rsid w:val="008A4837"/>
    <w:rsid w:val="008D3C83"/>
    <w:rsid w:val="008E0E15"/>
    <w:rsid w:val="00967B99"/>
    <w:rsid w:val="009F3FD7"/>
    <w:rsid w:val="00B94B83"/>
    <w:rsid w:val="00BA4D13"/>
    <w:rsid w:val="00C010CE"/>
    <w:rsid w:val="00C17610"/>
    <w:rsid w:val="00C30B25"/>
    <w:rsid w:val="00C444BE"/>
    <w:rsid w:val="00C451BA"/>
    <w:rsid w:val="00C73E1B"/>
    <w:rsid w:val="00CB0609"/>
    <w:rsid w:val="00CD7B31"/>
    <w:rsid w:val="00D46E30"/>
    <w:rsid w:val="00E12F0E"/>
    <w:rsid w:val="00E252B8"/>
    <w:rsid w:val="00E61243"/>
    <w:rsid w:val="00EA15EB"/>
    <w:rsid w:val="00EA224D"/>
    <w:rsid w:val="00EF162D"/>
    <w:rsid w:val="00EF370B"/>
    <w:rsid w:val="00EF7947"/>
    <w:rsid w:val="00F16FA5"/>
    <w:rsid w:val="00F65D79"/>
    <w:rsid w:val="00F92FBD"/>
    <w:rsid w:val="00FB198D"/>
    <w:rsid w:val="00FC3066"/>
    <w:rsid w:val="00FD188A"/>
    <w:rsid w:val="065D7A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页眉 字符"/>
    <w:basedOn w:val="6"/>
    <w:link w:val="3"/>
    <w:qFormat/>
    <w:uiPriority w:val="99"/>
    <w:rPr>
      <w:sz w:val="18"/>
      <w:szCs w:val="18"/>
    </w:rPr>
  </w:style>
  <w:style w:type="character" w:customStyle="1" w:styleId="8">
    <w:name w:val="页脚 字符"/>
    <w:basedOn w:val="6"/>
    <w:link w:val="2"/>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tiff"/><Relationship Id="rId11" Type="http://schemas.openxmlformats.org/officeDocument/2006/relationships/image" Target="media/image8.tiff"/><Relationship Id="rId10" Type="http://schemas.openxmlformats.org/officeDocument/2006/relationships/image" Target="media/image7.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495</Words>
  <Characters>2538</Characters>
  <Lines>22</Lines>
  <Paragraphs>6</Paragraphs>
  <TotalTime>1</TotalTime>
  <ScaleCrop>false</ScaleCrop>
  <LinksUpToDate>false</LinksUpToDate>
  <CharactersWithSpaces>3001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2022-08-17T06:57:00Z</dcterms:created>
  <dc:creator>Administrator</dc:creator>
  <cp:lastModifiedBy>jz</cp:lastModifiedBy>
  <dcterms:modified xsi:type="dcterms:W3CDTF">2023-02-18T07:19:18Z</dcterms:modified>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EBF794EC1AAF472C90D70741D8B07EFA</vt:lpwstr>
  </property>
</Properties>
</file>