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C45A" w14:textId="77EFEFB5" w:rsidR="00A904AF" w:rsidRDefault="00A904AF" w:rsidP="00A904AF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  <w:r w:rsidRPr="005A3037">
        <w:rPr>
          <w:rFonts w:ascii="Times New Roman" w:hAnsi="Times New Roman" w:cs="Times New Roman"/>
          <w:b/>
          <w:bCs/>
          <w:szCs w:val="21"/>
        </w:rPr>
        <w:t>Supplementary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="005A3761">
        <w:rPr>
          <w:rFonts w:ascii="Times New Roman" w:hAnsi="Times New Roman" w:cs="Times New Roman" w:hint="eastAsia"/>
          <w:b/>
          <w:bCs/>
          <w:szCs w:val="21"/>
        </w:rPr>
        <w:t>F</w:t>
      </w:r>
      <w:r>
        <w:rPr>
          <w:rFonts w:ascii="Times New Roman" w:hAnsi="Times New Roman" w:cs="Times New Roman" w:hint="eastAsia"/>
          <w:b/>
          <w:bCs/>
          <w:szCs w:val="21"/>
        </w:rPr>
        <w:t>i</w:t>
      </w:r>
      <w:r>
        <w:rPr>
          <w:rFonts w:ascii="Times New Roman" w:hAnsi="Times New Roman" w:cs="Times New Roman"/>
          <w:b/>
          <w:bCs/>
          <w:szCs w:val="21"/>
        </w:rPr>
        <w:t>gures</w:t>
      </w:r>
    </w:p>
    <w:p w14:paraId="648A8B0F" w14:textId="77777777" w:rsidR="00A904AF" w:rsidRPr="0085061C" w:rsidRDefault="00A904AF" w:rsidP="00A904AF">
      <w:pPr>
        <w:spacing w:line="360" w:lineRule="auto"/>
        <w:jc w:val="left"/>
        <w:rPr>
          <w:rFonts w:ascii="Times New Roman" w:eastAsia="宋体" w:hAnsi="Times New Roman" w:cs="Times New Roman"/>
          <w:sz w:val="24"/>
          <w:szCs w:val="32"/>
        </w:rPr>
      </w:pPr>
    </w:p>
    <w:p w14:paraId="32059A8A" w14:textId="77777777" w:rsidR="00A904AF" w:rsidRDefault="00A904AF" w:rsidP="00A904AF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2E6E4A68" wp14:editId="582935BF">
            <wp:extent cx="3153600" cy="2170800"/>
            <wp:effectExtent l="0" t="0" r="8890" b="127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600" cy="21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65CAD" w14:textId="77777777" w:rsidR="00A904AF" w:rsidRPr="00C117BE" w:rsidRDefault="00A904AF" w:rsidP="00A904AF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OLE_LINK12"/>
      <w:r w:rsidRPr="00B64A58">
        <w:rPr>
          <w:rFonts w:ascii="Times New Roman" w:hAnsi="Times New Roman" w:cs="Times New Roman"/>
          <w:b/>
          <w:bCs/>
          <w:szCs w:val="21"/>
        </w:rPr>
        <w:t xml:space="preserve">Suppl Fig. </w:t>
      </w:r>
      <w:r w:rsidRPr="00B64A58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B64A58">
        <w:rPr>
          <w:rFonts w:ascii="Times New Roman" w:hAnsi="Times New Roman" w:cs="Times New Roman"/>
          <w:b/>
          <w:bCs/>
          <w:szCs w:val="21"/>
        </w:rPr>
        <w:instrText xml:space="preserve"> SEQ Suppl_Fig. \* ARABIC </w:instrText>
      </w:r>
      <w:r w:rsidRPr="00B64A58"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noProof/>
          <w:szCs w:val="21"/>
        </w:rPr>
        <w:t>1</w:t>
      </w:r>
      <w:r w:rsidRPr="00B64A58">
        <w:rPr>
          <w:rFonts w:ascii="Times New Roman" w:hAnsi="Times New Roman" w:cs="Times New Roman"/>
          <w:b/>
          <w:bCs/>
          <w:szCs w:val="21"/>
        </w:rPr>
        <w:fldChar w:fldCharType="end"/>
      </w:r>
      <w:bookmarkEnd w:id="0"/>
      <w:r w:rsidRPr="0085061C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Patient 17 (age 65, Gleason score 9, PSA: 8.49 ng/mL). Axial CT image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and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 xml:space="preserve">PET/CT fusion image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PET/CT (</w:t>
      </w:r>
      <w:r w:rsidRPr="00360AC2">
        <w:rPr>
          <w:rFonts w:ascii="Times New Roman" w:hAnsi="Times New Roman" w:cs="Times New Roman"/>
          <w:b/>
          <w:bCs/>
          <w:szCs w:val="21"/>
        </w:rPr>
        <w:t>a, c</w:t>
      </w:r>
      <w:r w:rsidRPr="00360AC2">
        <w:rPr>
          <w:rFonts w:ascii="Times New Roman" w:hAnsi="Times New Roman" w:cs="Times New Roman"/>
          <w:szCs w:val="21"/>
        </w:rPr>
        <w:t>) and</w:t>
      </w:r>
      <w:r>
        <w:rPr>
          <w:rFonts w:ascii="Times New Roman" w:hAnsi="Times New Roman" w:cs="Times New Roman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F-PSMA-1007 (</w:t>
      </w:r>
      <w:r w:rsidRPr="00360AC2">
        <w:rPr>
          <w:rFonts w:ascii="Times New Roman" w:hAnsi="Times New Roman" w:cs="Times New Roman"/>
          <w:b/>
          <w:bCs/>
          <w:szCs w:val="21"/>
        </w:rPr>
        <w:t>b, d</w:t>
      </w:r>
      <w:r w:rsidRPr="00360AC2">
        <w:rPr>
          <w:rFonts w:ascii="Times New Roman" w:hAnsi="Times New Roman" w:cs="Times New Roman"/>
          <w:szCs w:val="21"/>
        </w:rPr>
        <w:t xml:space="preserve">).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F-PSMA-1007 PET/CT showed multifocal prostate primary lesions (</w:t>
      </w:r>
      <w:r w:rsidRPr="00360AC2">
        <w:rPr>
          <w:rFonts w:ascii="Times New Roman" w:hAnsi="Times New Roman" w:cs="Times New Roman"/>
          <w:b/>
          <w:bCs/>
          <w:szCs w:val="21"/>
        </w:rPr>
        <w:t>d</w:t>
      </w:r>
      <w:r w:rsidRPr="00360AC2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/>
          <w:szCs w:val="21"/>
        </w:rPr>
        <w:t>,</w:t>
      </w:r>
      <w:r w:rsidRPr="00360AC2">
        <w:rPr>
          <w:rFonts w:ascii="Times New Roman" w:hAnsi="Times New Roman" w:cs="Times New Roman"/>
          <w:szCs w:val="21"/>
        </w:rPr>
        <w:t xml:space="preserve"> while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PET/CT did not (</w:t>
      </w:r>
      <w:r w:rsidRPr="00360AC2">
        <w:rPr>
          <w:rFonts w:ascii="Times New Roman" w:hAnsi="Times New Roman" w:cs="Times New Roman"/>
          <w:b/>
          <w:bCs/>
          <w:szCs w:val="21"/>
        </w:rPr>
        <w:t>c</w:t>
      </w:r>
      <w:r w:rsidRPr="00360AC2">
        <w:rPr>
          <w:rFonts w:ascii="Times New Roman" w:hAnsi="Times New Roman" w:cs="Times New Roman"/>
          <w:szCs w:val="21"/>
        </w:rPr>
        <w:t>).</w:t>
      </w:r>
    </w:p>
    <w:p w14:paraId="3B1E29B2" w14:textId="77777777" w:rsidR="00A904AF" w:rsidRPr="00EE633C" w:rsidRDefault="00A904AF" w:rsidP="00A904AF">
      <w:pPr>
        <w:rPr>
          <w:rFonts w:ascii="Times New Roman" w:hAnsi="Times New Roman" w:cs="Times New Roman"/>
          <w:sz w:val="20"/>
          <w:szCs w:val="20"/>
        </w:rPr>
      </w:pPr>
    </w:p>
    <w:p w14:paraId="0F326B22" w14:textId="77777777" w:rsidR="00A904AF" w:rsidRPr="006D4B89" w:rsidRDefault="00A904AF" w:rsidP="00A904AF">
      <w:pPr>
        <w:rPr>
          <w:rFonts w:ascii="Times New Roman" w:hAnsi="Times New Roman" w:cs="Times New Roman"/>
          <w:sz w:val="20"/>
          <w:szCs w:val="20"/>
        </w:rPr>
      </w:pPr>
    </w:p>
    <w:p w14:paraId="1C44A62F" w14:textId="77777777" w:rsidR="00A904AF" w:rsidRPr="0085061C" w:rsidRDefault="00A904AF" w:rsidP="00A904AF">
      <w:pPr>
        <w:spacing w:line="360" w:lineRule="auto"/>
        <w:jc w:val="center"/>
      </w:pPr>
      <w:r>
        <w:rPr>
          <w:rFonts w:hint="eastAsia"/>
          <w:noProof/>
        </w:rPr>
        <w:drawing>
          <wp:inline distT="0" distB="0" distL="0" distR="0" wp14:anchorId="3FFFC28B" wp14:editId="51D72663">
            <wp:extent cx="3204000" cy="226800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000" cy="22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820B5" w14:textId="77777777" w:rsidR="00A904AF" w:rsidRPr="00C117BE" w:rsidRDefault="00A904AF" w:rsidP="00A904AF">
      <w:pPr>
        <w:spacing w:line="360" w:lineRule="auto"/>
        <w:rPr>
          <w:rFonts w:ascii="Times New Roman" w:hAnsi="Times New Roman"/>
        </w:rPr>
      </w:pPr>
      <w:bookmarkStart w:id="1" w:name="_Ref100088845"/>
      <w:r w:rsidRPr="00A96050">
        <w:rPr>
          <w:rFonts w:ascii="Times New Roman" w:hAnsi="Times New Roman" w:cs="Times New Roman"/>
          <w:b/>
          <w:bCs/>
          <w:szCs w:val="21"/>
        </w:rPr>
        <w:t xml:space="preserve">Suppl Fig. </w: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A96050">
        <w:rPr>
          <w:rFonts w:ascii="Times New Roman" w:hAnsi="Times New Roman" w:cs="Times New Roman"/>
          <w:b/>
          <w:bCs/>
          <w:szCs w:val="21"/>
        </w:rPr>
        <w:instrText xml:space="preserve"> SEQ Suppl_Fig. \* ARABIC </w:instrTex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noProof/>
          <w:szCs w:val="21"/>
        </w:rPr>
        <w:t>2</w: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end"/>
      </w:r>
      <w:bookmarkEnd w:id="1"/>
      <w:r w:rsidRPr="0085061C">
        <w:rPr>
          <w:rFonts w:ascii="Times New Roman" w:hAnsi="Times New Roman" w:cs="Times New Roman" w:hint="eastAsia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Patient 25 (age 78, Gleason score 9, PSA: 5.17 ng/mL). Axial CT image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and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 xml:space="preserve">PET/CT fusion image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PET/CT (</w:t>
      </w:r>
      <w:r w:rsidRPr="00360AC2">
        <w:rPr>
          <w:rFonts w:ascii="Times New Roman" w:hAnsi="Times New Roman" w:cs="Times New Roman"/>
          <w:b/>
          <w:bCs/>
          <w:szCs w:val="21"/>
        </w:rPr>
        <w:t>a, c</w:t>
      </w:r>
      <w:r w:rsidRPr="00360AC2">
        <w:rPr>
          <w:rFonts w:ascii="Times New Roman" w:hAnsi="Times New Roman" w:cs="Times New Roman"/>
          <w:szCs w:val="21"/>
        </w:rPr>
        <w:t>) and</w:t>
      </w:r>
      <w:r>
        <w:rPr>
          <w:rFonts w:ascii="Times New Roman" w:hAnsi="Times New Roman" w:cs="Times New Roman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F-PSMA-1007 (</w:t>
      </w:r>
      <w:r w:rsidRPr="00360AC2">
        <w:rPr>
          <w:rFonts w:ascii="Times New Roman" w:hAnsi="Times New Roman" w:cs="Times New Roman"/>
          <w:b/>
          <w:bCs/>
          <w:szCs w:val="21"/>
        </w:rPr>
        <w:t>b, d</w:t>
      </w:r>
      <w:r w:rsidRPr="00360AC2">
        <w:rPr>
          <w:rFonts w:ascii="Times New Roman" w:hAnsi="Times New Roman" w:cs="Times New Roman"/>
          <w:szCs w:val="21"/>
        </w:rPr>
        <w:t>).</w:t>
      </w:r>
      <w:r w:rsidRPr="00D870B7">
        <w:rPr>
          <w:rFonts w:ascii="Times New Roman" w:hAnsi="Times New Roman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 xml:space="preserve">Abnormal increased uptake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 xml:space="preserve">F-PSMA-1007 was found in small lymph nodes in </w:t>
      </w:r>
      <w:r>
        <w:rPr>
          <w:rFonts w:ascii="Times New Roman" w:hAnsi="Times New Roman" w:cs="Times New Roman"/>
          <w:szCs w:val="21"/>
        </w:rPr>
        <w:t xml:space="preserve">the </w:t>
      </w:r>
      <w:r w:rsidRPr="00360AC2">
        <w:rPr>
          <w:rFonts w:ascii="Times New Roman" w:hAnsi="Times New Roman" w:cs="Times New Roman"/>
          <w:szCs w:val="21"/>
        </w:rPr>
        <w:t>right inguinal region (</w:t>
      </w:r>
      <w:r w:rsidRPr="00360AC2">
        <w:rPr>
          <w:rFonts w:ascii="Times New Roman" w:hAnsi="Times New Roman" w:cs="Times New Roman"/>
          <w:b/>
          <w:bCs/>
          <w:szCs w:val="21"/>
        </w:rPr>
        <w:t>d</w:t>
      </w:r>
      <w:r w:rsidRPr="00360AC2">
        <w:rPr>
          <w:rFonts w:ascii="Times New Roman" w:hAnsi="Times New Roman" w:cs="Times New Roman"/>
          <w:szCs w:val="21"/>
        </w:rPr>
        <w:t xml:space="preserve">), while no increased uptake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was found (</w:t>
      </w:r>
      <w:r w:rsidRPr="00360AC2">
        <w:rPr>
          <w:rFonts w:ascii="Times New Roman" w:hAnsi="Times New Roman" w:cs="Times New Roman"/>
          <w:b/>
          <w:bCs/>
          <w:szCs w:val="21"/>
        </w:rPr>
        <w:t>c</w:t>
      </w:r>
      <w:r w:rsidRPr="00360AC2">
        <w:rPr>
          <w:rFonts w:ascii="Times New Roman" w:hAnsi="Times New Roman" w:cs="Times New Roman"/>
          <w:szCs w:val="21"/>
        </w:rPr>
        <w:t>).</w:t>
      </w:r>
    </w:p>
    <w:p w14:paraId="1CFB8C1C" w14:textId="77777777" w:rsidR="00A904AF" w:rsidRPr="0085061C" w:rsidRDefault="00A904AF" w:rsidP="00A904AF">
      <w:pPr>
        <w:rPr>
          <w:rFonts w:ascii="Times New Roman" w:hAnsi="Times New Roman" w:cs="Times New Roman"/>
          <w:sz w:val="20"/>
          <w:szCs w:val="20"/>
        </w:rPr>
      </w:pPr>
    </w:p>
    <w:p w14:paraId="793AC52B" w14:textId="77777777" w:rsidR="00A904AF" w:rsidRPr="007D0D8E" w:rsidRDefault="00A904AF" w:rsidP="00A904AF">
      <w:pPr>
        <w:rPr>
          <w:rFonts w:ascii="Times New Roman" w:hAnsi="Times New Roman" w:cs="Times New Roman"/>
          <w:sz w:val="20"/>
          <w:szCs w:val="20"/>
        </w:rPr>
      </w:pPr>
    </w:p>
    <w:p w14:paraId="5EAAE8E6" w14:textId="77777777" w:rsidR="00A904AF" w:rsidRDefault="00A904AF" w:rsidP="00A904AF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DB59725" w14:textId="77777777" w:rsidR="00A904AF" w:rsidRPr="0085061C" w:rsidRDefault="00A904AF" w:rsidP="00A904A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lastRenderedPageBreak/>
        <w:drawing>
          <wp:inline distT="0" distB="0" distL="0" distR="0" wp14:anchorId="45E88047" wp14:editId="038DF53E">
            <wp:extent cx="3160800" cy="2307600"/>
            <wp:effectExtent l="0" t="0" r="1905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800" cy="23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44D3F" w14:textId="77777777" w:rsidR="00A904AF" w:rsidRPr="00C117BE" w:rsidRDefault="00A904AF" w:rsidP="00A904AF">
      <w:pPr>
        <w:spacing w:line="360" w:lineRule="auto"/>
        <w:rPr>
          <w:rFonts w:ascii="Times New Roman" w:hAnsi="Times New Roman" w:cs="Times New Roman"/>
          <w:szCs w:val="21"/>
        </w:rPr>
      </w:pPr>
      <w:bookmarkStart w:id="2" w:name="_Ref100088851"/>
      <w:r w:rsidRPr="00A96050">
        <w:rPr>
          <w:rFonts w:ascii="Times New Roman" w:hAnsi="Times New Roman" w:cs="Times New Roman"/>
          <w:b/>
          <w:bCs/>
          <w:szCs w:val="21"/>
        </w:rPr>
        <w:t xml:space="preserve">Suppl Fig. </w: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A96050">
        <w:rPr>
          <w:rFonts w:ascii="Times New Roman" w:hAnsi="Times New Roman" w:cs="Times New Roman"/>
          <w:b/>
          <w:bCs/>
          <w:szCs w:val="21"/>
        </w:rPr>
        <w:instrText xml:space="preserve"> SEQ Suppl_Fig. \* ARABIC </w:instrTex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separate"/>
      </w:r>
      <w:r>
        <w:rPr>
          <w:rFonts w:ascii="Times New Roman" w:hAnsi="Times New Roman" w:cs="Times New Roman"/>
          <w:b/>
          <w:bCs/>
          <w:noProof/>
          <w:szCs w:val="21"/>
        </w:rPr>
        <w:t>3</w: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end"/>
      </w:r>
      <w:bookmarkEnd w:id="2"/>
      <w:r w:rsidRPr="0085061C">
        <w:rPr>
          <w:rFonts w:ascii="Times New Roman" w:hAnsi="Times New Roman" w:cs="Times New Roman" w:hint="eastAsia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Patient 25 (age 78, Gleason score 9, PSA: 5.17 ng/mL). Axial CT image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and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 xml:space="preserve">PET/CT fusion image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PET/CT (</w:t>
      </w:r>
      <w:r w:rsidRPr="00360AC2">
        <w:rPr>
          <w:rFonts w:ascii="Times New Roman" w:hAnsi="Times New Roman" w:cs="Times New Roman"/>
          <w:b/>
          <w:bCs/>
          <w:szCs w:val="21"/>
        </w:rPr>
        <w:t>a, c</w:t>
      </w:r>
      <w:r w:rsidRPr="00360AC2">
        <w:rPr>
          <w:rFonts w:ascii="Times New Roman" w:hAnsi="Times New Roman" w:cs="Times New Roman"/>
          <w:szCs w:val="21"/>
        </w:rPr>
        <w:t>) and</w:t>
      </w:r>
      <w:r>
        <w:rPr>
          <w:rFonts w:ascii="Times New Roman" w:hAnsi="Times New Roman" w:cs="Times New Roman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F-PSMA-1007 (</w:t>
      </w:r>
      <w:r w:rsidRPr="00360AC2">
        <w:rPr>
          <w:rFonts w:ascii="Times New Roman" w:hAnsi="Times New Roman" w:cs="Times New Roman"/>
          <w:b/>
          <w:bCs/>
          <w:szCs w:val="21"/>
        </w:rPr>
        <w:t>b, d</w:t>
      </w:r>
      <w:r w:rsidRPr="00360AC2">
        <w:rPr>
          <w:rFonts w:ascii="Times New Roman" w:hAnsi="Times New Roman" w:cs="Times New Roman"/>
          <w:szCs w:val="21"/>
        </w:rPr>
        <w:t xml:space="preserve">). Abnormal increased uptake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F-PSMA-1007 was found in thoracic vertebrae 1 (</w:t>
      </w:r>
      <w:r w:rsidRPr="00360AC2">
        <w:rPr>
          <w:rFonts w:ascii="Times New Roman" w:hAnsi="Times New Roman" w:cs="Times New Roman"/>
          <w:b/>
          <w:bCs/>
          <w:szCs w:val="21"/>
        </w:rPr>
        <w:t>d</w:t>
      </w:r>
      <w:r w:rsidRPr="00360AC2">
        <w:rPr>
          <w:rFonts w:ascii="Times New Roman" w:hAnsi="Times New Roman" w:cs="Times New Roman"/>
          <w:szCs w:val="21"/>
        </w:rPr>
        <w:t xml:space="preserve">), while no increased uptake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was found (</w:t>
      </w:r>
      <w:r w:rsidRPr="00360AC2">
        <w:rPr>
          <w:rFonts w:ascii="Times New Roman" w:hAnsi="Times New Roman" w:cs="Times New Roman"/>
          <w:b/>
          <w:bCs/>
          <w:szCs w:val="21"/>
        </w:rPr>
        <w:t>c</w:t>
      </w:r>
      <w:r w:rsidRPr="00360AC2">
        <w:rPr>
          <w:rFonts w:ascii="Times New Roman" w:hAnsi="Times New Roman" w:cs="Times New Roman"/>
          <w:szCs w:val="21"/>
        </w:rPr>
        <w:t>).</w:t>
      </w:r>
    </w:p>
    <w:p w14:paraId="7AC42574" w14:textId="77777777" w:rsidR="00A904AF" w:rsidRPr="00606128" w:rsidRDefault="00A904AF" w:rsidP="00A904AF">
      <w:pPr>
        <w:rPr>
          <w:rFonts w:ascii="Times New Roman" w:hAnsi="Times New Roman" w:cs="Times New Roman"/>
          <w:szCs w:val="21"/>
        </w:rPr>
      </w:pPr>
    </w:p>
    <w:p w14:paraId="51DDBC7D" w14:textId="77777777" w:rsidR="00A904AF" w:rsidRPr="00905659" w:rsidRDefault="00A904AF" w:rsidP="00A904AF">
      <w:pPr>
        <w:rPr>
          <w:rFonts w:ascii="Times New Roman" w:hAnsi="Times New Roman" w:cs="Times New Roman"/>
          <w:szCs w:val="21"/>
        </w:rPr>
      </w:pPr>
    </w:p>
    <w:p w14:paraId="4294F03C" w14:textId="77777777" w:rsidR="00A904AF" w:rsidRDefault="00A904AF" w:rsidP="00A904A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 wp14:anchorId="78061001" wp14:editId="1BA0F751">
            <wp:extent cx="2826000" cy="2455200"/>
            <wp:effectExtent l="0" t="0" r="0" b="254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000" cy="245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10C0E" w14:textId="77777777" w:rsidR="00A904AF" w:rsidRPr="00C117BE" w:rsidRDefault="00A904AF" w:rsidP="00A904AF">
      <w:pPr>
        <w:spacing w:line="360" w:lineRule="auto"/>
        <w:rPr>
          <w:rFonts w:ascii="Times New Roman" w:hAnsi="Times New Roman" w:cs="Times New Roman"/>
          <w:szCs w:val="21"/>
        </w:rPr>
      </w:pPr>
      <w:bookmarkStart w:id="3" w:name="OLE_LINK13"/>
      <w:r w:rsidRPr="00A96050">
        <w:rPr>
          <w:rFonts w:ascii="Times New Roman" w:hAnsi="Times New Roman" w:cs="Times New Roman"/>
          <w:b/>
          <w:bCs/>
          <w:szCs w:val="21"/>
        </w:rPr>
        <w:t xml:space="preserve">Suppl Fig. </w: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A96050">
        <w:rPr>
          <w:rFonts w:ascii="Times New Roman" w:hAnsi="Times New Roman" w:cs="Times New Roman"/>
          <w:b/>
          <w:bCs/>
          <w:szCs w:val="21"/>
        </w:rPr>
        <w:instrText xml:space="preserve"> SEQ Suppl_Fig. \* ARABIC </w:instrTex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separate"/>
      </w:r>
      <w:r w:rsidRPr="00A96050">
        <w:rPr>
          <w:rFonts w:ascii="Times New Roman" w:hAnsi="Times New Roman" w:cs="Times New Roman"/>
          <w:b/>
          <w:bCs/>
          <w:noProof/>
          <w:szCs w:val="21"/>
        </w:rPr>
        <w:t>4</w:t>
      </w:r>
      <w:r w:rsidRPr="00A96050">
        <w:rPr>
          <w:rFonts w:ascii="Times New Roman" w:hAnsi="Times New Roman" w:cs="Times New Roman"/>
          <w:b/>
          <w:bCs/>
          <w:szCs w:val="21"/>
        </w:rPr>
        <w:fldChar w:fldCharType="end"/>
      </w:r>
      <w:bookmarkEnd w:id="3"/>
      <w:r>
        <w:rPr>
          <w:rFonts w:ascii="Times New Roman" w:hAnsi="Times New Roman" w:cs="Times New Roman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Patient 16 (age 83, Gleason score 9, PSA:</w:t>
      </w:r>
      <w:r w:rsidRPr="00360AC2">
        <w:rPr>
          <w:rFonts w:ascii="Times New Roman" w:eastAsia="宋体" w:hAnsi="Times New Roman" w:cs="Times New Roman"/>
          <w:szCs w:val="21"/>
        </w:rPr>
        <w:t xml:space="preserve"> 972.76</w:t>
      </w:r>
      <w:r w:rsidRPr="00360AC2">
        <w:rPr>
          <w:rFonts w:ascii="Times New Roman" w:hAnsi="Times New Roman" w:cs="Times New Roman"/>
          <w:szCs w:val="21"/>
        </w:rPr>
        <w:t xml:space="preserve"> ng/mL). Axial CT image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>and</w:t>
      </w:r>
      <w:r w:rsidRPr="00360AC2">
        <w:rPr>
          <w:rFonts w:ascii="Times New Roman" w:hAnsi="Times New Roman" w:cs="Times New Roman"/>
          <w:b/>
          <w:bCs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</w:rPr>
        <w:t xml:space="preserve">PET/CT fusion image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PET/CT (</w:t>
      </w:r>
      <w:r w:rsidRPr="00360AC2">
        <w:rPr>
          <w:rFonts w:ascii="Times New Roman" w:hAnsi="Times New Roman" w:cs="Times New Roman"/>
          <w:b/>
          <w:bCs/>
          <w:szCs w:val="21"/>
        </w:rPr>
        <w:t>a, c</w:t>
      </w:r>
      <w:r w:rsidRPr="00360AC2">
        <w:rPr>
          <w:rFonts w:ascii="Times New Roman" w:hAnsi="Times New Roman" w:cs="Times New Roman"/>
          <w:szCs w:val="21"/>
        </w:rPr>
        <w:t>) and</w:t>
      </w:r>
      <w:r>
        <w:rPr>
          <w:rFonts w:ascii="Times New Roman" w:hAnsi="Times New Roman" w:cs="Times New Roman"/>
          <w:szCs w:val="21"/>
        </w:rPr>
        <w:t xml:space="preserve">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F-PSMA-1007 (</w:t>
      </w:r>
      <w:r w:rsidRPr="00360AC2">
        <w:rPr>
          <w:rFonts w:ascii="Times New Roman" w:hAnsi="Times New Roman" w:cs="Times New Roman"/>
          <w:b/>
          <w:bCs/>
          <w:szCs w:val="21"/>
        </w:rPr>
        <w:t>b, d</w:t>
      </w:r>
      <w:r w:rsidRPr="00360AC2">
        <w:rPr>
          <w:rFonts w:ascii="Times New Roman" w:hAnsi="Times New Roman" w:cs="Times New Roman"/>
          <w:szCs w:val="21"/>
        </w:rPr>
        <w:t xml:space="preserve">). Abnormal focal increased uptake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 xml:space="preserve">F-PSMA-1007 was found in </w:t>
      </w:r>
      <w:r>
        <w:rPr>
          <w:rFonts w:ascii="Times New Roman" w:hAnsi="Times New Roman" w:cs="Times New Roman"/>
          <w:szCs w:val="21"/>
        </w:rPr>
        <w:t xml:space="preserve">the </w:t>
      </w:r>
      <w:r w:rsidRPr="00360AC2">
        <w:rPr>
          <w:rFonts w:ascii="Times New Roman" w:hAnsi="Times New Roman" w:cs="Times New Roman"/>
          <w:szCs w:val="21"/>
        </w:rPr>
        <w:t>right parietal lobe (</w:t>
      </w:r>
      <w:r w:rsidRPr="00360AC2">
        <w:rPr>
          <w:rFonts w:ascii="Times New Roman" w:hAnsi="Times New Roman" w:cs="Times New Roman"/>
          <w:b/>
          <w:bCs/>
          <w:szCs w:val="21"/>
        </w:rPr>
        <w:t>d</w:t>
      </w:r>
      <w:r w:rsidRPr="00360AC2">
        <w:rPr>
          <w:rFonts w:ascii="Times New Roman" w:hAnsi="Times New Roman" w:cs="Times New Roman"/>
          <w:szCs w:val="21"/>
        </w:rPr>
        <w:t xml:space="preserve">), while no abnormal focal increased uptake of </w:t>
      </w:r>
      <w:r w:rsidRPr="00360AC2">
        <w:rPr>
          <w:rFonts w:ascii="Times New Roman" w:hAnsi="Times New Roman" w:cs="Times New Roman"/>
          <w:szCs w:val="21"/>
          <w:vertAlign w:val="superscript"/>
        </w:rPr>
        <w:t>18</w:t>
      </w:r>
      <w:r w:rsidRPr="00360AC2">
        <w:rPr>
          <w:rFonts w:ascii="Times New Roman" w:hAnsi="Times New Roman" w:cs="Times New Roman"/>
          <w:szCs w:val="21"/>
        </w:rPr>
        <w:t>F-FDG was found (</w:t>
      </w:r>
      <w:r w:rsidRPr="00360AC2">
        <w:rPr>
          <w:rFonts w:ascii="Times New Roman" w:hAnsi="Times New Roman" w:cs="Times New Roman"/>
          <w:b/>
          <w:bCs/>
          <w:szCs w:val="21"/>
        </w:rPr>
        <w:t>c</w:t>
      </w:r>
      <w:r w:rsidRPr="00360AC2">
        <w:rPr>
          <w:rFonts w:ascii="Times New Roman" w:hAnsi="Times New Roman" w:cs="Times New Roman"/>
          <w:szCs w:val="21"/>
        </w:rPr>
        <w:t>).</w:t>
      </w:r>
    </w:p>
    <w:p w14:paraId="7CC86241" w14:textId="77777777" w:rsidR="00A904AF" w:rsidRPr="00044847" w:rsidRDefault="00A904AF" w:rsidP="00A904AF">
      <w:pPr>
        <w:spacing w:line="360" w:lineRule="auto"/>
        <w:rPr>
          <w:rFonts w:ascii="Times New Roman" w:hAnsi="Times New Roman" w:cs="Times New Roman"/>
          <w:szCs w:val="21"/>
        </w:rPr>
      </w:pPr>
    </w:p>
    <w:p w14:paraId="7B9E4CC6" w14:textId="1D66FD3D" w:rsidR="000E0F2D" w:rsidRPr="00A904AF" w:rsidRDefault="000E0F2D" w:rsidP="004C5C5A">
      <w:pPr>
        <w:widowControl/>
        <w:rPr>
          <w:rFonts w:ascii="Times New Roman" w:eastAsia="宋体" w:hAnsi="Times New Roman" w:cs="Times New Roman"/>
          <w:b/>
          <w:bCs/>
          <w:kern w:val="0"/>
          <w:szCs w:val="21"/>
        </w:rPr>
      </w:pPr>
    </w:p>
    <w:sectPr w:rsidR="000E0F2D" w:rsidRPr="00A904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0979" w14:textId="77777777" w:rsidR="00151A5A" w:rsidRDefault="00151A5A" w:rsidP="005A600B">
      <w:r>
        <w:separator/>
      </w:r>
    </w:p>
  </w:endnote>
  <w:endnote w:type="continuationSeparator" w:id="0">
    <w:p w14:paraId="7C4BC703" w14:textId="77777777" w:rsidR="00151A5A" w:rsidRDefault="00151A5A" w:rsidP="005A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64A1" w14:textId="77777777" w:rsidR="00151A5A" w:rsidRDefault="00151A5A" w:rsidP="005A600B">
      <w:r>
        <w:separator/>
      </w:r>
    </w:p>
  </w:footnote>
  <w:footnote w:type="continuationSeparator" w:id="0">
    <w:p w14:paraId="03092192" w14:textId="77777777" w:rsidR="00151A5A" w:rsidRDefault="00151A5A" w:rsidP="005A6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30"/>
    <w:rsid w:val="000579A2"/>
    <w:rsid w:val="000E0F2D"/>
    <w:rsid w:val="00151A5A"/>
    <w:rsid w:val="001B6EB0"/>
    <w:rsid w:val="001D211E"/>
    <w:rsid w:val="00292408"/>
    <w:rsid w:val="00375FE1"/>
    <w:rsid w:val="00426FBD"/>
    <w:rsid w:val="00476930"/>
    <w:rsid w:val="00494E9B"/>
    <w:rsid w:val="004C5C5A"/>
    <w:rsid w:val="00556C98"/>
    <w:rsid w:val="005A3761"/>
    <w:rsid w:val="005A600B"/>
    <w:rsid w:val="005D7F7C"/>
    <w:rsid w:val="00686FA5"/>
    <w:rsid w:val="006B43FA"/>
    <w:rsid w:val="00760831"/>
    <w:rsid w:val="0076247B"/>
    <w:rsid w:val="00767B23"/>
    <w:rsid w:val="00783807"/>
    <w:rsid w:val="008144B9"/>
    <w:rsid w:val="00881E2E"/>
    <w:rsid w:val="008C4CCB"/>
    <w:rsid w:val="008F6E1B"/>
    <w:rsid w:val="00943319"/>
    <w:rsid w:val="0096145B"/>
    <w:rsid w:val="00A15F4C"/>
    <w:rsid w:val="00A904AF"/>
    <w:rsid w:val="00AA2630"/>
    <w:rsid w:val="00AF6755"/>
    <w:rsid w:val="00B14A97"/>
    <w:rsid w:val="00B16F88"/>
    <w:rsid w:val="00B33C2A"/>
    <w:rsid w:val="00B82B0A"/>
    <w:rsid w:val="00C424E8"/>
    <w:rsid w:val="00C963BF"/>
    <w:rsid w:val="00D02B7A"/>
    <w:rsid w:val="00D043AA"/>
    <w:rsid w:val="00F02F87"/>
    <w:rsid w:val="00FB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0E165D"/>
  <w15:chartTrackingRefBased/>
  <w15:docId w15:val="{44CD4BB0-81FA-4229-9B6C-3A5E43C8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C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0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0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0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6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芙岑</dc:creator>
  <cp:keywords/>
  <dc:description/>
  <cp:lastModifiedBy>Jun ZHANG</cp:lastModifiedBy>
  <cp:revision>23</cp:revision>
  <dcterms:created xsi:type="dcterms:W3CDTF">2022-04-05T14:30:00Z</dcterms:created>
  <dcterms:modified xsi:type="dcterms:W3CDTF">2022-04-21T14:47:00Z</dcterms:modified>
</cp:coreProperties>
</file>