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B9258F" w14:textId="77777777" w:rsidR="00512DAA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lang w:val="en-US"/>
        </w:rPr>
      </w:pPr>
    </w:p>
    <w:p w14:paraId="2CE2CE72" w14:textId="77777777" w:rsidR="00512DAA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lang w:val="en-US"/>
        </w:rPr>
      </w:pPr>
    </w:p>
    <w:p w14:paraId="1416A9AF" w14:textId="77777777" w:rsidR="00512DAA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lang w:val="en-US"/>
        </w:rPr>
      </w:pPr>
    </w:p>
    <w:p w14:paraId="44784FE1" w14:textId="27E8823F" w:rsidR="00512DAA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noProof/>
          <w:color w:val="FF0000"/>
          <w:lang w:val="en-US"/>
        </w:rPr>
        <w:drawing>
          <wp:inline distT="0" distB="0" distL="0" distR="0" wp14:anchorId="2C12330A" wp14:editId="5056AAEF">
            <wp:extent cx="4600575" cy="46958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D3225" w14:textId="77777777" w:rsidR="00512DAA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b/>
          <w:lang w:val="en-US"/>
        </w:rPr>
      </w:pPr>
    </w:p>
    <w:p w14:paraId="67999340" w14:textId="77777777" w:rsidR="00512DAA" w:rsidRPr="008C5987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b/>
          <w:lang w:val="en-US"/>
        </w:rPr>
      </w:pPr>
      <w:r w:rsidRPr="008C5987">
        <w:rPr>
          <w:rFonts w:ascii="Times New Roman" w:hAnsi="Times New Roman" w:cs="Times New Roman"/>
          <w:b/>
          <w:lang w:val="en-US"/>
        </w:rPr>
        <w:t xml:space="preserve">Extended Data Fig. 1: </w:t>
      </w:r>
      <w:r>
        <w:rPr>
          <w:rFonts w:ascii="Times New Roman" w:hAnsi="Times New Roman" w:cs="Times New Roman"/>
          <w:b/>
          <w:lang w:val="en-US"/>
        </w:rPr>
        <w:t>LEED image of a monolayer of CuPc adsorbed on TiSe</w:t>
      </w:r>
      <w:r>
        <w:rPr>
          <w:rFonts w:ascii="Times New Roman" w:hAnsi="Times New Roman" w:cs="Times New Roman"/>
          <w:b/>
          <w:vertAlign w:val="subscript"/>
          <w:lang w:val="en-US"/>
        </w:rPr>
        <w:t>2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Pr="008C5987">
        <w:rPr>
          <w:rFonts w:ascii="Times New Roman" w:hAnsi="Times New Roman" w:cs="Times New Roman"/>
          <w:bCs/>
          <w:lang w:val="en-US"/>
        </w:rPr>
        <w:t>(</w:t>
      </w:r>
      <w:r w:rsidRPr="008C5987">
        <w:rPr>
          <w:rFonts w:ascii="Times New Roman" w:hAnsi="Times New Roman" w:cs="Times New Roman"/>
          <w:bCs/>
          <w:i/>
          <w:iCs/>
          <w:lang w:val="en-US"/>
        </w:rPr>
        <w:t>E</w:t>
      </w:r>
      <w:r w:rsidRPr="008C5987">
        <w:rPr>
          <w:rFonts w:ascii="Times New Roman" w:hAnsi="Times New Roman" w:cs="Times New Roman"/>
          <w:bCs/>
          <w:vertAlign w:val="subscript"/>
          <w:lang w:val="en-US"/>
        </w:rPr>
        <w:t>kin</w:t>
      </w:r>
      <w:r w:rsidRPr="008C5987">
        <w:rPr>
          <w:rFonts w:ascii="Times New Roman" w:hAnsi="Times New Roman" w:cs="Times New Roman"/>
          <w:bCs/>
          <w:lang w:val="en-US"/>
        </w:rPr>
        <w:t xml:space="preserve"> = 24 eV)</w:t>
      </w:r>
      <w:r>
        <w:rPr>
          <w:rFonts w:ascii="Times New Roman" w:hAnsi="Times New Roman" w:cs="Times New Roman"/>
          <w:b/>
          <w:lang w:val="en-US"/>
        </w:rPr>
        <w:t xml:space="preserve">. </w:t>
      </w:r>
      <w:r w:rsidRPr="008C5987">
        <w:rPr>
          <w:rFonts w:ascii="Times New Roman" w:hAnsi="Times New Roman" w:cs="Times New Roman"/>
          <w:lang w:val="en-US"/>
        </w:rPr>
        <w:t>The molecule derived reflexes are marked with red dots and the substrate spots are marked with blue dots. The lines indicate one symmetry set of the respective reciprocal lattices.</w:t>
      </w:r>
    </w:p>
    <w:p w14:paraId="09B2E7FA" w14:textId="77777777" w:rsidR="00512DAA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color w:val="FF0000"/>
          <w:lang w:val="en-US"/>
        </w:rPr>
      </w:pPr>
    </w:p>
    <w:p w14:paraId="2F7A209D" w14:textId="77777777" w:rsidR="00512DAA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color w:val="FF0000"/>
          <w:lang w:val="en-US"/>
        </w:rPr>
      </w:pPr>
    </w:p>
    <w:p w14:paraId="7B41E2C0" w14:textId="77777777" w:rsidR="00512DAA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color w:val="FF0000"/>
          <w:lang w:val="en-US"/>
        </w:rPr>
      </w:pPr>
    </w:p>
    <w:p w14:paraId="29A4D70A" w14:textId="77777777" w:rsidR="00512DAA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color w:val="FF0000"/>
          <w:lang w:val="en-US"/>
        </w:rPr>
      </w:pPr>
    </w:p>
    <w:p w14:paraId="33DA54B4" w14:textId="77777777" w:rsidR="00512DAA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color w:val="FF0000"/>
          <w:lang w:val="en-US"/>
        </w:rPr>
      </w:pPr>
      <w:r>
        <w:rPr>
          <w:noProof/>
        </w:rPr>
        <w:lastRenderedPageBreak/>
        <w:drawing>
          <wp:inline distT="0" distB="0" distL="0" distR="0" wp14:anchorId="72FEF33C" wp14:editId="39C633FE">
            <wp:extent cx="5972810" cy="2562860"/>
            <wp:effectExtent l="0" t="0" r="8890" b="889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56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04E76" w14:textId="77777777" w:rsidR="00512DAA" w:rsidRPr="008C5987" w:rsidRDefault="00512DAA" w:rsidP="00512DAA">
      <w:pPr>
        <w:tabs>
          <w:tab w:val="center" w:pos="4800"/>
          <w:tab w:val="right" w:pos="9500"/>
        </w:tabs>
        <w:rPr>
          <w:rFonts w:ascii="Times New Roman" w:hAnsi="Times New Roman" w:cs="Times New Roman"/>
          <w:lang w:val="en-US"/>
        </w:rPr>
      </w:pPr>
      <w:r w:rsidRPr="008C5987">
        <w:rPr>
          <w:rFonts w:ascii="Times New Roman" w:hAnsi="Times New Roman" w:cs="Times New Roman"/>
          <w:b/>
          <w:lang w:val="en-US"/>
        </w:rPr>
        <w:t>Extended Data</w:t>
      </w:r>
      <w:r>
        <w:rPr>
          <w:rFonts w:ascii="Times New Roman" w:hAnsi="Times New Roman" w:cs="Times New Roman"/>
          <w:b/>
          <w:lang w:val="en-US"/>
        </w:rPr>
        <w:t xml:space="preserve"> Fig. 3: Fluence-d</w:t>
      </w:r>
      <w:r w:rsidRPr="008C5987">
        <w:rPr>
          <w:rFonts w:ascii="Times New Roman" w:hAnsi="Times New Roman" w:cs="Times New Roman"/>
          <w:b/>
          <w:lang w:val="en-US"/>
        </w:rPr>
        <w:t>ependen</w:t>
      </w:r>
      <w:r>
        <w:rPr>
          <w:rFonts w:ascii="Times New Roman" w:hAnsi="Times New Roman" w:cs="Times New Roman"/>
          <w:b/>
          <w:lang w:val="en-US"/>
        </w:rPr>
        <w:t>t dynamics</w:t>
      </w:r>
      <w:r w:rsidRPr="008C5987">
        <w:rPr>
          <w:rFonts w:ascii="Times New Roman" w:hAnsi="Times New Roman" w:cs="Times New Roman"/>
          <w:b/>
          <w:lang w:val="en-US"/>
        </w:rPr>
        <w:t>.</w:t>
      </w:r>
      <w:r w:rsidRPr="008C598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(a</w:t>
      </w:r>
      <w:r w:rsidRPr="008C5987">
        <w:rPr>
          <w:rFonts w:ascii="Times New Roman" w:hAnsi="Times New Roman" w:cs="Times New Roman"/>
          <w:lang w:val="en-US"/>
        </w:rPr>
        <w:t>) C</w:t>
      </w:r>
      <w:r>
        <w:rPr>
          <w:rFonts w:ascii="Times New Roman" w:hAnsi="Times New Roman" w:cs="Times New Roman"/>
          <w:lang w:val="en-US"/>
        </w:rPr>
        <w:t xml:space="preserve"> 1</w:t>
      </w:r>
      <w:r w:rsidRPr="008C5987">
        <w:rPr>
          <w:rFonts w:ascii="Times New Roman" w:hAnsi="Times New Roman" w:cs="Times New Roman"/>
          <w:i/>
          <w:lang w:val="en-US"/>
        </w:rPr>
        <w:t>s</w:t>
      </w:r>
      <w:r w:rsidRPr="008C5987">
        <w:rPr>
          <w:rFonts w:ascii="Times New Roman" w:hAnsi="Times New Roman" w:cs="Times New Roman"/>
          <w:lang w:val="en-US"/>
        </w:rPr>
        <w:t xml:space="preserve"> core level evolution of TiSe</w:t>
      </w:r>
      <w:r>
        <w:rPr>
          <w:rFonts w:ascii="Times New Roman" w:hAnsi="Times New Roman" w:cs="Times New Roman"/>
          <w:vertAlign w:val="subscript"/>
          <w:lang w:val="en-US"/>
        </w:rPr>
        <w:t>2</w:t>
      </w:r>
      <w:r>
        <w:rPr>
          <w:rFonts w:ascii="Times New Roman" w:hAnsi="Times New Roman" w:cs="Times New Roman"/>
          <w:lang w:val="en-US"/>
        </w:rPr>
        <w:t xml:space="preserve"> </w:t>
      </w:r>
      <w:r w:rsidRPr="008C5987">
        <w:rPr>
          <w:rFonts w:ascii="Times New Roman" w:hAnsi="Times New Roman" w:cs="Times New Roman"/>
          <w:lang w:val="en-US"/>
        </w:rPr>
        <w:t>covered by a monolayer CuPc for</w:t>
      </w:r>
      <w:r>
        <w:rPr>
          <w:rFonts w:ascii="Times New Roman" w:hAnsi="Times New Roman" w:cs="Times New Roman"/>
          <w:lang w:val="en-US"/>
        </w:rPr>
        <w:t xml:space="preserve"> varying pump laser fluences. (b</w:t>
      </w:r>
      <w:r w:rsidRPr="008C5987">
        <w:rPr>
          <w:rFonts w:ascii="Times New Roman" w:hAnsi="Times New Roman" w:cs="Times New Roman"/>
          <w:lang w:val="en-US"/>
        </w:rPr>
        <w:t>) Population dynamics of the Ti</w:t>
      </w:r>
      <w:r>
        <w:rPr>
          <w:rFonts w:ascii="Times New Roman" w:hAnsi="Times New Roman" w:cs="Times New Roman"/>
          <w:lang w:val="en-US"/>
        </w:rPr>
        <w:t xml:space="preserve"> </w:t>
      </w:r>
      <w:r w:rsidRPr="008C5987">
        <w:rPr>
          <w:rFonts w:ascii="Times New Roman" w:hAnsi="Times New Roman" w:cs="Times New Roman"/>
          <w:lang w:val="en-US"/>
        </w:rPr>
        <w:t>3</w:t>
      </w:r>
      <w:r>
        <w:rPr>
          <w:rFonts w:ascii="Times New Roman" w:hAnsi="Times New Roman" w:cs="Times New Roman"/>
          <w:i/>
          <w:lang w:val="en-US"/>
        </w:rPr>
        <w:t>d</w:t>
      </w:r>
      <w:r w:rsidRPr="008C5987">
        <w:rPr>
          <w:rFonts w:ascii="Times New Roman" w:hAnsi="Times New Roman" w:cs="Times New Roman"/>
          <w:lang w:val="en-US"/>
        </w:rPr>
        <w:t xml:space="preserve"> conduction band for varying pump laser fluence for pristine TiSe</w:t>
      </w:r>
      <w:r>
        <w:rPr>
          <w:rFonts w:ascii="Times New Roman" w:hAnsi="Times New Roman" w:cs="Times New Roman"/>
          <w:vertAlign w:val="subscript"/>
          <w:lang w:val="en-US"/>
        </w:rPr>
        <w:t>2</w:t>
      </w:r>
      <w:r w:rsidRPr="008C5987">
        <w:rPr>
          <w:rFonts w:ascii="Times New Roman" w:hAnsi="Times New Roman" w:cs="Times New Roman"/>
          <w:lang w:val="en-US"/>
        </w:rPr>
        <w:t>, TiSe</w:t>
      </w:r>
      <w:r>
        <w:rPr>
          <w:rFonts w:ascii="Times New Roman" w:hAnsi="Times New Roman" w:cs="Times New Roman"/>
          <w:vertAlign w:val="subscript"/>
          <w:lang w:val="en-US"/>
        </w:rPr>
        <w:t>2</w:t>
      </w:r>
      <w:r w:rsidRPr="008C5987">
        <w:rPr>
          <w:rFonts w:ascii="Times New Roman" w:hAnsi="Times New Roman" w:cs="Times New Roman"/>
          <w:lang w:val="en-US"/>
        </w:rPr>
        <w:t xml:space="preserve"> covered by </w:t>
      </w:r>
      <w:r>
        <w:rPr>
          <w:rFonts w:ascii="Times New Roman" w:hAnsi="Times New Roman" w:cs="Times New Roman"/>
          <w:lang w:val="en-US"/>
        </w:rPr>
        <w:t>~</w:t>
      </w:r>
      <w:r w:rsidRPr="008C5987">
        <w:rPr>
          <w:rFonts w:ascii="Times New Roman" w:hAnsi="Times New Roman" w:cs="Times New Roman"/>
          <w:lang w:val="en-US"/>
        </w:rPr>
        <w:t xml:space="preserve">0.2 monolayers </w:t>
      </w:r>
      <w:r>
        <w:rPr>
          <w:rFonts w:ascii="Times New Roman" w:hAnsi="Times New Roman" w:cs="Times New Roman"/>
          <w:lang w:val="en-US"/>
        </w:rPr>
        <w:t xml:space="preserve">of </w:t>
      </w:r>
      <w:r w:rsidRPr="004B0C8B">
        <w:rPr>
          <w:rFonts w:ascii="Times New Roman" w:hAnsi="Times New Roman" w:cs="Times New Roman"/>
          <w:lang w:val="en-US"/>
        </w:rPr>
        <w:t>CuPc</w:t>
      </w:r>
      <w:r>
        <w:rPr>
          <w:rFonts w:ascii="Times New Roman" w:hAnsi="Times New Roman" w:cs="Times New Roman"/>
          <w:lang w:val="en-US"/>
        </w:rPr>
        <w:t>,</w:t>
      </w:r>
      <w:r w:rsidRPr="008C5987">
        <w:rPr>
          <w:rFonts w:ascii="Times New Roman" w:hAnsi="Times New Roman" w:cs="Times New Roman"/>
          <w:lang w:val="en-US"/>
        </w:rPr>
        <w:t xml:space="preserve"> and TiSe</w:t>
      </w:r>
      <w:r>
        <w:rPr>
          <w:rFonts w:ascii="Times New Roman" w:hAnsi="Times New Roman" w:cs="Times New Roman"/>
          <w:vertAlign w:val="subscript"/>
          <w:lang w:val="en-US"/>
        </w:rPr>
        <w:t>2</w:t>
      </w:r>
      <w:r w:rsidRPr="008C5987">
        <w:rPr>
          <w:rFonts w:ascii="Times New Roman" w:hAnsi="Times New Roman" w:cs="Times New Roman"/>
          <w:lang w:val="en-US"/>
        </w:rPr>
        <w:t xml:space="preserve"> covered by a monolayer </w:t>
      </w:r>
      <w:r>
        <w:rPr>
          <w:rFonts w:ascii="Times New Roman" w:hAnsi="Times New Roman" w:cs="Times New Roman"/>
          <w:lang w:val="en-US"/>
        </w:rPr>
        <w:t xml:space="preserve">of </w:t>
      </w:r>
      <w:r w:rsidRPr="008C5987">
        <w:rPr>
          <w:rFonts w:ascii="Times New Roman" w:hAnsi="Times New Roman" w:cs="Times New Roman"/>
          <w:lang w:val="en-US"/>
        </w:rPr>
        <w:t>CuPc.</w:t>
      </w:r>
    </w:p>
    <w:p w14:paraId="1FB19A4D" w14:textId="77777777" w:rsidR="002F0F5E" w:rsidRDefault="00512DAA"/>
    <w:sectPr w:rsidR="002F0F5E" w:rsidSect="00512DAA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DAA"/>
    <w:rsid w:val="0021090F"/>
    <w:rsid w:val="003A76DF"/>
    <w:rsid w:val="00512DAA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DC96D"/>
  <w15:chartTrackingRefBased/>
  <w15:docId w15:val="{44EE1DF5-149A-4F3D-BF6B-A4EA8401F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DAA"/>
    <w:pPr>
      <w:widowControl w:val="0"/>
      <w:spacing w:after="0" w:line="240" w:lineRule="auto"/>
    </w:pPr>
    <w:rPr>
      <w:rFonts w:ascii="Calibri" w:eastAsiaTheme="minorEastAsia" w:hAnsi="Calibri" w:cs="Calibri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</Words>
  <Characters>530</Characters>
  <Application>Microsoft Office Word</Application>
  <DocSecurity>0</DocSecurity>
  <Lines>4</Lines>
  <Paragraphs>1</Paragraphs>
  <ScaleCrop>false</ScaleCrop>
  <Company>Springer Nature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2023-05-12T06:24:00Z</dcterms:created>
  <dcterms:modified xsi:type="dcterms:W3CDTF">2023-05-12T06:25:00Z</dcterms:modified>
</cp:coreProperties>
</file>