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7ADDE9" w14:textId="0DD8B38F" w:rsidR="007B4616" w:rsidRDefault="007B4616">
      <w:r>
        <w:t>Box 1</w:t>
      </w:r>
    </w:p>
    <w:p w14:paraId="6D4AA6F7" w14:textId="67D730E0" w:rsidR="00386883" w:rsidRDefault="007B4616">
      <w:r w:rsidRPr="00227CA5">
        <w:rPr>
          <w:rFonts w:ascii="Arial" w:eastAsia="Calibri" w:hAnsi="Arial" w:cs="Arial"/>
          <w:b/>
          <w:iCs/>
          <w:noProof/>
          <w:spacing w:val="-1"/>
          <w:lang w:eastAsia="en-GB"/>
        </w:rPr>
        <mc:AlternateContent>
          <mc:Choice Requires="wps">
            <w:drawing>
              <wp:anchor distT="0" distB="0" distL="114300" distR="114300" simplePos="0" relativeHeight="251659264" behindDoc="0" locked="0" layoutInCell="1" allowOverlap="1" wp14:anchorId="4CB60F37" wp14:editId="7F7287F8">
                <wp:simplePos x="0" y="0"/>
                <wp:positionH relativeFrom="column">
                  <wp:posOffset>0</wp:posOffset>
                </wp:positionH>
                <wp:positionV relativeFrom="paragraph">
                  <wp:posOffset>0</wp:posOffset>
                </wp:positionV>
                <wp:extent cx="5534025" cy="7934325"/>
                <wp:effectExtent l="0" t="0" r="28575" b="28575"/>
                <wp:wrapNone/>
                <wp:docPr id="7" name="Text Box 7"/>
                <wp:cNvGraphicFramePr/>
                <a:graphic xmlns:a="http://schemas.openxmlformats.org/drawingml/2006/main">
                  <a:graphicData uri="http://schemas.microsoft.com/office/word/2010/wordprocessingShape">
                    <wps:wsp>
                      <wps:cNvSpPr txBox="1"/>
                      <wps:spPr>
                        <a:xfrm>
                          <a:off x="0" y="0"/>
                          <a:ext cx="5534025" cy="7934325"/>
                        </a:xfrm>
                        <a:prstGeom prst="rect">
                          <a:avLst/>
                        </a:prstGeom>
                        <a:solidFill>
                          <a:schemeClr val="lt1"/>
                        </a:solidFill>
                        <a:ln w="6350">
                          <a:solidFill>
                            <a:prstClr val="black"/>
                          </a:solidFill>
                        </a:ln>
                      </wps:spPr>
                      <wps:txbx>
                        <w:txbxContent>
                          <w:p w14:paraId="62606E6A"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Introduction</w:t>
                            </w:r>
                          </w:p>
                          <w:p w14:paraId="2878D125"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 xml:space="preserve">An academic database search was undertaken to identify programme theories associated PU-RAI use. </w:t>
                            </w:r>
                            <w:r w:rsidRPr="00AB2ADD">
                              <w:rPr>
                                <w:rFonts w:ascii="Arial" w:eastAsia="Calibri" w:hAnsi="Arial" w:cs="Arial"/>
                                <w:iCs/>
                                <w:spacing w:val="-1"/>
                              </w:rPr>
                              <w:t>We were looking for a range of publication types and expected to find some grey literature in the academic databases</w:t>
                            </w:r>
                            <w:r>
                              <w:rPr>
                                <w:rFonts w:ascii="Arial" w:eastAsia="Calibri" w:hAnsi="Arial" w:cs="Arial"/>
                                <w:iCs/>
                                <w:spacing w:val="-1"/>
                              </w:rPr>
                              <w:t xml:space="preserve"> due to their content coverage. This was supplemented with a Google search. </w:t>
                            </w:r>
                          </w:p>
                          <w:p w14:paraId="3DFC3CDA"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Method</w:t>
                            </w:r>
                          </w:p>
                          <w:p w14:paraId="10B74AD2"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A search strategy incorporating</w:t>
                            </w:r>
                            <w:r w:rsidRPr="006400B5">
                              <w:rPr>
                                <w:rFonts w:ascii="Arial" w:eastAsia="Calibri" w:hAnsi="Arial" w:cs="Arial"/>
                                <w:iCs/>
                                <w:spacing w:val="-1"/>
                              </w:rPr>
                              <w:t xml:space="preserve"> key words relating to risk assessment, pressure ulcers and other areas associated with risk assessment instruments including falls and frailty as well as </w:t>
                            </w:r>
                            <w:r>
                              <w:rPr>
                                <w:rFonts w:ascii="Arial" w:eastAsia="Calibri" w:hAnsi="Arial" w:cs="Arial"/>
                                <w:iCs/>
                                <w:spacing w:val="-1"/>
                              </w:rPr>
                              <w:t xml:space="preserve">theories and publication types </w:t>
                            </w:r>
                            <w:r w:rsidRPr="006400B5">
                              <w:rPr>
                                <w:rFonts w:ascii="Arial" w:eastAsia="Calibri" w:hAnsi="Arial" w:cs="Arial"/>
                                <w:iCs/>
                                <w:spacing w:val="-1"/>
                              </w:rPr>
                              <w:t>(systematic review, commentary, opinion piece and editorial)</w:t>
                            </w:r>
                            <w:r>
                              <w:rPr>
                                <w:rFonts w:ascii="Arial" w:eastAsia="Calibri" w:hAnsi="Arial" w:cs="Arial"/>
                                <w:iCs/>
                                <w:spacing w:val="-1"/>
                              </w:rPr>
                              <w:t xml:space="preserve"> (Appendix 1) was used</w:t>
                            </w:r>
                            <w:r w:rsidRPr="006400B5">
                              <w:rPr>
                                <w:rFonts w:ascii="Arial" w:eastAsia="Calibri" w:hAnsi="Arial" w:cs="Arial"/>
                                <w:iCs/>
                                <w:spacing w:val="-1"/>
                              </w:rPr>
                              <w:t xml:space="preserve">. </w:t>
                            </w:r>
                            <w:r>
                              <w:rPr>
                                <w:rFonts w:ascii="Arial" w:eastAsia="Calibri" w:hAnsi="Arial" w:cs="Arial"/>
                                <w:iCs/>
                                <w:spacing w:val="-1"/>
                              </w:rPr>
                              <w:t xml:space="preserve">Five </w:t>
                            </w:r>
                            <w:r w:rsidRPr="006400B5">
                              <w:rPr>
                                <w:rFonts w:ascii="Arial" w:eastAsia="Calibri" w:hAnsi="Arial" w:cs="Arial"/>
                                <w:iCs/>
                                <w:spacing w:val="-1"/>
                              </w:rPr>
                              <w:t xml:space="preserve">databases </w:t>
                            </w:r>
                            <w:r>
                              <w:rPr>
                                <w:rFonts w:ascii="Arial" w:eastAsia="Calibri" w:hAnsi="Arial" w:cs="Arial"/>
                                <w:iCs/>
                                <w:spacing w:val="-1"/>
                              </w:rPr>
                              <w:t>were</w:t>
                            </w:r>
                            <w:r w:rsidRPr="006400B5">
                              <w:rPr>
                                <w:rFonts w:ascii="Arial" w:eastAsia="Calibri" w:hAnsi="Arial" w:cs="Arial"/>
                                <w:iCs/>
                                <w:spacing w:val="-1"/>
                              </w:rPr>
                              <w:t xml:space="preserve"> searched from 1970 to</w:t>
                            </w:r>
                            <w:r>
                              <w:rPr>
                                <w:rFonts w:ascii="Arial" w:eastAsia="Calibri" w:hAnsi="Arial" w:cs="Arial"/>
                                <w:iCs/>
                                <w:spacing w:val="-1"/>
                              </w:rPr>
                              <w:t xml:space="preserve"> May 2017 (</w:t>
                            </w:r>
                            <w:r w:rsidRPr="006400B5">
                              <w:rPr>
                                <w:rFonts w:ascii="Arial" w:eastAsia="Calibri" w:hAnsi="Arial" w:cs="Arial"/>
                                <w:iCs/>
                                <w:spacing w:val="-1"/>
                              </w:rPr>
                              <w:t>Cochrane Database of Systematic Reviews</w:t>
                            </w:r>
                            <w:r>
                              <w:rPr>
                                <w:rFonts w:ascii="Arial" w:eastAsia="Calibri" w:hAnsi="Arial" w:cs="Arial"/>
                                <w:iCs/>
                                <w:spacing w:val="-1"/>
                              </w:rPr>
                              <w:t xml:space="preserve">, </w:t>
                            </w:r>
                            <w:r w:rsidRPr="006400B5">
                              <w:rPr>
                                <w:rFonts w:ascii="Arial" w:eastAsia="Calibri" w:hAnsi="Arial" w:cs="Arial"/>
                                <w:iCs/>
                                <w:spacing w:val="-1"/>
                              </w:rPr>
                              <w:t>Ovid MEDLINE</w:t>
                            </w:r>
                            <w:r>
                              <w:rPr>
                                <w:rFonts w:ascii="Arial" w:eastAsia="Calibri" w:hAnsi="Arial" w:cs="Arial"/>
                                <w:iCs/>
                                <w:spacing w:val="-1"/>
                              </w:rPr>
                              <w:t xml:space="preserve">, </w:t>
                            </w:r>
                            <w:r w:rsidRPr="006400B5">
                              <w:rPr>
                                <w:rFonts w:ascii="Arial" w:eastAsia="Calibri" w:hAnsi="Arial" w:cs="Arial"/>
                                <w:iCs/>
                                <w:spacing w:val="-1"/>
                                <w:lang w:val="en-US"/>
                              </w:rPr>
                              <w:t>Ovid HMIC</w:t>
                            </w:r>
                            <w:r>
                              <w:rPr>
                                <w:rFonts w:ascii="Arial" w:eastAsia="Calibri" w:hAnsi="Arial" w:cs="Arial"/>
                                <w:iCs/>
                                <w:spacing w:val="-1"/>
                                <w:lang w:val="en-US"/>
                              </w:rPr>
                              <w:t xml:space="preserve">, </w:t>
                            </w:r>
                            <w:r w:rsidRPr="006400B5">
                              <w:rPr>
                                <w:rFonts w:ascii="Arial" w:eastAsia="Calibri" w:hAnsi="Arial" w:cs="Arial"/>
                                <w:iCs/>
                                <w:spacing w:val="-1"/>
                                <w:lang w:val="en-US"/>
                              </w:rPr>
                              <w:t>Ovid Embase</w:t>
                            </w:r>
                            <w:r>
                              <w:rPr>
                                <w:rFonts w:ascii="Arial" w:eastAsia="Calibri" w:hAnsi="Arial" w:cs="Arial"/>
                                <w:iCs/>
                                <w:spacing w:val="-1"/>
                                <w:lang w:val="en-US"/>
                              </w:rPr>
                              <w:t xml:space="preserve">, </w:t>
                            </w:r>
                            <w:r w:rsidRPr="006400B5">
                              <w:rPr>
                                <w:rFonts w:ascii="Arial" w:eastAsia="Calibri" w:hAnsi="Arial" w:cs="Arial"/>
                                <w:iCs/>
                                <w:spacing w:val="-1"/>
                                <w:lang w:val="en-US"/>
                              </w:rPr>
                              <w:t>CINAHL</w:t>
                            </w:r>
                            <w:r>
                              <w:rPr>
                                <w:rFonts w:ascii="Arial" w:eastAsia="Calibri" w:hAnsi="Arial" w:cs="Arial"/>
                                <w:iCs/>
                                <w:spacing w:val="-1"/>
                                <w:lang w:val="en-US"/>
                              </w:rPr>
                              <w:t xml:space="preserve"> EBSCOhost). </w:t>
                            </w:r>
                          </w:p>
                          <w:p w14:paraId="62BE02AC" w14:textId="77777777" w:rsidR="007B4616" w:rsidRDefault="007B4616" w:rsidP="007B4616">
                            <w:pPr>
                              <w:shd w:val="clear" w:color="auto" w:fill="FFFFFF"/>
                              <w:spacing w:after="0" w:line="240" w:lineRule="auto"/>
                              <w:ind w:left="284" w:right="57"/>
                              <w:jc w:val="both"/>
                              <w:rPr>
                                <w:rFonts w:ascii="Arial" w:eastAsia="Calibri" w:hAnsi="Arial" w:cs="Arial"/>
                                <w:iCs/>
                                <w:spacing w:val="-1"/>
                              </w:rPr>
                            </w:pPr>
                          </w:p>
                          <w:p w14:paraId="2E797D04" w14:textId="77777777" w:rsidR="007B4616" w:rsidRDefault="007B4616" w:rsidP="007B4616">
                            <w:pPr>
                              <w:shd w:val="clear" w:color="auto" w:fill="FFFFFF"/>
                              <w:spacing w:after="0" w:line="240" w:lineRule="auto"/>
                              <w:ind w:right="57"/>
                              <w:jc w:val="both"/>
                              <w:rPr>
                                <w:rFonts w:ascii="Arial" w:hAnsi="Arial" w:cs="Arial"/>
                                <w:color w:val="000000"/>
                              </w:rPr>
                            </w:pPr>
                            <w:r w:rsidRPr="008D0CCF">
                              <w:rPr>
                                <w:rFonts w:ascii="Arial" w:eastAsia="Calibri" w:hAnsi="Arial" w:cs="Arial"/>
                                <w:i/>
                                <w:iCs/>
                                <w:spacing w:val="-1"/>
                              </w:rPr>
                              <w:t>Inclusion criteria:</w:t>
                            </w:r>
                            <w:r>
                              <w:rPr>
                                <w:rFonts w:ascii="Arial" w:eastAsia="Calibri" w:hAnsi="Arial" w:cs="Arial"/>
                                <w:iCs/>
                                <w:spacing w:val="-1"/>
                              </w:rPr>
                              <w:t xml:space="preserve"> </w:t>
                            </w:r>
                            <w:r w:rsidRPr="00023180">
                              <w:rPr>
                                <w:rFonts w:ascii="Arial" w:hAnsi="Arial" w:cs="Arial"/>
                                <w:color w:val="000000"/>
                              </w:rPr>
                              <w:t>Papers relating to RA</w:t>
                            </w:r>
                            <w:r>
                              <w:rPr>
                                <w:rFonts w:ascii="Arial" w:hAnsi="Arial" w:cs="Arial"/>
                                <w:color w:val="000000"/>
                              </w:rPr>
                              <w:t>I</w:t>
                            </w:r>
                            <w:r w:rsidRPr="00023180">
                              <w:rPr>
                                <w:rFonts w:ascii="Arial" w:hAnsi="Arial" w:cs="Arial"/>
                                <w:color w:val="000000"/>
                              </w:rPr>
                              <w:t xml:space="preserve">s </w:t>
                            </w:r>
                            <w:r>
                              <w:rPr>
                                <w:rFonts w:ascii="Arial" w:hAnsi="Arial" w:cs="Arial"/>
                                <w:color w:val="000000"/>
                              </w:rPr>
                              <w:t>which describe, review, discuss, critique, provide a theoretical framework or provide stakeholder accounts of use.</w:t>
                            </w:r>
                          </w:p>
                          <w:p w14:paraId="05BDD7F3" w14:textId="77777777" w:rsidR="007B4616" w:rsidRPr="00023180" w:rsidRDefault="007B4616" w:rsidP="007B4616">
                            <w:pPr>
                              <w:shd w:val="clear" w:color="auto" w:fill="FFFFFF"/>
                              <w:spacing w:after="0" w:line="240" w:lineRule="auto"/>
                              <w:ind w:right="57"/>
                              <w:jc w:val="both"/>
                              <w:rPr>
                                <w:rFonts w:ascii="Arial" w:hAnsi="Arial" w:cs="Arial"/>
                                <w:color w:val="000000"/>
                              </w:rPr>
                            </w:pPr>
                            <w:r w:rsidRPr="008D0CCF">
                              <w:rPr>
                                <w:rFonts w:ascii="Arial" w:hAnsi="Arial" w:cs="Arial"/>
                                <w:i/>
                                <w:color w:val="000000"/>
                              </w:rPr>
                              <w:t>Exclusion criteria:</w:t>
                            </w:r>
                            <w:r>
                              <w:rPr>
                                <w:rFonts w:ascii="Arial" w:hAnsi="Arial" w:cs="Arial"/>
                                <w:color w:val="000000"/>
                              </w:rPr>
                              <w:t xml:space="preserve"> P</w:t>
                            </w:r>
                            <w:r w:rsidRPr="00023180">
                              <w:rPr>
                                <w:rFonts w:ascii="Arial" w:hAnsi="Arial" w:cs="Arial"/>
                              </w:rPr>
                              <w:t>ape</w:t>
                            </w:r>
                            <w:r w:rsidRPr="00023180">
                              <w:rPr>
                                <w:rFonts w:ascii="Arial" w:hAnsi="Arial" w:cs="Arial"/>
                                <w:color w:val="000000"/>
                              </w:rPr>
                              <w:t>rs relating to RA</w:t>
                            </w:r>
                            <w:r>
                              <w:rPr>
                                <w:rFonts w:ascii="Arial" w:hAnsi="Arial" w:cs="Arial"/>
                                <w:color w:val="000000"/>
                              </w:rPr>
                              <w:t>I</w:t>
                            </w:r>
                            <w:r w:rsidRPr="00023180">
                              <w:rPr>
                                <w:rFonts w:ascii="Arial" w:hAnsi="Arial" w:cs="Arial"/>
                                <w:color w:val="000000"/>
                              </w:rPr>
                              <w:t xml:space="preserve">s </w:t>
                            </w:r>
                            <w:r>
                              <w:rPr>
                                <w:rFonts w:ascii="Arial" w:hAnsi="Arial" w:cs="Arial"/>
                                <w:color w:val="000000"/>
                              </w:rPr>
                              <w:t>as a research tool or to assess psychometric properties.</w:t>
                            </w:r>
                          </w:p>
                          <w:p w14:paraId="5F12426B"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5A8AE51A"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
                                <w:iCs/>
                                <w:spacing w:val="-1"/>
                              </w:rPr>
                              <w:t xml:space="preserve">Screening: </w:t>
                            </w:r>
                            <w:r w:rsidRPr="006400B5">
                              <w:rPr>
                                <w:rFonts w:ascii="Arial" w:eastAsia="Calibri" w:hAnsi="Arial" w:cs="Arial"/>
                                <w:iCs/>
                                <w:spacing w:val="-1"/>
                              </w:rPr>
                              <w:t>After removal of duplicates, the titles, abstracts</w:t>
                            </w:r>
                            <w:r>
                              <w:rPr>
                                <w:rFonts w:ascii="Arial" w:eastAsia="Calibri" w:hAnsi="Arial" w:cs="Arial"/>
                                <w:iCs/>
                                <w:spacing w:val="-1"/>
                              </w:rPr>
                              <w:t>,</w:t>
                            </w:r>
                            <w:r w:rsidRPr="006400B5">
                              <w:rPr>
                                <w:rFonts w:ascii="Arial" w:eastAsia="Calibri" w:hAnsi="Arial" w:cs="Arial"/>
                                <w:iCs/>
                                <w:spacing w:val="-1"/>
                              </w:rPr>
                              <w:t xml:space="preserve"> and key words of identified papers </w:t>
                            </w:r>
                            <w:r>
                              <w:rPr>
                                <w:rFonts w:ascii="Arial" w:eastAsia="Calibri" w:hAnsi="Arial" w:cs="Arial"/>
                                <w:iCs/>
                                <w:spacing w:val="-1"/>
                              </w:rPr>
                              <w:t>were screened for relevance</w:t>
                            </w:r>
                            <w:r w:rsidRPr="00243E19">
                              <w:rPr>
                                <w:rFonts w:ascii="Arial" w:eastAsia="Arial" w:hAnsi="Arial" w:cs="Arial"/>
                                <w:spacing w:val="-1"/>
                              </w:rPr>
                              <w:t xml:space="preserve"> </w:t>
                            </w:r>
                            <w:r w:rsidRPr="00243E19">
                              <w:rPr>
                                <w:rFonts w:ascii="Arial" w:eastAsia="Calibri" w:hAnsi="Arial" w:cs="Arial"/>
                                <w:iCs/>
                                <w:spacing w:val="-1"/>
                              </w:rPr>
                              <w:t xml:space="preserve">by the primary reviewer (SC). </w:t>
                            </w:r>
                            <w:r>
                              <w:rPr>
                                <w:rFonts w:ascii="Arial" w:eastAsia="Calibri" w:hAnsi="Arial" w:cs="Arial"/>
                                <w:iCs/>
                                <w:spacing w:val="-1"/>
                              </w:rPr>
                              <w:t>Papers</w:t>
                            </w:r>
                            <w:r w:rsidRPr="006400B5">
                              <w:rPr>
                                <w:rFonts w:ascii="Arial" w:eastAsia="Calibri" w:hAnsi="Arial" w:cs="Arial"/>
                                <w:iCs/>
                                <w:spacing w:val="-1"/>
                              </w:rPr>
                              <w:t xml:space="preserve"> considered potentially relevant </w:t>
                            </w:r>
                            <w:r>
                              <w:rPr>
                                <w:rFonts w:ascii="Arial" w:eastAsia="Calibri" w:hAnsi="Arial" w:cs="Arial"/>
                                <w:iCs/>
                                <w:spacing w:val="-1"/>
                              </w:rPr>
                              <w:t>were</w:t>
                            </w:r>
                            <w:r w:rsidRPr="006400B5">
                              <w:rPr>
                                <w:rFonts w:ascii="Arial" w:eastAsia="Calibri" w:hAnsi="Arial" w:cs="Arial"/>
                                <w:iCs/>
                                <w:spacing w:val="-1"/>
                              </w:rPr>
                              <w:t xml:space="preserve"> obtained in full and </w:t>
                            </w:r>
                            <w:r>
                              <w:rPr>
                                <w:rFonts w:ascii="Arial" w:eastAsia="Calibri" w:hAnsi="Arial" w:cs="Arial"/>
                                <w:iCs/>
                                <w:spacing w:val="-1"/>
                              </w:rPr>
                              <w:t xml:space="preserve">reviewed </w:t>
                            </w:r>
                            <w:r w:rsidRPr="006400B5">
                              <w:rPr>
                                <w:rFonts w:ascii="Arial" w:eastAsia="Calibri" w:hAnsi="Arial" w:cs="Arial"/>
                                <w:iCs/>
                                <w:spacing w:val="-1"/>
                              </w:rPr>
                              <w:t>to assess validity and similarity (repetition) of identified programme theories.</w:t>
                            </w:r>
                            <w:r w:rsidRPr="00243E19">
                              <w:rPr>
                                <w:rFonts w:ascii="Arial" w:eastAsia="Calibri" w:hAnsi="Arial" w:cs="Arial"/>
                                <w:iCs/>
                                <w:spacing w:val="-1"/>
                              </w:rPr>
                              <w:t xml:space="preserve"> A 10% random sample of those screened </w:t>
                            </w:r>
                            <w:r>
                              <w:rPr>
                                <w:rFonts w:ascii="Arial" w:eastAsia="Calibri" w:hAnsi="Arial" w:cs="Arial"/>
                                <w:iCs/>
                                <w:spacing w:val="-1"/>
                              </w:rPr>
                              <w:t>and those potentially relevant were</w:t>
                            </w:r>
                            <w:r w:rsidRPr="00243E19">
                              <w:rPr>
                                <w:rFonts w:ascii="Arial" w:eastAsia="Calibri" w:hAnsi="Arial" w:cs="Arial"/>
                                <w:iCs/>
                                <w:spacing w:val="-1"/>
                              </w:rPr>
                              <w:t xml:space="preserve"> independently screened by a second reviewer</w:t>
                            </w:r>
                            <w:r>
                              <w:rPr>
                                <w:rFonts w:ascii="Arial" w:eastAsia="Calibri" w:hAnsi="Arial" w:cs="Arial"/>
                                <w:iCs/>
                                <w:spacing w:val="-1"/>
                              </w:rPr>
                              <w:t xml:space="preserve"> (JG). Following identification of papers including relevant theories, the primary papers </w:t>
                            </w:r>
                            <w:r w:rsidRPr="00286D10">
                              <w:rPr>
                                <w:rFonts w:ascii="Arial" w:hAnsi="Arial" w:cs="Arial"/>
                              </w:rPr>
                              <w:t>i.e.</w:t>
                            </w:r>
                            <w:r>
                              <w:rPr>
                                <w:rFonts w:ascii="Arial" w:hAnsi="Arial" w:cs="Arial"/>
                              </w:rPr>
                              <w:t xml:space="preserve"> those</w:t>
                            </w:r>
                            <w:r w:rsidRPr="00286D10">
                              <w:rPr>
                                <w:rFonts w:ascii="Arial" w:hAnsi="Arial" w:cs="Arial"/>
                              </w:rPr>
                              <w:t xml:space="preserve"> providing</w:t>
                            </w:r>
                            <w:r w:rsidRPr="00286D10">
                              <w:t xml:space="preserve"> </w:t>
                            </w:r>
                            <w:r>
                              <w:rPr>
                                <w:rFonts w:ascii="Arial" w:eastAsia="Calibri" w:hAnsi="Arial" w:cs="Arial"/>
                                <w:iCs/>
                                <w:spacing w:val="-1"/>
                              </w:rPr>
                              <w:t>clear</w:t>
                            </w:r>
                            <w:r w:rsidRPr="00286D10">
                              <w:rPr>
                                <w:rFonts w:ascii="Arial" w:eastAsia="Calibri" w:hAnsi="Arial" w:cs="Arial"/>
                                <w:iCs/>
                                <w:spacing w:val="-1"/>
                              </w:rPr>
                              <w:t xml:space="preserve"> detail</w:t>
                            </w:r>
                            <w:r>
                              <w:rPr>
                                <w:rFonts w:ascii="Arial" w:eastAsia="Calibri" w:hAnsi="Arial" w:cs="Arial"/>
                                <w:iCs/>
                                <w:spacing w:val="-1"/>
                              </w:rPr>
                              <w:t xml:space="preserve"> of</w:t>
                            </w:r>
                            <w:r w:rsidRPr="00286D10">
                              <w:rPr>
                                <w:rFonts w:ascii="Arial" w:eastAsia="Calibri" w:hAnsi="Arial" w:cs="Arial"/>
                                <w:iCs/>
                                <w:spacing w:val="-1"/>
                              </w:rPr>
                              <w:t xml:space="preserve"> the possible</w:t>
                            </w:r>
                            <w:r>
                              <w:rPr>
                                <w:rFonts w:ascii="Arial" w:eastAsia="Calibri" w:hAnsi="Arial" w:cs="Arial"/>
                                <w:iCs/>
                                <w:spacing w:val="-1"/>
                              </w:rPr>
                              <w:t xml:space="preserve"> context and</w:t>
                            </w:r>
                            <w:r w:rsidRPr="00286D10">
                              <w:rPr>
                                <w:rFonts w:ascii="Arial" w:eastAsia="Calibri" w:hAnsi="Arial" w:cs="Arial"/>
                                <w:iCs/>
                                <w:spacing w:val="-1"/>
                              </w:rPr>
                              <w:t xml:space="preserve"> mechanisms through which the </w:t>
                            </w:r>
                            <w:r>
                              <w:rPr>
                                <w:rFonts w:ascii="Arial" w:eastAsia="Calibri" w:hAnsi="Arial" w:cs="Arial"/>
                                <w:iCs/>
                                <w:spacing w:val="-1"/>
                              </w:rPr>
                              <w:t>intervention/</w:t>
                            </w:r>
                            <w:r w:rsidRPr="00286D10">
                              <w:rPr>
                                <w:rFonts w:ascii="Arial" w:eastAsia="Calibri" w:hAnsi="Arial" w:cs="Arial"/>
                                <w:iCs/>
                                <w:spacing w:val="-1"/>
                              </w:rPr>
                              <w:t xml:space="preserve">programme </w:t>
                            </w:r>
                            <w:r>
                              <w:rPr>
                                <w:rFonts w:ascii="Arial" w:eastAsia="Calibri" w:hAnsi="Arial" w:cs="Arial"/>
                                <w:iCs/>
                                <w:spacing w:val="-1"/>
                              </w:rPr>
                              <w:t xml:space="preserve">is </w:t>
                            </w:r>
                            <w:r w:rsidRPr="00286D10">
                              <w:rPr>
                                <w:rFonts w:ascii="Arial" w:eastAsia="Calibri" w:hAnsi="Arial" w:cs="Arial"/>
                                <w:iCs/>
                                <w:spacing w:val="-1"/>
                              </w:rPr>
                              <w:t>intended to work</w:t>
                            </w:r>
                            <w:r>
                              <w:rPr>
                                <w:rFonts w:ascii="Arial" w:eastAsia="Calibri" w:hAnsi="Arial" w:cs="Arial"/>
                                <w:iCs/>
                                <w:spacing w:val="-1"/>
                              </w:rPr>
                              <w:t>,</w:t>
                            </w:r>
                            <w:r w:rsidRPr="00C624C9">
                              <w:rPr>
                                <w:rFonts w:ascii="Arial" w:eastAsia="Calibri" w:hAnsi="Arial" w:cs="Arial"/>
                                <w:iCs/>
                                <w:spacing w:val="-1"/>
                              </w:rPr>
                              <w:t xml:space="preserve"> </w:t>
                            </w:r>
                            <w:r>
                              <w:rPr>
                                <w:rFonts w:ascii="Arial" w:eastAsia="Calibri" w:hAnsi="Arial" w:cs="Arial"/>
                                <w:iCs/>
                                <w:spacing w:val="-1"/>
                              </w:rPr>
                              <w:t xml:space="preserve">were included </w:t>
                            </w:r>
                            <w:r w:rsidRPr="00C624C9">
                              <w:rPr>
                                <w:rFonts w:ascii="Arial" w:eastAsia="Calibri" w:hAnsi="Arial" w:cs="Arial"/>
                                <w:iCs/>
                                <w:spacing w:val="-1"/>
                              </w:rPr>
                              <w:t>in the review</w:t>
                            </w:r>
                            <w:r w:rsidRPr="00A51616">
                              <w:rPr>
                                <w:rFonts w:ascii="Arial" w:eastAsia="Calibri" w:hAnsi="Arial" w:cs="Arial"/>
                                <w:iCs/>
                                <w:spacing w:val="-1"/>
                              </w:rPr>
                              <w:t xml:space="preserve">. </w:t>
                            </w:r>
                          </w:p>
                          <w:p w14:paraId="1D83F54F" w14:textId="77777777" w:rsidR="007B4616" w:rsidRPr="008D0CCF" w:rsidRDefault="007B4616" w:rsidP="007B4616">
                            <w:pPr>
                              <w:shd w:val="clear" w:color="auto" w:fill="FFFFFF"/>
                              <w:spacing w:after="0" w:line="240" w:lineRule="auto"/>
                              <w:ind w:right="57"/>
                              <w:jc w:val="both"/>
                              <w:rPr>
                                <w:rFonts w:ascii="Arial" w:eastAsia="Calibri" w:hAnsi="Arial" w:cs="Arial"/>
                                <w:i/>
                                <w:iCs/>
                                <w:spacing w:val="-1"/>
                              </w:rPr>
                            </w:pPr>
                            <w:r w:rsidRPr="008D0CCF">
                              <w:rPr>
                                <w:rFonts w:ascii="Arial" w:eastAsia="Calibri" w:hAnsi="Arial" w:cs="Arial"/>
                                <w:i/>
                                <w:iCs/>
                                <w:spacing w:val="-1"/>
                              </w:rPr>
                              <w:t xml:space="preserve">An example of a clearly articulated programme theory associated with this review is detailed below: ‘staff should receive adequate training to ensure they are competent to use the pressure ulcer risk assessment tool. This is especially relevant for novice practitioners who do not have the extensive clinical judgement skills that experienced practitioners have. </w:t>
                            </w:r>
                            <w:proofErr w:type="gramStart"/>
                            <w:r w:rsidRPr="008D0CCF">
                              <w:rPr>
                                <w:rFonts w:ascii="Arial" w:eastAsia="Calibri" w:hAnsi="Arial" w:cs="Arial"/>
                                <w:i/>
                                <w:iCs/>
                                <w:spacing w:val="-1"/>
                              </w:rPr>
                              <w:t>Therefore</w:t>
                            </w:r>
                            <w:proofErr w:type="gramEnd"/>
                            <w:r w:rsidRPr="008D0CCF">
                              <w:rPr>
                                <w:rFonts w:ascii="Arial" w:eastAsia="Calibri" w:hAnsi="Arial" w:cs="Arial"/>
                                <w:i/>
                                <w:iCs/>
                                <w:spacing w:val="-1"/>
                              </w:rPr>
                              <w:t xml:space="preserve"> risk assessment tools may be especially beneficial for them, particularly when admitting patients in order to prioritise care’ [30]</w:t>
                            </w:r>
                            <w:r>
                              <w:rPr>
                                <w:rFonts w:ascii="Arial" w:eastAsia="Calibri" w:hAnsi="Arial" w:cs="Arial"/>
                                <w:i/>
                                <w:iCs/>
                                <w:spacing w:val="-1"/>
                              </w:rPr>
                              <w:t xml:space="preserve">. </w:t>
                            </w:r>
                            <w:r w:rsidRPr="008D0CCF">
                              <w:rPr>
                                <w:rFonts w:ascii="Arial" w:eastAsia="Calibri" w:hAnsi="Arial" w:cs="Arial"/>
                                <w:i/>
                                <w:iCs/>
                                <w:spacing w:val="-1"/>
                              </w:rPr>
                              <w:t xml:space="preserve">To summarise one theory that can be drawn from this is that that novice practitioners who do not have extensive clinical judgement skills (Context) may particularly benefit from PU-RAI use (Mechanism) to help them prioritise care (Outcome). </w:t>
                            </w:r>
                          </w:p>
                          <w:p w14:paraId="6A668986"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7AB6D1DD"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Results</w:t>
                            </w:r>
                          </w:p>
                          <w:p w14:paraId="529DF29C"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Despite the database search identifying 2790 potentially relevant papers (after removal of duplicates), only 2 were considered primary</w:t>
                            </w:r>
                            <w:r w:rsidRPr="00C624C9">
                              <w:rPr>
                                <w:rFonts w:ascii="Arial" w:eastAsia="Calibri" w:hAnsi="Arial" w:cs="Arial"/>
                                <w:iCs/>
                                <w:spacing w:val="-1"/>
                              </w:rPr>
                              <w:t xml:space="preserve"> </w:t>
                            </w:r>
                            <w:r>
                              <w:rPr>
                                <w:rFonts w:ascii="Arial" w:eastAsia="Calibri" w:hAnsi="Arial" w:cs="Arial"/>
                                <w:iCs/>
                                <w:spacing w:val="-1"/>
                              </w:rPr>
                              <w:t xml:space="preserve">papers (Figure 1). </w:t>
                            </w:r>
                          </w:p>
                          <w:p w14:paraId="10713719"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625B6730" w14:textId="77777777" w:rsidR="007B4616" w:rsidRPr="00A66EC8" w:rsidRDefault="007B4616" w:rsidP="007B4616">
                            <w:pPr>
                              <w:shd w:val="clear" w:color="auto" w:fill="FFFFFF"/>
                              <w:spacing w:after="0" w:line="240" w:lineRule="auto"/>
                              <w:ind w:right="57"/>
                              <w:jc w:val="both"/>
                              <w:rPr>
                                <w:rFonts w:ascii="Arial" w:eastAsia="Calibri" w:hAnsi="Arial" w:cs="Arial"/>
                                <w:b/>
                                <w:iCs/>
                                <w:spacing w:val="-1"/>
                                <w:lang w:val="en-US"/>
                              </w:rPr>
                            </w:pPr>
                            <w:r w:rsidRPr="00A66EC8">
                              <w:rPr>
                                <w:rFonts w:ascii="Arial" w:eastAsia="Calibri" w:hAnsi="Arial" w:cs="Arial"/>
                                <w:b/>
                                <w:iCs/>
                                <w:spacing w:val="-1"/>
                                <w:lang w:val="en-US"/>
                              </w:rPr>
                              <w:t xml:space="preserve">Subsequent </w:t>
                            </w:r>
                            <w:r>
                              <w:rPr>
                                <w:rFonts w:ascii="Arial" w:eastAsia="Calibri" w:hAnsi="Arial" w:cs="Arial"/>
                                <w:b/>
                                <w:iCs/>
                                <w:spacing w:val="-1"/>
                                <w:lang w:val="en-US"/>
                              </w:rPr>
                              <w:t xml:space="preserve">Google </w:t>
                            </w:r>
                            <w:r w:rsidRPr="00A66EC8">
                              <w:rPr>
                                <w:rFonts w:ascii="Arial" w:eastAsia="Calibri" w:hAnsi="Arial" w:cs="Arial"/>
                                <w:b/>
                                <w:iCs/>
                                <w:spacing w:val="-1"/>
                                <w:lang w:val="en-US"/>
                              </w:rPr>
                              <w:t>Search</w:t>
                            </w:r>
                          </w:p>
                          <w:p w14:paraId="6792839D"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lang w:val="en-US"/>
                              </w:rPr>
                              <w:t>Due to the inadequate results of the academic database search a simple Google search of ‘pressure ulcer risk assessment’ and ‘pressure ulcer risk assessment tools’ was undertaken in September 2017. As a large volume of papers were identified and limited resources were available the screening was limited to the first five pages of the Google search. This identified 71 potentially relevant papers (</w:t>
                            </w:r>
                            <w:r>
                              <w:rPr>
                                <w:rFonts w:ascii="Arial" w:eastAsia="Calibri" w:hAnsi="Arial" w:cs="Arial"/>
                                <w:iCs/>
                                <w:spacing w:val="-1"/>
                              </w:rPr>
                              <w:t xml:space="preserve">after removal of duplicates) with </w:t>
                            </w:r>
                            <w:r>
                              <w:rPr>
                                <w:rFonts w:ascii="Arial" w:eastAsia="Calibri" w:hAnsi="Arial" w:cs="Arial"/>
                                <w:iCs/>
                                <w:spacing w:val="-1"/>
                                <w:lang w:val="en-US"/>
                              </w:rPr>
                              <w:t xml:space="preserve">6 additional primary papers being of relevance. Two further papers were identified from the researchers’ knowledge (Figure 1). </w:t>
                            </w:r>
                          </w:p>
                          <w:p w14:paraId="7ACFFC71" w14:textId="77777777" w:rsidR="007B4616" w:rsidRDefault="007B4616" w:rsidP="007B46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CB60F37" id="_x0000_t202" coordsize="21600,21600" o:spt="202" path="m,l,21600r21600,l21600,xe">
                <v:stroke joinstyle="miter"/>
                <v:path gradientshapeok="t" o:connecttype="rect"/>
              </v:shapetype>
              <v:shape id="Text Box 7" o:spid="_x0000_s1026" type="#_x0000_t202" style="position:absolute;margin-left:0;margin-top:0;width:435.75pt;height:62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" fillcolor="white [3201]" strokeweight=".5pt">
                <v:textbox>
                  <w:txbxContent>
                    <w:p w14:paraId="62606E6A"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Introduction</w:t>
                      </w:r>
                    </w:p>
                    <w:p w14:paraId="2878D125"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 xml:space="preserve">An academic database search was undertaken to identify programme theories associated PU-RAI use. </w:t>
                      </w:r>
                      <w:r w:rsidRPr="00AB2ADD">
                        <w:rPr>
                          <w:rFonts w:ascii="Arial" w:eastAsia="Calibri" w:hAnsi="Arial" w:cs="Arial"/>
                          <w:iCs/>
                          <w:spacing w:val="-1"/>
                        </w:rPr>
                        <w:t>We were looking for a range of publication types and expected to find some grey literature in the academic databases</w:t>
                      </w:r>
                      <w:r>
                        <w:rPr>
                          <w:rFonts w:ascii="Arial" w:eastAsia="Calibri" w:hAnsi="Arial" w:cs="Arial"/>
                          <w:iCs/>
                          <w:spacing w:val="-1"/>
                        </w:rPr>
                        <w:t xml:space="preserve"> due to their content coverage. This was supplemented with a Google search. </w:t>
                      </w:r>
                    </w:p>
                    <w:p w14:paraId="3DFC3CDA"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Method</w:t>
                      </w:r>
                    </w:p>
                    <w:p w14:paraId="10B74AD2"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A search strategy incorporating</w:t>
                      </w:r>
                      <w:r w:rsidRPr="006400B5">
                        <w:rPr>
                          <w:rFonts w:ascii="Arial" w:eastAsia="Calibri" w:hAnsi="Arial" w:cs="Arial"/>
                          <w:iCs/>
                          <w:spacing w:val="-1"/>
                        </w:rPr>
                        <w:t xml:space="preserve"> key words relating to risk assessment, pressure ulcers and other areas associated with risk assessment instruments including falls and frailty as well as </w:t>
                      </w:r>
                      <w:r>
                        <w:rPr>
                          <w:rFonts w:ascii="Arial" w:eastAsia="Calibri" w:hAnsi="Arial" w:cs="Arial"/>
                          <w:iCs/>
                          <w:spacing w:val="-1"/>
                        </w:rPr>
                        <w:t xml:space="preserve">theories and publication types </w:t>
                      </w:r>
                      <w:r w:rsidRPr="006400B5">
                        <w:rPr>
                          <w:rFonts w:ascii="Arial" w:eastAsia="Calibri" w:hAnsi="Arial" w:cs="Arial"/>
                          <w:iCs/>
                          <w:spacing w:val="-1"/>
                        </w:rPr>
                        <w:t>(systematic review, commentary, opinion piece and editorial)</w:t>
                      </w:r>
                      <w:r>
                        <w:rPr>
                          <w:rFonts w:ascii="Arial" w:eastAsia="Calibri" w:hAnsi="Arial" w:cs="Arial"/>
                          <w:iCs/>
                          <w:spacing w:val="-1"/>
                        </w:rPr>
                        <w:t xml:space="preserve"> (Appendix 1) was used</w:t>
                      </w:r>
                      <w:r w:rsidRPr="006400B5">
                        <w:rPr>
                          <w:rFonts w:ascii="Arial" w:eastAsia="Calibri" w:hAnsi="Arial" w:cs="Arial"/>
                          <w:iCs/>
                          <w:spacing w:val="-1"/>
                        </w:rPr>
                        <w:t xml:space="preserve">. </w:t>
                      </w:r>
                      <w:r>
                        <w:rPr>
                          <w:rFonts w:ascii="Arial" w:eastAsia="Calibri" w:hAnsi="Arial" w:cs="Arial"/>
                          <w:iCs/>
                          <w:spacing w:val="-1"/>
                        </w:rPr>
                        <w:t xml:space="preserve">Five </w:t>
                      </w:r>
                      <w:r w:rsidRPr="006400B5">
                        <w:rPr>
                          <w:rFonts w:ascii="Arial" w:eastAsia="Calibri" w:hAnsi="Arial" w:cs="Arial"/>
                          <w:iCs/>
                          <w:spacing w:val="-1"/>
                        </w:rPr>
                        <w:t xml:space="preserve">databases </w:t>
                      </w:r>
                      <w:r>
                        <w:rPr>
                          <w:rFonts w:ascii="Arial" w:eastAsia="Calibri" w:hAnsi="Arial" w:cs="Arial"/>
                          <w:iCs/>
                          <w:spacing w:val="-1"/>
                        </w:rPr>
                        <w:t>were</w:t>
                      </w:r>
                      <w:r w:rsidRPr="006400B5">
                        <w:rPr>
                          <w:rFonts w:ascii="Arial" w:eastAsia="Calibri" w:hAnsi="Arial" w:cs="Arial"/>
                          <w:iCs/>
                          <w:spacing w:val="-1"/>
                        </w:rPr>
                        <w:t xml:space="preserve"> searched from 1970 to</w:t>
                      </w:r>
                      <w:r>
                        <w:rPr>
                          <w:rFonts w:ascii="Arial" w:eastAsia="Calibri" w:hAnsi="Arial" w:cs="Arial"/>
                          <w:iCs/>
                          <w:spacing w:val="-1"/>
                        </w:rPr>
                        <w:t xml:space="preserve"> May 2017 (</w:t>
                      </w:r>
                      <w:r w:rsidRPr="006400B5">
                        <w:rPr>
                          <w:rFonts w:ascii="Arial" w:eastAsia="Calibri" w:hAnsi="Arial" w:cs="Arial"/>
                          <w:iCs/>
                          <w:spacing w:val="-1"/>
                        </w:rPr>
                        <w:t>Cochrane Database of Systematic Reviews</w:t>
                      </w:r>
                      <w:r>
                        <w:rPr>
                          <w:rFonts w:ascii="Arial" w:eastAsia="Calibri" w:hAnsi="Arial" w:cs="Arial"/>
                          <w:iCs/>
                          <w:spacing w:val="-1"/>
                        </w:rPr>
                        <w:t xml:space="preserve">, </w:t>
                      </w:r>
                      <w:r w:rsidRPr="006400B5">
                        <w:rPr>
                          <w:rFonts w:ascii="Arial" w:eastAsia="Calibri" w:hAnsi="Arial" w:cs="Arial"/>
                          <w:iCs/>
                          <w:spacing w:val="-1"/>
                        </w:rPr>
                        <w:t>Ovid MEDLINE</w:t>
                      </w:r>
                      <w:r>
                        <w:rPr>
                          <w:rFonts w:ascii="Arial" w:eastAsia="Calibri" w:hAnsi="Arial" w:cs="Arial"/>
                          <w:iCs/>
                          <w:spacing w:val="-1"/>
                        </w:rPr>
                        <w:t xml:space="preserve">, </w:t>
                      </w:r>
                      <w:r w:rsidRPr="006400B5">
                        <w:rPr>
                          <w:rFonts w:ascii="Arial" w:eastAsia="Calibri" w:hAnsi="Arial" w:cs="Arial"/>
                          <w:iCs/>
                          <w:spacing w:val="-1"/>
                          <w:lang w:val="en-US"/>
                        </w:rPr>
                        <w:t>Ovid HMIC</w:t>
                      </w:r>
                      <w:r>
                        <w:rPr>
                          <w:rFonts w:ascii="Arial" w:eastAsia="Calibri" w:hAnsi="Arial" w:cs="Arial"/>
                          <w:iCs/>
                          <w:spacing w:val="-1"/>
                          <w:lang w:val="en-US"/>
                        </w:rPr>
                        <w:t xml:space="preserve">, </w:t>
                      </w:r>
                      <w:r w:rsidRPr="006400B5">
                        <w:rPr>
                          <w:rFonts w:ascii="Arial" w:eastAsia="Calibri" w:hAnsi="Arial" w:cs="Arial"/>
                          <w:iCs/>
                          <w:spacing w:val="-1"/>
                          <w:lang w:val="en-US"/>
                        </w:rPr>
                        <w:t>Ovid Embase</w:t>
                      </w:r>
                      <w:r>
                        <w:rPr>
                          <w:rFonts w:ascii="Arial" w:eastAsia="Calibri" w:hAnsi="Arial" w:cs="Arial"/>
                          <w:iCs/>
                          <w:spacing w:val="-1"/>
                          <w:lang w:val="en-US"/>
                        </w:rPr>
                        <w:t xml:space="preserve">, </w:t>
                      </w:r>
                      <w:r w:rsidRPr="006400B5">
                        <w:rPr>
                          <w:rFonts w:ascii="Arial" w:eastAsia="Calibri" w:hAnsi="Arial" w:cs="Arial"/>
                          <w:iCs/>
                          <w:spacing w:val="-1"/>
                          <w:lang w:val="en-US"/>
                        </w:rPr>
                        <w:t>CINAHL</w:t>
                      </w:r>
                      <w:r>
                        <w:rPr>
                          <w:rFonts w:ascii="Arial" w:eastAsia="Calibri" w:hAnsi="Arial" w:cs="Arial"/>
                          <w:iCs/>
                          <w:spacing w:val="-1"/>
                          <w:lang w:val="en-US"/>
                        </w:rPr>
                        <w:t xml:space="preserve"> EBSCOhost). </w:t>
                      </w:r>
                    </w:p>
                    <w:p w14:paraId="62BE02AC" w14:textId="77777777" w:rsidR="007B4616" w:rsidRDefault="007B4616" w:rsidP="007B4616">
                      <w:pPr>
                        <w:shd w:val="clear" w:color="auto" w:fill="FFFFFF"/>
                        <w:spacing w:after="0" w:line="240" w:lineRule="auto"/>
                        <w:ind w:left="284" w:right="57"/>
                        <w:jc w:val="both"/>
                        <w:rPr>
                          <w:rFonts w:ascii="Arial" w:eastAsia="Calibri" w:hAnsi="Arial" w:cs="Arial"/>
                          <w:iCs/>
                          <w:spacing w:val="-1"/>
                        </w:rPr>
                      </w:pPr>
                    </w:p>
                    <w:p w14:paraId="2E797D04" w14:textId="77777777" w:rsidR="007B4616" w:rsidRDefault="007B4616" w:rsidP="007B4616">
                      <w:pPr>
                        <w:shd w:val="clear" w:color="auto" w:fill="FFFFFF"/>
                        <w:spacing w:after="0" w:line="240" w:lineRule="auto"/>
                        <w:ind w:right="57"/>
                        <w:jc w:val="both"/>
                        <w:rPr>
                          <w:rFonts w:ascii="Arial" w:hAnsi="Arial" w:cs="Arial"/>
                          <w:color w:val="000000"/>
                        </w:rPr>
                      </w:pPr>
                      <w:r w:rsidRPr="008D0CCF">
                        <w:rPr>
                          <w:rFonts w:ascii="Arial" w:eastAsia="Calibri" w:hAnsi="Arial" w:cs="Arial"/>
                          <w:i/>
                          <w:iCs/>
                          <w:spacing w:val="-1"/>
                        </w:rPr>
                        <w:t>Inclusion criteria:</w:t>
                      </w:r>
                      <w:r>
                        <w:rPr>
                          <w:rFonts w:ascii="Arial" w:eastAsia="Calibri" w:hAnsi="Arial" w:cs="Arial"/>
                          <w:iCs/>
                          <w:spacing w:val="-1"/>
                        </w:rPr>
                        <w:t xml:space="preserve"> </w:t>
                      </w:r>
                      <w:r w:rsidRPr="00023180">
                        <w:rPr>
                          <w:rFonts w:ascii="Arial" w:hAnsi="Arial" w:cs="Arial"/>
                          <w:color w:val="000000"/>
                        </w:rPr>
                        <w:t>Papers relating to RA</w:t>
                      </w:r>
                      <w:r>
                        <w:rPr>
                          <w:rFonts w:ascii="Arial" w:hAnsi="Arial" w:cs="Arial"/>
                          <w:color w:val="000000"/>
                        </w:rPr>
                        <w:t>I</w:t>
                      </w:r>
                      <w:r w:rsidRPr="00023180">
                        <w:rPr>
                          <w:rFonts w:ascii="Arial" w:hAnsi="Arial" w:cs="Arial"/>
                          <w:color w:val="000000"/>
                        </w:rPr>
                        <w:t xml:space="preserve">s </w:t>
                      </w:r>
                      <w:r>
                        <w:rPr>
                          <w:rFonts w:ascii="Arial" w:hAnsi="Arial" w:cs="Arial"/>
                          <w:color w:val="000000"/>
                        </w:rPr>
                        <w:t>which describe, review, discuss, critique, provide a theoretical framework or provide stakeholder accounts of use.</w:t>
                      </w:r>
                    </w:p>
                    <w:p w14:paraId="05BDD7F3" w14:textId="77777777" w:rsidR="007B4616" w:rsidRPr="00023180" w:rsidRDefault="007B4616" w:rsidP="007B4616">
                      <w:pPr>
                        <w:shd w:val="clear" w:color="auto" w:fill="FFFFFF"/>
                        <w:spacing w:after="0" w:line="240" w:lineRule="auto"/>
                        <w:ind w:right="57"/>
                        <w:jc w:val="both"/>
                        <w:rPr>
                          <w:rFonts w:ascii="Arial" w:hAnsi="Arial" w:cs="Arial"/>
                          <w:color w:val="000000"/>
                        </w:rPr>
                      </w:pPr>
                      <w:r w:rsidRPr="008D0CCF">
                        <w:rPr>
                          <w:rFonts w:ascii="Arial" w:hAnsi="Arial" w:cs="Arial"/>
                          <w:i/>
                          <w:color w:val="000000"/>
                        </w:rPr>
                        <w:t>Exclusion criteria:</w:t>
                      </w:r>
                      <w:r>
                        <w:rPr>
                          <w:rFonts w:ascii="Arial" w:hAnsi="Arial" w:cs="Arial"/>
                          <w:color w:val="000000"/>
                        </w:rPr>
                        <w:t xml:space="preserve"> P</w:t>
                      </w:r>
                      <w:r w:rsidRPr="00023180">
                        <w:rPr>
                          <w:rFonts w:ascii="Arial" w:hAnsi="Arial" w:cs="Arial"/>
                        </w:rPr>
                        <w:t>ape</w:t>
                      </w:r>
                      <w:r w:rsidRPr="00023180">
                        <w:rPr>
                          <w:rFonts w:ascii="Arial" w:hAnsi="Arial" w:cs="Arial"/>
                          <w:color w:val="000000"/>
                        </w:rPr>
                        <w:t>rs relating to RA</w:t>
                      </w:r>
                      <w:r>
                        <w:rPr>
                          <w:rFonts w:ascii="Arial" w:hAnsi="Arial" w:cs="Arial"/>
                          <w:color w:val="000000"/>
                        </w:rPr>
                        <w:t>I</w:t>
                      </w:r>
                      <w:r w:rsidRPr="00023180">
                        <w:rPr>
                          <w:rFonts w:ascii="Arial" w:hAnsi="Arial" w:cs="Arial"/>
                          <w:color w:val="000000"/>
                        </w:rPr>
                        <w:t xml:space="preserve">s </w:t>
                      </w:r>
                      <w:r>
                        <w:rPr>
                          <w:rFonts w:ascii="Arial" w:hAnsi="Arial" w:cs="Arial"/>
                          <w:color w:val="000000"/>
                        </w:rPr>
                        <w:t>as a research tool or to assess psychometric properties.</w:t>
                      </w:r>
                    </w:p>
                    <w:p w14:paraId="5F12426B"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5A8AE51A"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
                          <w:iCs/>
                          <w:spacing w:val="-1"/>
                        </w:rPr>
                        <w:t xml:space="preserve">Screening: </w:t>
                      </w:r>
                      <w:r w:rsidRPr="006400B5">
                        <w:rPr>
                          <w:rFonts w:ascii="Arial" w:eastAsia="Calibri" w:hAnsi="Arial" w:cs="Arial"/>
                          <w:iCs/>
                          <w:spacing w:val="-1"/>
                        </w:rPr>
                        <w:t>After removal of duplicates, the titles, abstracts</w:t>
                      </w:r>
                      <w:r>
                        <w:rPr>
                          <w:rFonts w:ascii="Arial" w:eastAsia="Calibri" w:hAnsi="Arial" w:cs="Arial"/>
                          <w:iCs/>
                          <w:spacing w:val="-1"/>
                        </w:rPr>
                        <w:t>,</w:t>
                      </w:r>
                      <w:r w:rsidRPr="006400B5">
                        <w:rPr>
                          <w:rFonts w:ascii="Arial" w:eastAsia="Calibri" w:hAnsi="Arial" w:cs="Arial"/>
                          <w:iCs/>
                          <w:spacing w:val="-1"/>
                        </w:rPr>
                        <w:t xml:space="preserve"> and key words of identified papers </w:t>
                      </w:r>
                      <w:r>
                        <w:rPr>
                          <w:rFonts w:ascii="Arial" w:eastAsia="Calibri" w:hAnsi="Arial" w:cs="Arial"/>
                          <w:iCs/>
                          <w:spacing w:val="-1"/>
                        </w:rPr>
                        <w:t>were screened for relevance</w:t>
                      </w:r>
                      <w:r w:rsidRPr="00243E19">
                        <w:rPr>
                          <w:rFonts w:ascii="Arial" w:eastAsia="Arial" w:hAnsi="Arial" w:cs="Arial"/>
                          <w:spacing w:val="-1"/>
                        </w:rPr>
                        <w:t xml:space="preserve"> </w:t>
                      </w:r>
                      <w:r w:rsidRPr="00243E19">
                        <w:rPr>
                          <w:rFonts w:ascii="Arial" w:eastAsia="Calibri" w:hAnsi="Arial" w:cs="Arial"/>
                          <w:iCs/>
                          <w:spacing w:val="-1"/>
                        </w:rPr>
                        <w:t xml:space="preserve">by the primary reviewer (SC). </w:t>
                      </w:r>
                      <w:r>
                        <w:rPr>
                          <w:rFonts w:ascii="Arial" w:eastAsia="Calibri" w:hAnsi="Arial" w:cs="Arial"/>
                          <w:iCs/>
                          <w:spacing w:val="-1"/>
                        </w:rPr>
                        <w:t>Papers</w:t>
                      </w:r>
                      <w:r w:rsidRPr="006400B5">
                        <w:rPr>
                          <w:rFonts w:ascii="Arial" w:eastAsia="Calibri" w:hAnsi="Arial" w:cs="Arial"/>
                          <w:iCs/>
                          <w:spacing w:val="-1"/>
                        </w:rPr>
                        <w:t xml:space="preserve"> considered potentially relevant </w:t>
                      </w:r>
                      <w:r>
                        <w:rPr>
                          <w:rFonts w:ascii="Arial" w:eastAsia="Calibri" w:hAnsi="Arial" w:cs="Arial"/>
                          <w:iCs/>
                          <w:spacing w:val="-1"/>
                        </w:rPr>
                        <w:t>were</w:t>
                      </w:r>
                      <w:r w:rsidRPr="006400B5">
                        <w:rPr>
                          <w:rFonts w:ascii="Arial" w:eastAsia="Calibri" w:hAnsi="Arial" w:cs="Arial"/>
                          <w:iCs/>
                          <w:spacing w:val="-1"/>
                        </w:rPr>
                        <w:t xml:space="preserve"> obtained in full and </w:t>
                      </w:r>
                      <w:r>
                        <w:rPr>
                          <w:rFonts w:ascii="Arial" w:eastAsia="Calibri" w:hAnsi="Arial" w:cs="Arial"/>
                          <w:iCs/>
                          <w:spacing w:val="-1"/>
                        </w:rPr>
                        <w:t xml:space="preserve">reviewed </w:t>
                      </w:r>
                      <w:r w:rsidRPr="006400B5">
                        <w:rPr>
                          <w:rFonts w:ascii="Arial" w:eastAsia="Calibri" w:hAnsi="Arial" w:cs="Arial"/>
                          <w:iCs/>
                          <w:spacing w:val="-1"/>
                        </w:rPr>
                        <w:t>to assess validity and similarity (repetition) of identified programme theories.</w:t>
                      </w:r>
                      <w:r w:rsidRPr="00243E19">
                        <w:rPr>
                          <w:rFonts w:ascii="Arial" w:eastAsia="Calibri" w:hAnsi="Arial" w:cs="Arial"/>
                          <w:iCs/>
                          <w:spacing w:val="-1"/>
                        </w:rPr>
                        <w:t xml:space="preserve"> A 10% random sample of those screened </w:t>
                      </w:r>
                      <w:r>
                        <w:rPr>
                          <w:rFonts w:ascii="Arial" w:eastAsia="Calibri" w:hAnsi="Arial" w:cs="Arial"/>
                          <w:iCs/>
                          <w:spacing w:val="-1"/>
                        </w:rPr>
                        <w:t>and those potentially relevant were</w:t>
                      </w:r>
                      <w:r w:rsidRPr="00243E19">
                        <w:rPr>
                          <w:rFonts w:ascii="Arial" w:eastAsia="Calibri" w:hAnsi="Arial" w:cs="Arial"/>
                          <w:iCs/>
                          <w:spacing w:val="-1"/>
                        </w:rPr>
                        <w:t xml:space="preserve"> independently screened by a second reviewer</w:t>
                      </w:r>
                      <w:r>
                        <w:rPr>
                          <w:rFonts w:ascii="Arial" w:eastAsia="Calibri" w:hAnsi="Arial" w:cs="Arial"/>
                          <w:iCs/>
                          <w:spacing w:val="-1"/>
                        </w:rPr>
                        <w:t xml:space="preserve"> (JG). Following identification of papers including relevant theories, the primary papers </w:t>
                      </w:r>
                      <w:r w:rsidRPr="00286D10">
                        <w:rPr>
                          <w:rFonts w:ascii="Arial" w:hAnsi="Arial" w:cs="Arial"/>
                        </w:rPr>
                        <w:t>i.e.</w:t>
                      </w:r>
                      <w:r>
                        <w:rPr>
                          <w:rFonts w:ascii="Arial" w:hAnsi="Arial" w:cs="Arial"/>
                        </w:rPr>
                        <w:t xml:space="preserve"> those</w:t>
                      </w:r>
                      <w:r w:rsidRPr="00286D10">
                        <w:rPr>
                          <w:rFonts w:ascii="Arial" w:hAnsi="Arial" w:cs="Arial"/>
                        </w:rPr>
                        <w:t xml:space="preserve"> providing</w:t>
                      </w:r>
                      <w:r w:rsidRPr="00286D10">
                        <w:t xml:space="preserve"> </w:t>
                      </w:r>
                      <w:r>
                        <w:rPr>
                          <w:rFonts w:ascii="Arial" w:eastAsia="Calibri" w:hAnsi="Arial" w:cs="Arial"/>
                          <w:iCs/>
                          <w:spacing w:val="-1"/>
                        </w:rPr>
                        <w:t>clear</w:t>
                      </w:r>
                      <w:r w:rsidRPr="00286D10">
                        <w:rPr>
                          <w:rFonts w:ascii="Arial" w:eastAsia="Calibri" w:hAnsi="Arial" w:cs="Arial"/>
                          <w:iCs/>
                          <w:spacing w:val="-1"/>
                        </w:rPr>
                        <w:t xml:space="preserve"> detail</w:t>
                      </w:r>
                      <w:r>
                        <w:rPr>
                          <w:rFonts w:ascii="Arial" w:eastAsia="Calibri" w:hAnsi="Arial" w:cs="Arial"/>
                          <w:iCs/>
                          <w:spacing w:val="-1"/>
                        </w:rPr>
                        <w:t xml:space="preserve"> of</w:t>
                      </w:r>
                      <w:r w:rsidRPr="00286D10">
                        <w:rPr>
                          <w:rFonts w:ascii="Arial" w:eastAsia="Calibri" w:hAnsi="Arial" w:cs="Arial"/>
                          <w:iCs/>
                          <w:spacing w:val="-1"/>
                        </w:rPr>
                        <w:t xml:space="preserve"> the possible</w:t>
                      </w:r>
                      <w:r>
                        <w:rPr>
                          <w:rFonts w:ascii="Arial" w:eastAsia="Calibri" w:hAnsi="Arial" w:cs="Arial"/>
                          <w:iCs/>
                          <w:spacing w:val="-1"/>
                        </w:rPr>
                        <w:t xml:space="preserve"> context and</w:t>
                      </w:r>
                      <w:r w:rsidRPr="00286D10">
                        <w:rPr>
                          <w:rFonts w:ascii="Arial" w:eastAsia="Calibri" w:hAnsi="Arial" w:cs="Arial"/>
                          <w:iCs/>
                          <w:spacing w:val="-1"/>
                        </w:rPr>
                        <w:t xml:space="preserve"> mechanisms through which the </w:t>
                      </w:r>
                      <w:r>
                        <w:rPr>
                          <w:rFonts w:ascii="Arial" w:eastAsia="Calibri" w:hAnsi="Arial" w:cs="Arial"/>
                          <w:iCs/>
                          <w:spacing w:val="-1"/>
                        </w:rPr>
                        <w:t>intervention/</w:t>
                      </w:r>
                      <w:r w:rsidRPr="00286D10">
                        <w:rPr>
                          <w:rFonts w:ascii="Arial" w:eastAsia="Calibri" w:hAnsi="Arial" w:cs="Arial"/>
                          <w:iCs/>
                          <w:spacing w:val="-1"/>
                        </w:rPr>
                        <w:t xml:space="preserve">programme </w:t>
                      </w:r>
                      <w:r>
                        <w:rPr>
                          <w:rFonts w:ascii="Arial" w:eastAsia="Calibri" w:hAnsi="Arial" w:cs="Arial"/>
                          <w:iCs/>
                          <w:spacing w:val="-1"/>
                        </w:rPr>
                        <w:t xml:space="preserve">is </w:t>
                      </w:r>
                      <w:r w:rsidRPr="00286D10">
                        <w:rPr>
                          <w:rFonts w:ascii="Arial" w:eastAsia="Calibri" w:hAnsi="Arial" w:cs="Arial"/>
                          <w:iCs/>
                          <w:spacing w:val="-1"/>
                        </w:rPr>
                        <w:t>intended to work</w:t>
                      </w:r>
                      <w:r>
                        <w:rPr>
                          <w:rFonts w:ascii="Arial" w:eastAsia="Calibri" w:hAnsi="Arial" w:cs="Arial"/>
                          <w:iCs/>
                          <w:spacing w:val="-1"/>
                        </w:rPr>
                        <w:t>,</w:t>
                      </w:r>
                      <w:r w:rsidRPr="00C624C9">
                        <w:rPr>
                          <w:rFonts w:ascii="Arial" w:eastAsia="Calibri" w:hAnsi="Arial" w:cs="Arial"/>
                          <w:iCs/>
                          <w:spacing w:val="-1"/>
                        </w:rPr>
                        <w:t xml:space="preserve"> </w:t>
                      </w:r>
                      <w:r>
                        <w:rPr>
                          <w:rFonts w:ascii="Arial" w:eastAsia="Calibri" w:hAnsi="Arial" w:cs="Arial"/>
                          <w:iCs/>
                          <w:spacing w:val="-1"/>
                        </w:rPr>
                        <w:t xml:space="preserve">were included </w:t>
                      </w:r>
                      <w:r w:rsidRPr="00C624C9">
                        <w:rPr>
                          <w:rFonts w:ascii="Arial" w:eastAsia="Calibri" w:hAnsi="Arial" w:cs="Arial"/>
                          <w:iCs/>
                          <w:spacing w:val="-1"/>
                        </w:rPr>
                        <w:t>in the review</w:t>
                      </w:r>
                      <w:r w:rsidRPr="00A51616">
                        <w:rPr>
                          <w:rFonts w:ascii="Arial" w:eastAsia="Calibri" w:hAnsi="Arial" w:cs="Arial"/>
                          <w:iCs/>
                          <w:spacing w:val="-1"/>
                        </w:rPr>
                        <w:t xml:space="preserve">. </w:t>
                      </w:r>
                    </w:p>
                    <w:p w14:paraId="1D83F54F" w14:textId="77777777" w:rsidR="007B4616" w:rsidRPr="008D0CCF" w:rsidRDefault="007B4616" w:rsidP="007B4616">
                      <w:pPr>
                        <w:shd w:val="clear" w:color="auto" w:fill="FFFFFF"/>
                        <w:spacing w:after="0" w:line="240" w:lineRule="auto"/>
                        <w:ind w:right="57"/>
                        <w:jc w:val="both"/>
                        <w:rPr>
                          <w:rFonts w:ascii="Arial" w:eastAsia="Calibri" w:hAnsi="Arial" w:cs="Arial"/>
                          <w:i/>
                          <w:iCs/>
                          <w:spacing w:val="-1"/>
                        </w:rPr>
                      </w:pPr>
                      <w:r w:rsidRPr="008D0CCF">
                        <w:rPr>
                          <w:rFonts w:ascii="Arial" w:eastAsia="Calibri" w:hAnsi="Arial" w:cs="Arial"/>
                          <w:i/>
                          <w:iCs/>
                          <w:spacing w:val="-1"/>
                        </w:rPr>
                        <w:t xml:space="preserve">An example of a clearly articulated programme theory associated with this review is detailed below: ‘staff should receive adequate training to ensure they are competent to use the pressure ulcer risk assessment tool. This is especially relevant for novice practitioners who do not have the extensive clinical judgement skills that experienced practitioners have. </w:t>
                      </w:r>
                      <w:proofErr w:type="gramStart"/>
                      <w:r w:rsidRPr="008D0CCF">
                        <w:rPr>
                          <w:rFonts w:ascii="Arial" w:eastAsia="Calibri" w:hAnsi="Arial" w:cs="Arial"/>
                          <w:i/>
                          <w:iCs/>
                          <w:spacing w:val="-1"/>
                        </w:rPr>
                        <w:t>Therefore</w:t>
                      </w:r>
                      <w:proofErr w:type="gramEnd"/>
                      <w:r w:rsidRPr="008D0CCF">
                        <w:rPr>
                          <w:rFonts w:ascii="Arial" w:eastAsia="Calibri" w:hAnsi="Arial" w:cs="Arial"/>
                          <w:i/>
                          <w:iCs/>
                          <w:spacing w:val="-1"/>
                        </w:rPr>
                        <w:t xml:space="preserve"> risk assessment tools may be especially beneficial for them, particularly when admitting patients in order to prioritise care’ [30]</w:t>
                      </w:r>
                      <w:r>
                        <w:rPr>
                          <w:rFonts w:ascii="Arial" w:eastAsia="Calibri" w:hAnsi="Arial" w:cs="Arial"/>
                          <w:i/>
                          <w:iCs/>
                          <w:spacing w:val="-1"/>
                        </w:rPr>
                        <w:t xml:space="preserve">. </w:t>
                      </w:r>
                      <w:r w:rsidRPr="008D0CCF">
                        <w:rPr>
                          <w:rFonts w:ascii="Arial" w:eastAsia="Calibri" w:hAnsi="Arial" w:cs="Arial"/>
                          <w:i/>
                          <w:iCs/>
                          <w:spacing w:val="-1"/>
                        </w:rPr>
                        <w:t xml:space="preserve">To summarise one theory that can be drawn from this is that that novice practitioners who do not have extensive clinical judgement skills (Context) may particularly benefit from PU-RAI use (Mechanism) to help them prioritise care (Outcome). </w:t>
                      </w:r>
                    </w:p>
                    <w:p w14:paraId="6A668986"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7AB6D1DD" w14:textId="77777777" w:rsidR="007B4616" w:rsidRPr="008D0CCF" w:rsidRDefault="007B4616" w:rsidP="007B4616">
                      <w:pPr>
                        <w:shd w:val="clear" w:color="auto" w:fill="FFFFFF"/>
                        <w:spacing w:after="0" w:line="240" w:lineRule="auto"/>
                        <w:ind w:right="57"/>
                        <w:jc w:val="both"/>
                        <w:rPr>
                          <w:rFonts w:ascii="Arial" w:eastAsia="Calibri" w:hAnsi="Arial" w:cs="Arial"/>
                          <w:b/>
                          <w:iCs/>
                          <w:spacing w:val="-1"/>
                        </w:rPr>
                      </w:pPr>
                      <w:r w:rsidRPr="008D0CCF">
                        <w:rPr>
                          <w:rFonts w:ascii="Arial" w:eastAsia="Calibri" w:hAnsi="Arial" w:cs="Arial"/>
                          <w:b/>
                          <w:iCs/>
                          <w:spacing w:val="-1"/>
                        </w:rPr>
                        <w:t>Results</w:t>
                      </w:r>
                    </w:p>
                    <w:p w14:paraId="529DF29C"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rPr>
                        <w:t>Despite the database search identifying 2790 potentially relevant papers (after removal of duplicates), only 2 were considered primary</w:t>
                      </w:r>
                      <w:r w:rsidRPr="00C624C9">
                        <w:rPr>
                          <w:rFonts w:ascii="Arial" w:eastAsia="Calibri" w:hAnsi="Arial" w:cs="Arial"/>
                          <w:iCs/>
                          <w:spacing w:val="-1"/>
                        </w:rPr>
                        <w:t xml:space="preserve"> </w:t>
                      </w:r>
                      <w:r>
                        <w:rPr>
                          <w:rFonts w:ascii="Arial" w:eastAsia="Calibri" w:hAnsi="Arial" w:cs="Arial"/>
                          <w:iCs/>
                          <w:spacing w:val="-1"/>
                        </w:rPr>
                        <w:t xml:space="preserve">papers (Figure 1). </w:t>
                      </w:r>
                    </w:p>
                    <w:p w14:paraId="10713719" w14:textId="77777777" w:rsidR="007B4616" w:rsidRDefault="007B4616" w:rsidP="007B4616">
                      <w:pPr>
                        <w:shd w:val="clear" w:color="auto" w:fill="FFFFFF"/>
                        <w:spacing w:after="0" w:line="240" w:lineRule="auto"/>
                        <w:ind w:right="57"/>
                        <w:jc w:val="both"/>
                        <w:rPr>
                          <w:rFonts w:ascii="Arial" w:eastAsia="Calibri" w:hAnsi="Arial" w:cs="Arial"/>
                          <w:iCs/>
                          <w:spacing w:val="-1"/>
                        </w:rPr>
                      </w:pPr>
                    </w:p>
                    <w:p w14:paraId="625B6730" w14:textId="77777777" w:rsidR="007B4616" w:rsidRPr="00A66EC8" w:rsidRDefault="007B4616" w:rsidP="007B4616">
                      <w:pPr>
                        <w:shd w:val="clear" w:color="auto" w:fill="FFFFFF"/>
                        <w:spacing w:after="0" w:line="240" w:lineRule="auto"/>
                        <w:ind w:right="57"/>
                        <w:jc w:val="both"/>
                        <w:rPr>
                          <w:rFonts w:ascii="Arial" w:eastAsia="Calibri" w:hAnsi="Arial" w:cs="Arial"/>
                          <w:b/>
                          <w:iCs/>
                          <w:spacing w:val="-1"/>
                          <w:lang w:val="en-US"/>
                        </w:rPr>
                      </w:pPr>
                      <w:r w:rsidRPr="00A66EC8">
                        <w:rPr>
                          <w:rFonts w:ascii="Arial" w:eastAsia="Calibri" w:hAnsi="Arial" w:cs="Arial"/>
                          <w:b/>
                          <w:iCs/>
                          <w:spacing w:val="-1"/>
                          <w:lang w:val="en-US"/>
                        </w:rPr>
                        <w:t xml:space="preserve">Subsequent </w:t>
                      </w:r>
                      <w:r>
                        <w:rPr>
                          <w:rFonts w:ascii="Arial" w:eastAsia="Calibri" w:hAnsi="Arial" w:cs="Arial"/>
                          <w:b/>
                          <w:iCs/>
                          <w:spacing w:val="-1"/>
                          <w:lang w:val="en-US"/>
                        </w:rPr>
                        <w:t xml:space="preserve">Google </w:t>
                      </w:r>
                      <w:r w:rsidRPr="00A66EC8">
                        <w:rPr>
                          <w:rFonts w:ascii="Arial" w:eastAsia="Calibri" w:hAnsi="Arial" w:cs="Arial"/>
                          <w:b/>
                          <w:iCs/>
                          <w:spacing w:val="-1"/>
                          <w:lang w:val="en-US"/>
                        </w:rPr>
                        <w:t>Search</w:t>
                      </w:r>
                    </w:p>
                    <w:p w14:paraId="6792839D" w14:textId="77777777" w:rsidR="007B4616" w:rsidRDefault="007B4616" w:rsidP="007B4616">
                      <w:pPr>
                        <w:shd w:val="clear" w:color="auto" w:fill="FFFFFF"/>
                        <w:spacing w:after="0" w:line="240" w:lineRule="auto"/>
                        <w:ind w:right="57"/>
                        <w:jc w:val="both"/>
                        <w:rPr>
                          <w:rFonts w:ascii="Arial" w:eastAsia="Calibri" w:hAnsi="Arial" w:cs="Arial"/>
                          <w:iCs/>
                          <w:spacing w:val="-1"/>
                        </w:rPr>
                      </w:pPr>
                      <w:r>
                        <w:rPr>
                          <w:rFonts w:ascii="Arial" w:eastAsia="Calibri" w:hAnsi="Arial" w:cs="Arial"/>
                          <w:iCs/>
                          <w:spacing w:val="-1"/>
                          <w:lang w:val="en-US"/>
                        </w:rPr>
                        <w:t>Due to the inadequate results of the academic database search a simple Google search of ‘pressure ulcer risk assessment’ and ‘pressure ulcer risk assessment tools’ was undertaken in September 2017. As a large volume of papers were identified and limited resources were available the screening was limited to the first five pages of the Google search. This identified 71 potentially relevant papers (</w:t>
                      </w:r>
                      <w:r>
                        <w:rPr>
                          <w:rFonts w:ascii="Arial" w:eastAsia="Calibri" w:hAnsi="Arial" w:cs="Arial"/>
                          <w:iCs/>
                          <w:spacing w:val="-1"/>
                        </w:rPr>
                        <w:t xml:space="preserve">after removal of duplicates) with </w:t>
                      </w:r>
                      <w:r>
                        <w:rPr>
                          <w:rFonts w:ascii="Arial" w:eastAsia="Calibri" w:hAnsi="Arial" w:cs="Arial"/>
                          <w:iCs/>
                          <w:spacing w:val="-1"/>
                          <w:lang w:val="en-US"/>
                        </w:rPr>
                        <w:t xml:space="preserve">6 additional primary papers being of relevance. Two further papers were identified from the researchers’ knowledge (Figure 1). </w:t>
                      </w:r>
                    </w:p>
                    <w:p w14:paraId="7ACFFC71" w14:textId="77777777" w:rsidR="007B4616" w:rsidRDefault="007B4616" w:rsidP="007B4616"/>
                  </w:txbxContent>
                </v:textbox>
              </v:shape>
            </w:pict>
          </mc:Fallback>
        </mc:AlternateContent>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616"/>
    <w:rsid w:val="00316534"/>
    <w:rsid w:val="007B4616"/>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DD58A"/>
  <w15:chartTrackingRefBased/>
  <w15:docId w15:val="{E0E03289-94E7-491D-88B7-FA8EC6576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616"/>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7</Characters>
  <Application>Microsoft Office Word</Application>
  <DocSecurity>0</DocSecurity>
  <Lines>1</Lines>
  <Paragraphs>1</Paragraphs>
  <ScaleCrop>false</ScaleCrop>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2020-07-27T20:00:00Z</dcterms:created>
  <dcterms:modified xsi:type="dcterms:W3CDTF">2020-07-27T20:01:00Z</dcterms:modified>
</cp:coreProperties>
</file>