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815A0" w14:textId="77777777" w:rsidR="009B55D9" w:rsidRDefault="009B55D9" w:rsidP="009B55D9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noProof/>
          <w:color w:val="000000" w:themeColor="text1"/>
          <w:szCs w:val="21"/>
        </w:rPr>
        <w:drawing>
          <wp:inline distT="0" distB="0" distL="0" distR="0" wp14:anchorId="07E12DE3" wp14:editId="64AA0301">
            <wp:extent cx="5274310" cy="219964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264C8" w14:textId="77777777" w:rsidR="009B55D9" w:rsidRDefault="009B55D9" w:rsidP="009B55D9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bCs/>
          <w:kern w:val="0"/>
          <w:szCs w:val="21"/>
          <w:lang w:eastAsia="en-US"/>
        </w:rPr>
      </w:pPr>
      <w:r>
        <w:rPr>
          <w:rFonts w:ascii="Times New Roman" w:eastAsiaTheme="majorEastAsia" w:hAnsi="Times New Roman" w:cs="Times New Roman"/>
          <w:b/>
          <w:bCs/>
          <w:color w:val="000000" w:themeColor="text1"/>
          <w:kern w:val="52"/>
          <w:szCs w:val="21"/>
        </w:rPr>
        <w:t>Supplementary Figure 1</w:t>
      </w:r>
      <w:r w:rsidRPr="00EE69DC">
        <w:t xml:space="preserve"> </w:t>
      </w:r>
      <w:r w:rsidRPr="00EE69DC">
        <w:rPr>
          <w:rFonts w:ascii="Times New Roman" w:hAnsi="Times New Roman" w:cs="Times New Roman"/>
          <w:b/>
          <w:bCs/>
          <w:kern w:val="0"/>
          <w:szCs w:val="21"/>
          <w:lang w:eastAsia="en-US"/>
        </w:rPr>
        <w:t>Representative computed tomography scans at the third lumbar vertebra level in patients with and without sarcopenia</w:t>
      </w:r>
    </w:p>
    <w:p w14:paraId="44A11556" w14:textId="77777777" w:rsidR="009B55D9" w:rsidRDefault="009B55D9" w:rsidP="009B55D9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EE69DC">
        <w:rPr>
          <w:rFonts w:ascii="Times New Roman" w:hAnsi="Times New Roman" w:cs="Times New Roman"/>
          <w:color w:val="000000" w:themeColor="text1"/>
          <w:szCs w:val="21"/>
        </w:rPr>
        <w:t>A</w:t>
      </w:r>
      <w:r w:rsidRPr="001B5660">
        <w:rPr>
          <w:rFonts w:ascii="Times New Roman" w:eastAsia="Book Antiqua" w:hAnsi="Times New Roman" w:cs="Times New Roman"/>
          <w:color w:val="000000"/>
        </w:rPr>
        <w:t xml:space="preserve">: </w:t>
      </w:r>
      <w:r>
        <w:rPr>
          <w:rFonts w:ascii="Times New Roman" w:hAnsi="Times New Roman" w:cs="Times New Roman"/>
          <w:color w:val="000000" w:themeColor="text1"/>
          <w:szCs w:val="21"/>
        </w:rPr>
        <w:t>T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he</w:t>
      </w:r>
      <w:r w:rsidRPr="00EE69DC">
        <w:rPr>
          <w:rFonts w:ascii="Times New Roman" w:hAnsi="Times New Roman" w:cs="Times New Roman"/>
          <w:color w:val="000000" w:themeColor="text1"/>
          <w:szCs w:val="21"/>
        </w:rPr>
        <w:t xml:space="preserve"> patient with sarcopenia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; </w:t>
      </w:r>
      <w:r w:rsidRPr="00EE69DC">
        <w:rPr>
          <w:rFonts w:ascii="Times New Roman" w:hAnsi="Times New Roman" w:cs="Times New Roman"/>
          <w:color w:val="000000" w:themeColor="text1"/>
          <w:szCs w:val="21"/>
        </w:rPr>
        <w:t>B</w:t>
      </w:r>
      <w:r>
        <w:rPr>
          <w:rFonts w:ascii="Times New Roman" w:hAnsi="Times New Roman" w:cs="Times New Roman"/>
          <w:color w:val="000000" w:themeColor="text1"/>
          <w:szCs w:val="21"/>
        </w:rPr>
        <w:t>:</w:t>
      </w:r>
      <w:r w:rsidRPr="00EE69DC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1"/>
        </w:rPr>
        <w:t>T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he</w:t>
      </w:r>
      <w:r w:rsidRPr="00EE69DC">
        <w:rPr>
          <w:rFonts w:ascii="Times New Roman" w:hAnsi="Times New Roman" w:cs="Times New Roman"/>
          <w:color w:val="000000" w:themeColor="text1"/>
          <w:szCs w:val="21"/>
        </w:rPr>
        <w:t xml:space="preserve"> patient without sarcopenia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. </w:t>
      </w:r>
      <w:r w:rsidRPr="00EA6FCB">
        <w:rPr>
          <w:rFonts w:ascii="Times New Roman" w:hAnsi="Times New Roman" w:cs="Times New Roman"/>
          <w:color w:val="000000" w:themeColor="text1"/>
          <w:szCs w:val="21"/>
        </w:rPr>
        <w:t>Green represents the patient's skeletal muscle area, yellow represents the visceral fat area, and blue represents the subcutaneous fat area</w:t>
      </w:r>
      <w:r>
        <w:rPr>
          <w:rFonts w:ascii="Times New Roman" w:hAnsi="Times New Roman" w:cs="Times New Roman"/>
          <w:color w:val="000000" w:themeColor="text1"/>
          <w:szCs w:val="21"/>
        </w:rPr>
        <w:t>.</w:t>
      </w:r>
    </w:p>
    <w:p w14:paraId="72BC656C" w14:textId="77777777" w:rsidR="009B55D9" w:rsidRDefault="009B55D9" w:rsidP="009B55D9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 w:hint="eastAsia"/>
          <w:noProof/>
          <w:color w:val="000000" w:themeColor="text1"/>
          <w:szCs w:val="21"/>
        </w:rPr>
        <w:drawing>
          <wp:inline distT="0" distB="0" distL="0" distR="0" wp14:anchorId="69421746" wp14:editId="2783D76F">
            <wp:extent cx="5274310" cy="1538605"/>
            <wp:effectExtent l="0" t="0" r="2540" b="44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3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BD0A1" w14:textId="77777777" w:rsidR="009B55D9" w:rsidRDefault="009B55D9" w:rsidP="009B55D9">
      <w:pPr>
        <w:widowControl/>
        <w:autoSpaceDE w:val="0"/>
        <w:autoSpaceDN w:val="0"/>
        <w:adjustRightInd w:val="0"/>
        <w:spacing w:before="120" w:after="240" w:line="480" w:lineRule="auto"/>
        <w:rPr>
          <w:rFonts w:ascii="Times New Roman" w:hAnsi="Times New Roman" w:cs="Times New Roman"/>
          <w:b/>
          <w:bCs/>
          <w:kern w:val="0"/>
          <w:szCs w:val="21"/>
          <w:lang w:eastAsia="en-US"/>
        </w:rPr>
      </w:pPr>
      <w:r>
        <w:rPr>
          <w:rFonts w:ascii="Times New Roman" w:eastAsiaTheme="majorEastAsia" w:hAnsi="Times New Roman" w:cs="Times New Roman"/>
          <w:b/>
          <w:bCs/>
          <w:color w:val="000000" w:themeColor="text1"/>
          <w:kern w:val="52"/>
          <w:szCs w:val="21"/>
        </w:rPr>
        <w:t>Supplementary Figure 2</w:t>
      </w:r>
      <w:r>
        <w:rPr>
          <w:rFonts w:ascii="Times New Roman" w:eastAsiaTheme="majorEastAsia" w:hAnsi="Times New Roman" w:cs="Times New Roman"/>
          <w:color w:val="000000" w:themeColor="text1"/>
          <w:kern w:val="52"/>
          <w:szCs w:val="21"/>
        </w:rPr>
        <w:t xml:space="preserve"> </w:t>
      </w:r>
      <w:r w:rsidRPr="00ED2785">
        <w:rPr>
          <w:rFonts w:ascii="Times New Roman" w:eastAsiaTheme="majorEastAsia" w:hAnsi="Times New Roman" w:cs="Times New Roman"/>
          <w:b/>
          <w:bCs/>
          <w:color w:val="000000" w:themeColor="text1"/>
          <w:kern w:val="52"/>
          <w:szCs w:val="21"/>
        </w:rPr>
        <w:t>The optimal cut-off value of P</w:t>
      </w:r>
      <w:r>
        <w:rPr>
          <w:rFonts w:ascii="Times New Roman" w:eastAsiaTheme="majorEastAsia" w:hAnsi="Times New Roman" w:cs="Times New Roman"/>
          <w:b/>
          <w:bCs/>
          <w:color w:val="000000" w:themeColor="text1"/>
          <w:kern w:val="52"/>
          <w:szCs w:val="21"/>
        </w:rPr>
        <w:t>M</w:t>
      </w:r>
      <w:r w:rsidRPr="00ED2785">
        <w:rPr>
          <w:rFonts w:ascii="Times New Roman" w:eastAsiaTheme="majorEastAsia" w:hAnsi="Times New Roman" w:cs="Times New Roman"/>
          <w:b/>
          <w:bCs/>
          <w:color w:val="000000" w:themeColor="text1"/>
          <w:kern w:val="52"/>
          <w:szCs w:val="21"/>
        </w:rPr>
        <w:t>I</w:t>
      </w:r>
      <w:r>
        <w:rPr>
          <w:rFonts w:ascii="Times New Roman" w:eastAsiaTheme="majorEastAsia" w:hAnsi="Times New Roman" w:cs="Times New Roman"/>
          <w:b/>
          <w:bCs/>
          <w:color w:val="000000" w:themeColor="text1"/>
          <w:kern w:val="52"/>
          <w:szCs w:val="21"/>
        </w:rPr>
        <w:t xml:space="preserve"> </w:t>
      </w:r>
      <w:r>
        <w:rPr>
          <w:rFonts w:ascii="Times New Roman" w:eastAsiaTheme="majorEastAsia" w:hAnsi="Times New Roman" w:cs="Times New Roman" w:hint="eastAsia"/>
          <w:b/>
          <w:bCs/>
          <w:color w:val="000000" w:themeColor="text1"/>
          <w:kern w:val="52"/>
          <w:szCs w:val="21"/>
        </w:rPr>
        <w:t>or</w:t>
      </w:r>
      <w:r>
        <w:rPr>
          <w:rFonts w:ascii="Times New Roman" w:eastAsiaTheme="majorEastAsia" w:hAnsi="Times New Roman" w:cs="Times New Roman"/>
          <w:b/>
          <w:bCs/>
          <w:color w:val="000000" w:themeColor="text1"/>
          <w:kern w:val="52"/>
          <w:szCs w:val="21"/>
        </w:rPr>
        <w:t xml:space="preserve"> PNI</w:t>
      </w:r>
    </w:p>
    <w:p w14:paraId="4ECF75A6" w14:textId="77777777" w:rsidR="009B55D9" w:rsidRDefault="009B55D9" w:rsidP="009B55D9">
      <w:pPr>
        <w:widowControl/>
        <w:autoSpaceDE w:val="0"/>
        <w:autoSpaceDN w:val="0"/>
        <w:adjustRightInd w:val="0"/>
        <w:spacing w:before="120" w:after="240" w:line="480" w:lineRule="auto"/>
        <w:rPr>
          <w:rFonts w:ascii="Times New Roman" w:hAnsi="Times New Roman" w:cs="Times New Roman"/>
          <w:kern w:val="0"/>
          <w:szCs w:val="21"/>
          <w:lang w:eastAsia="en-US"/>
        </w:rPr>
      </w:pPr>
      <w:r w:rsidRPr="00EE69DC">
        <w:rPr>
          <w:rFonts w:ascii="Times New Roman" w:hAnsi="Times New Roman" w:cs="Times New Roman"/>
          <w:color w:val="000000" w:themeColor="text1"/>
          <w:szCs w:val="21"/>
        </w:rPr>
        <w:t>A</w:t>
      </w:r>
      <w:r w:rsidRPr="001B5660">
        <w:rPr>
          <w:rFonts w:ascii="Times New Roman" w:eastAsia="Book Antiqua" w:hAnsi="Times New Roman" w:cs="Times New Roman"/>
          <w:color w:val="000000"/>
        </w:rPr>
        <w:t xml:space="preserve">: </w:t>
      </w:r>
      <w:r>
        <w:rPr>
          <w:rFonts w:ascii="Times New Roman" w:hAnsi="Times New Roman" w:cs="Times New Roman"/>
          <w:kern w:val="0"/>
          <w:szCs w:val="21"/>
          <w:lang w:eastAsia="en-US"/>
        </w:rPr>
        <w:t>The optimal cut-off level of PMI</w:t>
      </w:r>
      <w:r>
        <w:rPr>
          <w:rFonts w:ascii="Times New Roman" w:eastAsiaTheme="majorEastAsia" w:hAnsi="Times New Roman" w:cs="Times New Roman"/>
          <w:color w:val="000000" w:themeColor="text1"/>
          <w:kern w:val="52"/>
          <w:szCs w:val="21"/>
        </w:rPr>
        <w:t xml:space="preserve"> in women was 6.04 cm2/m2; </w:t>
      </w:r>
      <w:r w:rsidRPr="00EE69DC">
        <w:rPr>
          <w:rFonts w:ascii="Times New Roman" w:hAnsi="Times New Roman" w:cs="Times New Roman"/>
          <w:color w:val="000000" w:themeColor="text1"/>
          <w:szCs w:val="21"/>
        </w:rPr>
        <w:t>B</w:t>
      </w:r>
      <w:r>
        <w:rPr>
          <w:rFonts w:ascii="Times New Roman" w:hAnsi="Times New Roman" w:cs="Times New Roman"/>
          <w:color w:val="000000" w:themeColor="text1"/>
          <w:szCs w:val="21"/>
        </w:rPr>
        <w:t>:</w:t>
      </w:r>
      <w:r>
        <w:rPr>
          <w:rFonts w:ascii="Times New Roman" w:eastAsiaTheme="majorEastAsia" w:hAnsi="Times New Roman" w:cs="Times New Roman"/>
          <w:color w:val="000000" w:themeColor="text1"/>
          <w:kern w:val="52"/>
          <w:szCs w:val="21"/>
        </w:rPr>
        <w:t xml:space="preserve"> 8.60 cm2/m2 in men; C: The optimal cut-off value of PNI classified as low PNI and high PNI was 43.6 (C).</w:t>
      </w:r>
      <w:r>
        <w:rPr>
          <w:rFonts w:ascii="Times New Roman" w:hAnsi="Times New Roman" w:cs="Times New Roman"/>
          <w:kern w:val="0"/>
          <w:szCs w:val="21"/>
          <w:lang w:eastAsia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1"/>
        </w:rPr>
        <w:t>PMI, psoas muscle index; PNI prognostic nutritional index</w:t>
      </w:r>
    </w:p>
    <w:p w14:paraId="1301BBCC" w14:textId="77777777" w:rsidR="00A64378" w:rsidRDefault="00000000"/>
    <w:sectPr w:rsidR="00A643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5712B" w14:textId="77777777" w:rsidR="0088614B" w:rsidRDefault="0088614B" w:rsidP="009B55D9">
      <w:r>
        <w:separator/>
      </w:r>
    </w:p>
  </w:endnote>
  <w:endnote w:type="continuationSeparator" w:id="0">
    <w:p w14:paraId="3F62881D" w14:textId="77777777" w:rsidR="0088614B" w:rsidRDefault="0088614B" w:rsidP="009B5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59671" w14:textId="77777777" w:rsidR="0088614B" w:rsidRDefault="0088614B" w:rsidP="009B55D9">
      <w:r>
        <w:separator/>
      </w:r>
    </w:p>
  </w:footnote>
  <w:footnote w:type="continuationSeparator" w:id="0">
    <w:p w14:paraId="75D8DFB1" w14:textId="77777777" w:rsidR="0088614B" w:rsidRDefault="0088614B" w:rsidP="009B55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12A"/>
    <w:rsid w:val="00670E36"/>
    <w:rsid w:val="0088614B"/>
    <w:rsid w:val="008D212A"/>
    <w:rsid w:val="009B55D9"/>
    <w:rsid w:val="00D41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7E49614C-2DC2-4623-8588-5BB9B5F0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55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55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B55D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55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B55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Bao wenming</dc:creator>
  <cp:keywords/>
  <dc:description/>
  <cp:lastModifiedBy>Bao wenming</cp:lastModifiedBy>
  <cp:revision>2</cp:revision>
  <dcterms:created xsi:type="dcterms:W3CDTF">2023-02-28T13:16:00Z</dcterms:created>
  <dcterms:modified xsi:type="dcterms:W3CDTF">2023-02-28T13:16:00Z</dcterms:modified>
</cp:coreProperties>
</file>