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C31E2" w14:textId="4CCBDD3C" w:rsidR="007122F9" w:rsidRPr="003D2222" w:rsidRDefault="007122F9" w:rsidP="007122F9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  <w:sz w:val="22"/>
        </w:rPr>
      </w:pPr>
      <w:r w:rsidRPr="003D2222">
        <w:rPr>
          <w:rFonts w:ascii="Arial" w:hAnsi="Arial" w:cs="Arial"/>
          <w:b/>
          <w:sz w:val="22"/>
        </w:rPr>
        <w:t xml:space="preserve">Supplemental figure </w:t>
      </w:r>
      <w:r w:rsidR="0001770D">
        <w:rPr>
          <w:rFonts w:ascii="Arial" w:hAnsi="Arial" w:cs="Arial"/>
          <w:b/>
          <w:sz w:val="22"/>
        </w:rPr>
        <w:t xml:space="preserve">and table </w:t>
      </w:r>
      <w:r w:rsidRPr="003D2222">
        <w:rPr>
          <w:rFonts w:ascii="Arial" w:hAnsi="Arial" w:cs="Arial"/>
          <w:b/>
          <w:sz w:val="22"/>
        </w:rPr>
        <w:t>legend</w:t>
      </w:r>
      <w:r w:rsidR="00340B25">
        <w:rPr>
          <w:rFonts w:ascii="Arial" w:hAnsi="Arial" w:cs="Arial"/>
          <w:b/>
          <w:sz w:val="22"/>
        </w:rPr>
        <w:t>s</w:t>
      </w:r>
    </w:p>
    <w:p w14:paraId="4CE2AF0D" w14:textId="77777777" w:rsidR="007122F9" w:rsidRPr="003D2222" w:rsidRDefault="007122F9" w:rsidP="007122F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2"/>
        </w:rPr>
      </w:pPr>
      <w:r w:rsidRPr="003D2222">
        <w:rPr>
          <w:rFonts w:ascii="Arial" w:hAnsi="Arial" w:cs="Arial"/>
          <w:b/>
          <w:kern w:val="0"/>
          <w:sz w:val="22"/>
        </w:rPr>
        <w:t xml:space="preserve">Figure S1. HE and </w:t>
      </w:r>
      <w:r w:rsidRPr="003D2222">
        <w:rPr>
          <w:rFonts w:ascii="Arial" w:eastAsia="宋体" w:hAnsi="Arial" w:cs="Arial"/>
          <w:b/>
          <w:kern w:val="0"/>
          <w:sz w:val="22"/>
        </w:rPr>
        <w:t>immunohistochemistry</w:t>
      </w:r>
      <w:r w:rsidRPr="003D2222">
        <w:rPr>
          <w:rFonts w:ascii="Arial" w:hAnsi="Arial" w:cs="Arial"/>
          <w:b/>
          <w:kern w:val="0"/>
          <w:sz w:val="22"/>
        </w:rPr>
        <w:t xml:space="preserve"> of CBX4 expression </w:t>
      </w:r>
      <w:r w:rsidRPr="003D2222">
        <w:rPr>
          <w:rFonts w:ascii="Arial" w:eastAsia="宋体" w:hAnsi="Arial" w:cs="Arial"/>
          <w:b/>
          <w:kern w:val="0"/>
          <w:sz w:val="22"/>
        </w:rPr>
        <w:t>in</w:t>
      </w:r>
      <w:r w:rsidRPr="003D2222">
        <w:rPr>
          <w:rFonts w:ascii="Arial" w:hAnsi="Arial" w:cs="Arial"/>
          <w:b/>
          <w:kern w:val="0"/>
          <w:sz w:val="22"/>
        </w:rPr>
        <w:t xml:space="preserve"> paraffin-embedded tumor tissues</w:t>
      </w:r>
    </w:p>
    <w:p w14:paraId="2F625A9E" w14:textId="77777777" w:rsidR="007122F9" w:rsidRPr="003D2222" w:rsidRDefault="007122F9" w:rsidP="007122F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2"/>
        </w:rPr>
      </w:pPr>
      <w:r w:rsidRPr="003D2222">
        <w:rPr>
          <w:rFonts w:ascii="Arial" w:hAnsi="Arial" w:cs="Arial"/>
          <w:kern w:val="0"/>
          <w:sz w:val="22"/>
        </w:rPr>
        <w:t xml:space="preserve">HE was performed </w:t>
      </w:r>
      <w:r w:rsidRPr="003D2222">
        <w:rPr>
          <w:rFonts w:ascii="Arial" w:eastAsia="宋体" w:hAnsi="Arial" w:cs="Arial"/>
          <w:kern w:val="0"/>
          <w:sz w:val="22"/>
        </w:rPr>
        <w:t>on</w:t>
      </w:r>
      <w:r w:rsidRPr="003D2222">
        <w:rPr>
          <w:rFonts w:ascii="Arial" w:hAnsi="Arial" w:cs="Arial"/>
          <w:kern w:val="0"/>
          <w:sz w:val="22"/>
        </w:rPr>
        <w:t xml:space="preserve"> SR, SR-shCBX4 and SR-miR424 </w:t>
      </w:r>
      <w:r w:rsidRPr="003D2222">
        <w:rPr>
          <w:rFonts w:ascii="Arial" w:eastAsia="宋体" w:hAnsi="Arial" w:cs="Arial"/>
          <w:kern w:val="0"/>
          <w:sz w:val="22"/>
        </w:rPr>
        <w:t>tumor</w:t>
      </w:r>
      <w:r w:rsidRPr="003D2222">
        <w:rPr>
          <w:rFonts w:ascii="Arial" w:hAnsi="Arial" w:cs="Arial"/>
          <w:kern w:val="0"/>
          <w:sz w:val="22"/>
        </w:rPr>
        <w:t xml:space="preserve"> slides (A). Bar =200 µm. CBX4 was detected in different groups by IHC staining (B). Bar =100 µm.</w:t>
      </w:r>
    </w:p>
    <w:p w14:paraId="6B3B3184" w14:textId="77777777" w:rsidR="007122F9" w:rsidRPr="003D2222" w:rsidRDefault="007122F9" w:rsidP="007122F9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  <w:sz w:val="22"/>
        </w:rPr>
      </w:pPr>
    </w:p>
    <w:p w14:paraId="58E79827" w14:textId="77777777" w:rsidR="007122F9" w:rsidRPr="003D2222" w:rsidRDefault="007122F9" w:rsidP="007122F9">
      <w:pPr>
        <w:rPr>
          <w:rFonts w:ascii="Arial" w:hAnsi="Arial" w:cs="Arial"/>
          <w:b/>
          <w:kern w:val="0"/>
          <w:sz w:val="22"/>
        </w:rPr>
      </w:pPr>
      <w:r w:rsidRPr="003D2222">
        <w:rPr>
          <w:rFonts w:ascii="Arial" w:hAnsi="Arial" w:cs="Arial"/>
          <w:b/>
          <w:kern w:val="0"/>
          <w:sz w:val="22"/>
        </w:rPr>
        <w:t xml:space="preserve">Figure S2. CBX4 expression is closely associated with tumor </w:t>
      </w:r>
      <w:r w:rsidRPr="003D2222">
        <w:rPr>
          <w:rFonts w:ascii="Arial" w:eastAsia="宋体" w:hAnsi="Arial" w:cs="Arial"/>
          <w:b/>
          <w:kern w:val="0"/>
          <w:sz w:val="22"/>
        </w:rPr>
        <w:t>malignancy</w:t>
      </w:r>
      <w:r w:rsidRPr="003D2222">
        <w:rPr>
          <w:rFonts w:ascii="Arial" w:hAnsi="Arial" w:cs="Arial"/>
          <w:b/>
          <w:kern w:val="0"/>
          <w:sz w:val="22"/>
        </w:rPr>
        <w:t>, stage, and poor overall survival</w:t>
      </w:r>
    </w:p>
    <w:p w14:paraId="47C4EC1B" w14:textId="77777777" w:rsidR="007122F9" w:rsidRPr="003D2222" w:rsidRDefault="007122F9" w:rsidP="007122F9">
      <w:pPr>
        <w:rPr>
          <w:rFonts w:ascii="Arial" w:hAnsi="Arial" w:cs="Arial"/>
          <w:kern w:val="0"/>
          <w:sz w:val="22"/>
        </w:rPr>
      </w:pPr>
      <w:r w:rsidRPr="003D2222">
        <w:rPr>
          <w:rFonts w:ascii="Arial" w:hAnsi="Arial" w:cs="Arial"/>
          <w:kern w:val="0"/>
          <w:sz w:val="22"/>
        </w:rPr>
        <w:t xml:space="preserve">Transcriptome sequencing data analysis from the TCGA database and GTEx database summary by HHCCBD (http://www.lifeome.net/database/hccdb) showing the changes in CBX4 expression in primary tumor tissues (1968 samples) and adjacent normal tissues (1387 samples) (A). The correlation between CBX4 expression and tumor T stage in the TCGA samples (B). </w:t>
      </w:r>
      <w:r w:rsidRPr="003D2222">
        <w:rPr>
          <w:rFonts w:ascii="Arial" w:eastAsia="宋体" w:hAnsi="Arial" w:cs="Arial"/>
          <w:kern w:val="0"/>
          <w:sz w:val="22"/>
        </w:rPr>
        <w:t>The high</w:t>
      </w:r>
      <w:r w:rsidRPr="003D2222">
        <w:rPr>
          <w:rFonts w:ascii="Arial" w:hAnsi="Arial" w:cs="Arial"/>
          <w:kern w:val="0"/>
          <w:sz w:val="22"/>
        </w:rPr>
        <w:t xml:space="preserve"> CBX4 expression level contributes </w:t>
      </w:r>
      <w:r w:rsidRPr="003D2222">
        <w:rPr>
          <w:rFonts w:ascii="Arial" w:eastAsia="宋体" w:hAnsi="Arial" w:cs="Arial"/>
          <w:kern w:val="0"/>
          <w:sz w:val="22"/>
        </w:rPr>
        <w:t xml:space="preserve">to the </w:t>
      </w:r>
      <w:r w:rsidRPr="003D2222">
        <w:rPr>
          <w:rFonts w:ascii="Arial" w:hAnsi="Arial" w:cs="Arial"/>
          <w:kern w:val="0"/>
          <w:sz w:val="22"/>
        </w:rPr>
        <w:t xml:space="preserve">poor outcome of HCC patients based on the Kaplan-Meier </w:t>
      </w:r>
      <w:r w:rsidRPr="003D2222">
        <w:rPr>
          <w:rFonts w:ascii="Arial" w:eastAsia="宋体" w:hAnsi="Arial" w:cs="Arial"/>
          <w:kern w:val="0"/>
          <w:sz w:val="22"/>
        </w:rPr>
        <w:t>curve</w:t>
      </w:r>
      <w:r w:rsidRPr="003D2222">
        <w:rPr>
          <w:rFonts w:ascii="Arial" w:hAnsi="Arial" w:cs="Arial"/>
          <w:kern w:val="0"/>
          <w:sz w:val="22"/>
        </w:rPr>
        <w:t xml:space="preserve"> analysis from The Human Protein Atlas Website 18.1 Version, cutoff: 16.38 (C).</w:t>
      </w:r>
    </w:p>
    <w:p w14:paraId="68A29CC6" w14:textId="77777777" w:rsidR="007122F9" w:rsidRPr="003D2222" w:rsidRDefault="007122F9" w:rsidP="007122F9">
      <w:pPr>
        <w:rPr>
          <w:rFonts w:ascii="Arial" w:hAnsi="Arial" w:cs="Arial"/>
          <w:kern w:val="0"/>
          <w:sz w:val="22"/>
        </w:rPr>
      </w:pPr>
    </w:p>
    <w:p w14:paraId="41655762" w14:textId="504B244C" w:rsidR="007122F9" w:rsidRPr="003D2222" w:rsidRDefault="007122F9" w:rsidP="007122F9">
      <w:pPr>
        <w:rPr>
          <w:rFonts w:ascii="Arial" w:hAnsi="Arial" w:cs="Arial"/>
          <w:b/>
          <w:kern w:val="0"/>
          <w:sz w:val="22"/>
        </w:rPr>
      </w:pPr>
      <w:r w:rsidRPr="003D2222">
        <w:rPr>
          <w:rFonts w:ascii="Arial" w:hAnsi="Arial" w:cs="Arial"/>
          <w:b/>
          <w:kern w:val="0"/>
          <w:sz w:val="22"/>
        </w:rPr>
        <w:t>Figure S3</w:t>
      </w:r>
      <w:r w:rsidR="00474840">
        <w:rPr>
          <w:rFonts w:ascii="Arial" w:hAnsi="Arial" w:cs="Arial"/>
          <w:b/>
          <w:kern w:val="0"/>
          <w:sz w:val="22"/>
        </w:rPr>
        <w:t>.</w:t>
      </w:r>
      <w:bookmarkStart w:id="0" w:name="_GoBack"/>
      <w:bookmarkEnd w:id="0"/>
      <w:r w:rsidRPr="003D2222">
        <w:rPr>
          <w:rFonts w:ascii="Arial" w:hAnsi="Arial" w:cs="Arial"/>
          <w:b/>
          <w:kern w:val="0"/>
          <w:sz w:val="22"/>
        </w:rPr>
        <w:t xml:space="preserve"> YAP1 and HIF1</w:t>
      </w:r>
      <w:r w:rsidRPr="003D2222">
        <w:rPr>
          <w:rFonts w:ascii="Arial" w:hAnsi="Arial" w:cs="Arial"/>
          <w:b/>
          <w:kern w:val="0"/>
          <w:sz w:val="22"/>
        </w:rPr>
        <w:sym w:font="Symbol" w:char="F061"/>
      </w:r>
      <w:r w:rsidRPr="003D2222">
        <w:rPr>
          <w:rFonts w:ascii="Arial" w:hAnsi="Arial" w:cs="Arial"/>
          <w:b/>
          <w:kern w:val="0"/>
          <w:sz w:val="22"/>
        </w:rPr>
        <w:t xml:space="preserve"> expresses in Huh7-SR cells by IF</w:t>
      </w:r>
    </w:p>
    <w:p w14:paraId="67D62351" w14:textId="49348254" w:rsidR="007122F9" w:rsidRDefault="007122F9" w:rsidP="007122F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2"/>
        </w:rPr>
      </w:pPr>
      <w:r w:rsidRPr="003D2222">
        <w:rPr>
          <w:rFonts w:ascii="Arial" w:eastAsia="宋体" w:hAnsi="Arial" w:cs="Arial"/>
          <w:kern w:val="0"/>
          <w:sz w:val="22"/>
        </w:rPr>
        <w:t>Immunefluoresces</w:t>
      </w:r>
      <w:r w:rsidRPr="003D2222">
        <w:rPr>
          <w:rFonts w:ascii="Arial" w:hAnsi="Arial" w:cs="Arial"/>
          <w:kern w:val="0"/>
          <w:sz w:val="22"/>
        </w:rPr>
        <w:t xml:space="preserve"> staining analyzed YAP1 and HIF1</w:t>
      </w:r>
      <w:r w:rsidRPr="003D2222">
        <w:rPr>
          <w:rFonts w:ascii="Arial" w:hAnsi="Arial" w:cs="Arial"/>
          <w:kern w:val="0"/>
          <w:sz w:val="22"/>
        </w:rPr>
        <w:sym w:font="Symbol" w:char="F061"/>
      </w:r>
      <w:r w:rsidRPr="003D2222">
        <w:rPr>
          <w:rFonts w:ascii="Arial" w:hAnsi="Arial" w:cs="Arial"/>
          <w:kern w:val="0"/>
          <w:sz w:val="22"/>
        </w:rPr>
        <w:t xml:space="preserve"> expression at nucleus and cytoplasm in Huh7-SR between control group ( PBS treatment) and UNC3866 group (CBX4 inhibitor treatment). Bar =100 µm.</w:t>
      </w:r>
    </w:p>
    <w:p w14:paraId="7E78B272" w14:textId="7762A8C3" w:rsidR="00474840" w:rsidRDefault="00474840" w:rsidP="007122F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2"/>
        </w:rPr>
      </w:pPr>
    </w:p>
    <w:p w14:paraId="24D83D18" w14:textId="7E565015" w:rsidR="00474840" w:rsidRPr="003D2222" w:rsidRDefault="00474840" w:rsidP="00474840">
      <w:pPr>
        <w:rPr>
          <w:rFonts w:ascii="Arial" w:hAnsi="Arial" w:cs="Arial"/>
          <w:b/>
          <w:kern w:val="0"/>
          <w:sz w:val="22"/>
        </w:rPr>
      </w:pPr>
      <w:r w:rsidRPr="003D2222">
        <w:rPr>
          <w:rFonts w:ascii="Arial" w:hAnsi="Arial" w:cs="Arial"/>
          <w:b/>
          <w:kern w:val="0"/>
          <w:sz w:val="22"/>
        </w:rPr>
        <w:t xml:space="preserve">Figure </w:t>
      </w:r>
      <w:r>
        <w:rPr>
          <w:rFonts w:ascii="Arial" w:hAnsi="Arial" w:cs="Arial"/>
          <w:b/>
          <w:kern w:val="0"/>
          <w:sz w:val="22"/>
        </w:rPr>
        <w:t>S4</w:t>
      </w:r>
      <w:r w:rsidRPr="003D2222">
        <w:rPr>
          <w:rFonts w:ascii="Arial" w:hAnsi="Arial" w:cs="Arial"/>
          <w:b/>
          <w:kern w:val="0"/>
          <w:sz w:val="22"/>
        </w:rPr>
        <w:t>.</w:t>
      </w:r>
    </w:p>
    <w:p w14:paraId="16AC8F7F" w14:textId="77777777" w:rsidR="00474840" w:rsidRPr="003D2222" w:rsidRDefault="00474840" w:rsidP="00474840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  <w:sz w:val="22"/>
        </w:rPr>
      </w:pPr>
      <w:r w:rsidRPr="003D2222">
        <w:rPr>
          <w:rFonts w:ascii="Arial" w:hAnsi="Arial" w:cs="Arial"/>
          <w:b/>
          <w:kern w:val="0"/>
          <w:sz w:val="22"/>
        </w:rPr>
        <w:t xml:space="preserve">A diagram of the </w:t>
      </w:r>
      <w:r w:rsidRPr="003D2222">
        <w:rPr>
          <w:rFonts w:ascii="Arial" w:eastAsia="宋体" w:hAnsi="Arial" w:cs="Arial"/>
          <w:b/>
          <w:kern w:val="0"/>
          <w:sz w:val="22"/>
        </w:rPr>
        <w:t>regulatory</w:t>
      </w:r>
      <w:r w:rsidRPr="003D2222">
        <w:rPr>
          <w:rFonts w:ascii="Arial" w:hAnsi="Arial" w:cs="Arial"/>
          <w:b/>
          <w:kern w:val="0"/>
          <w:sz w:val="22"/>
        </w:rPr>
        <w:t xml:space="preserve"> pathway of CBX4 and </w:t>
      </w:r>
      <w:r w:rsidRPr="003D2222">
        <w:rPr>
          <w:rFonts w:ascii="Arial" w:eastAsia="宋体" w:hAnsi="Arial" w:cs="Arial"/>
          <w:b/>
          <w:kern w:val="0"/>
          <w:sz w:val="22"/>
        </w:rPr>
        <w:t xml:space="preserve">its </w:t>
      </w:r>
      <w:r w:rsidRPr="003D2222">
        <w:rPr>
          <w:rFonts w:ascii="Arial" w:hAnsi="Arial" w:cs="Arial"/>
          <w:b/>
          <w:kern w:val="0"/>
          <w:sz w:val="22"/>
        </w:rPr>
        <w:t>constituents that determines the mechanism of sorafenib</w:t>
      </w:r>
      <w:r w:rsidRPr="003D2222">
        <w:rPr>
          <w:rFonts w:ascii="Arial" w:eastAsia="宋体" w:hAnsi="Arial" w:cs="Arial"/>
          <w:b/>
          <w:kern w:val="0"/>
          <w:sz w:val="22"/>
        </w:rPr>
        <w:t>-</w:t>
      </w:r>
      <w:r w:rsidRPr="003D2222">
        <w:rPr>
          <w:rFonts w:ascii="Arial" w:hAnsi="Arial" w:cs="Arial"/>
          <w:b/>
          <w:kern w:val="0"/>
          <w:sz w:val="22"/>
        </w:rPr>
        <w:t>resistant HCC</w:t>
      </w:r>
    </w:p>
    <w:p w14:paraId="7509C371" w14:textId="77777777" w:rsidR="00474840" w:rsidRPr="003D2222" w:rsidRDefault="00474840" w:rsidP="00474840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  <w:sz w:val="22"/>
        </w:rPr>
      </w:pPr>
    </w:p>
    <w:p w14:paraId="1EF129AB" w14:textId="77777777" w:rsidR="00474840" w:rsidRPr="00474840" w:rsidRDefault="00474840" w:rsidP="007122F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2"/>
        </w:rPr>
      </w:pPr>
    </w:p>
    <w:p w14:paraId="1D15B6AA" w14:textId="70C3F955" w:rsidR="00D8181D" w:rsidRDefault="00D8181D"/>
    <w:p w14:paraId="294114B6" w14:textId="46DA1B18" w:rsidR="007122F9" w:rsidRDefault="007122F9">
      <w:pPr>
        <w:rPr>
          <w:rFonts w:ascii="Arial" w:hAnsi="Arial" w:cs="Arial"/>
          <w:b/>
          <w:kern w:val="0"/>
          <w:sz w:val="22"/>
        </w:rPr>
      </w:pPr>
      <w:r w:rsidRPr="007122F9">
        <w:rPr>
          <w:rFonts w:ascii="Arial" w:hAnsi="Arial" w:cs="Arial"/>
          <w:b/>
          <w:kern w:val="0"/>
          <w:sz w:val="22"/>
        </w:rPr>
        <w:t>Table S1. PCR primer sequences</w:t>
      </w:r>
    </w:p>
    <w:p w14:paraId="384E386B" w14:textId="2BD72C66" w:rsidR="007122F9" w:rsidRDefault="007122F9">
      <w:pPr>
        <w:rPr>
          <w:rFonts w:ascii="Arial" w:hAnsi="Arial" w:cs="Arial"/>
          <w:b/>
          <w:kern w:val="0"/>
          <w:sz w:val="22"/>
        </w:rPr>
      </w:pPr>
    </w:p>
    <w:p w14:paraId="7271B53C" w14:textId="77777777" w:rsidR="007122F9" w:rsidRPr="007122F9" w:rsidRDefault="007122F9" w:rsidP="007122F9">
      <w:pPr>
        <w:rPr>
          <w:rFonts w:ascii="Arial" w:hAnsi="Arial" w:cs="Arial"/>
          <w:b/>
          <w:kern w:val="0"/>
          <w:sz w:val="22"/>
        </w:rPr>
      </w:pPr>
      <w:r w:rsidRPr="007122F9">
        <w:rPr>
          <w:rFonts w:ascii="Arial" w:hAnsi="Arial" w:cs="Arial"/>
          <w:b/>
          <w:kern w:val="0"/>
          <w:sz w:val="22"/>
        </w:rPr>
        <w:t xml:space="preserve">Table </w:t>
      </w:r>
      <w:r w:rsidRPr="007122F9">
        <w:rPr>
          <w:rFonts w:ascii="Arial" w:hAnsi="Arial" w:cs="Arial" w:hint="eastAsia"/>
          <w:b/>
          <w:kern w:val="0"/>
          <w:sz w:val="22"/>
        </w:rPr>
        <w:t>S2</w:t>
      </w:r>
      <w:r w:rsidRPr="007122F9">
        <w:rPr>
          <w:rFonts w:ascii="Arial" w:hAnsi="Arial" w:cs="Arial"/>
          <w:b/>
          <w:kern w:val="0"/>
          <w:sz w:val="22"/>
        </w:rPr>
        <w:t xml:space="preserve">. </w:t>
      </w:r>
    </w:p>
    <w:p w14:paraId="0F42A142" w14:textId="77777777" w:rsidR="007122F9" w:rsidRPr="007122F9" w:rsidRDefault="007122F9" w:rsidP="007122F9">
      <w:pPr>
        <w:rPr>
          <w:rFonts w:ascii="Arial" w:hAnsi="Arial" w:cs="Arial"/>
          <w:b/>
          <w:kern w:val="0"/>
          <w:sz w:val="22"/>
        </w:rPr>
      </w:pPr>
      <w:r w:rsidRPr="007122F9">
        <w:rPr>
          <w:rFonts w:ascii="Arial" w:hAnsi="Arial" w:cs="Arial"/>
          <w:b/>
          <w:kern w:val="0"/>
          <w:sz w:val="22"/>
        </w:rPr>
        <w:t>Information for antibodies used in Western blots (WB) &amp; Immune</w:t>
      </w:r>
      <w:r w:rsidRPr="007122F9">
        <w:rPr>
          <w:rFonts w:ascii="Arial" w:hAnsi="Arial" w:cs="Arial" w:hint="eastAsia"/>
          <w:b/>
          <w:kern w:val="0"/>
          <w:sz w:val="22"/>
        </w:rPr>
        <w:t>-</w:t>
      </w:r>
      <w:r w:rsidRPr="007122F9">
        <w:rPr>
          <w:rFonts w:ascii="Arial" w:hAnsi="Arial" w:cs="Arial"/>
          <w:b/>
          <w:kern w:val="0"/>
          <w:sz w:val="22"/>
        </w:rPr>
        <w:t>fluoresces</w:t>
      </w:r>
      <w:r w:rsidRPr="007122F9">
        <w:rPr>
          <w:rFonts w:ascii="Arial" w:hAnsi="Arial" w:cs="Arial" w:hint="eastAsia"/>
          <w:b/>
          <w:kern w:val="0"/>
          <w:sz w:val="22"/>
        </w:rPr>
        <w:t xml:space="preserve"> (IF) &amp; Immunohistochemistry</w:t>
      </w:r>
      <w:r w:rsidRPr="007122F9">
        <w:rPr>
          <w:rFonts w:ascii="Arial" w:hAnsi="Arial" w:cs="Arial"/>
          <w:b/>
          <w:kern w:val="0"/>
          <w:sz w:val="22"/>
        </w:rPr>
        <w:t xml:space="preserve"> (IHC)</w:t>
      </w:r>
    </w:p>
    <w:p w14:paraId="78CF227D" w14:textId="0A31082B" w:rsidR="007122F9" w:rsidRDefault="007122F9">
      <w:pPr>
        <w:rPr>
          <w:rFonts w:ascii="Arial" w:hAnsi="Arial" w:cs="Arial"/>
          <w:b/>
          <w:kern w:val="0"/>
          <w:sz w:val="22"/>
        </w:rPr>
      </w:pPr>
    </w:p>
    <w:p w14:paraId="710A503A" w14:textId="77777777" w:rsidR="007122F9" w:rsidRPr="007122F9" w:rsidRDefault="007122F9" w:rsidP="007122F9">
      <w:pPr>
        <w:rPr>
          <w:rFonts w:ascii="Arial" w:hAnsi="Arial" w:cs="Arial"/>
          <w:b/>
          <w:kern w:val="0"/>
          <w:sz w:val="22"/>
        </w:rPr>
      </w:pPr>
      <w:r w:rsidRPr="007122F9">
        <w:rPr>
          <w:rFonts w:ascii="Arial" w:hAnsi="Arial" w:cs="Arial" w:hint="eastAsia"/>
          <w:b/>
          <w:kern w:val="0"/>
          <w:sz w:val="22"/>
        </w:rPr>
        <w:t xml:space="preserve">Table S3: </w:t>
      </w:r>
      <w:r w:rsidRPr="007122F9">
        <w:rPr>
          <w:rFonts w:ascii="Arial" w:hAnsi="Arial" w:cs="Arial"/>
          <w:b/>
          <w:kern w:val="0"/>
          <w:sz w:val="22"/>
        </w:rPr>
        <w:t>Tumorigenic</w:t>
      </w:r>
      <w:r w:rsidRPr="007122F9">
        <w:rPr>
          <w:rFonts w:ascii="Arial" w:hAnsi="Arial" w:cs="Arial" w:hint="eastAsia"/>
          <w:b/>
          <w:kern w:val="0"/>
          <w:sz w:val="22"/>
        </w:rPr>
        <w:t xml:space="preserve"> cell frequency in each fraction of H</w:t>
      </w:r>
      <w:r w:rsidRPr="007122F9">
        <w:rPr>
          <w:rFonts w:ascii="Arial" w:hAnsi="Arial" w:cs="Arial"/>
          <w:b/>
          <w:kern w:val="0"/>
          <w:sz w:val="22"/>
        </w:rPr>
        <w:t>u</w:t>
      </w:r>
      <w:r w:rsidRPr="007122F9">
        <w:rPr>
          <w:rFonts w:ascii="Arial" w:hAnsi="Arial" w:cs="Arial" w:hint="eastAsia"/>
          <w:b/>
          <w:kern w:val="0"/>
          <w:sz w:val="22"/>
        </w:rPr>
        <w:t>h7 and PLC cells with limiting dilution in NOD/SCID. *: significant.</w:t>
      </w:r>
    </w:p>
    <w:p w14:paraId="16130D06" w14:textId="33B4C818" w:rsidR="007122F9" w:rsidRDefault="007122F9">
      <w:pPr>
        <w:rPr>
          <w:rFonts w:ascii="Arial" w:hAnsi="Arial" w:cs="Arial"/>
          <w:b/>
          <w:kern w:val="0"/>
          <w:sz w:val="22"/>
        </w:rPr>
      </w:pPr>
    </w:p>
    <w:p w14:paraId="227C2F35" w14:textId="77777777" w:rsidR="0001770D" w:rsidRPr="0001770D" w:rsidRDefault="0001770D" w:rsidP="0001770D">
      <w:pPr>
        <w:rPr>
          <w:rFonts w:ascii="Arial" w:hAnsi="Arial" w:cs="Arial"/>
          <w:b/>
          <w:kern w:val="0"/>
          <w:sz w:val="22"/>
        </w:rPr>
      </w:pPr>
      <w:r w:rsidRPr="0001770D">
        <w:rPr>
          <w:rFonts w:ascii="Arial" w:hAnsi="Arial" w:cs="Arial"/>
          <w:b/>
          <w:kern w:val="0"/>
          <w:sz w:val="22"/>
        </w:rPr>
        <w:t>Table S4: Comparative analysis of IC50 (μM) values of sorafenib between CBX4 and control, as well as CBX4 knockdown and control.</w:t>
      </w:r>
    </w:p>
    <w:p w14:paraId="396D007C" w14:textId="141FE0D8" w:rsidR="007122F9" w:rsidRPr="0001770D" w:rsidRDefault="007122F9">
      <w:pPr>
        <w:rPr>
          <w:rFonts w:ascii="Arial" w:hAnsi="Arial" w:cs="Arial"/>
          <w:b/>
          <w:kern w:val="0"/>
          <w:sz w:val="22"/>
        </w:rPr>
      </w:pPr>
    </w:p>
    <w:p w14:paraId="4A5DCBD6" w14:textId="77777777" w:rsidR="007122F9" w:rsidRPr="0001770D" w:rsidRDefault="007122F9" w:rsidP="007122F9">
      <w:pPr>
        <w:rPr>
          <w:rFonts w:ascii="Arial" w:hAnsi="Arial" w:cs="Arial"/>
          <w:b/>
          <w:kern w:val="0"/>
          <w:sz w:val="22"/>
        </w:rPr>
      </w:pPr>
      <w:r w:rsidRPr="0001770D">
        <w:rPr>
          <w:rFonts w:ascii="Arial" w:hAnsi="Arial" w:cs="Arial"/>
          <w:b/>
          <w:kern w:val="0"/>
          <w:sz w:val="22"/>
        </w:rPr>
        <w:t>Table S</w:t>
      </w:r>
      <w:r w:rsidRPr="0001770D">
        <w:rPr>
          <w:rFonts w:ascii="Arial" w:hAnsi="Arial" w:cs="Arial" w:hint="eastAsia"/>
          <w:b/>
          <w:kern w:val="0"/>
          <w:sz w:val="22"/>
        </w:rPr>
        <w:t>5</w:t>
      </w:r>
      <w:r w:rsidRPr="0001770D">
        <w:rPr>
          <w:rFonts w:ascii="Arial" w:hAnsi="Arial" w:cs="Arial"/>
          <w:b/>
          <w:kern w:val="0"/>
          <w:sz w:val="22"/>
        </w:rPr>
        <w:t>: Comparative analysis of IC50 (μM) values of sorafenib between miR424 and control, as well as miR424 TUD and scramble.</w:t>
      </w:r>
    </w:p>
    <w:p w14:paraId="26018C9F" w14:textId="6FE54707" w:rsidR="007122F9" w:rsidRPr="007122F9" w:rsidRDefault="007122F9" w:rsidP="007122F9">
      <w:pPr>
        <w:rPr>
          <w:rFonts w:ascii="Arial" w:hAnsi="Arial" w:cs="Arial"/>
          <w:b/>
          <w:kern w:val="0"/>
          <w:sz w:val="22"/>
        </w:rPr>
      </w:pPr>
    </w:p>
    <w:p w14:paraId="13E5BDC0" w14:textId="77777777" w:rsidR="0001770D" w:rsidRPr="0001770D" w:rsidRDefault="0001770D" w:rsidP="0001770D">
      <w:pPr>
        <w:rPr>
          <w:rFonts w:ascii="Arial" w:hAnsi="Arial" w:cs="Arial"/>
          <w:b/>
          <w:kern w:val="0"/>
          <w:sz w:val="22"/>
        </w:rPr>
      </w:pPr>
      <w:r w:rsidRPr="0001770D">
        <w:rPr>
          <w:rFonts w:ascii="Arial" w:hAnsi="Arial" w:cs="Arial"/>
          <w:b/>
          <w:kern w:val="0"/>
          <w:sz w:val="22"/>
        </w:rPr>
        <w:t>Table S6. Relationship between miR424 expression and pathological features in HCC patients</w:t>
      </w:r>
    </w:p>
    <w:p w14:paraId="49E2D8B8" w14:textId="6FAD1FC0" w:rsidR="007122F9" w:rsidRDefault="007122F9" w:rsidP="007122F9">
      <w:pPr>
        <w:rPr>
          <w:rFonts w:ascii="Arial" w:hAnsi="Arial" w:cs="Arial"/>
          <w:b/>
          <w:kern w:val="0"/>
          <w:sz w:val="22"/>
        </w:rPr>
      </w:pPr>
    </w:p>
    <w:p w14:paraId="5A350902" w14:textId="77777777" w:rsidR="0001770D" w:rsidRPr="0001770D" w:rsidRDefault="0001770D" w:rsidP="0001770D">
      <w:pPr>
        <w:rPr>
          <w:rFonts w:ascii="Arial" w:hAnsi="Arial" w:cs="Arial"/>
          <w:b/>
          <w:kern w:val="0"/>
          <w:sz w:val="22"/>
        </w:rPr>
      </w:pPr>
      <w:r w:rsidRPr="0001770D">
        <w:rPr>
          <w:rFonts w:ascii="Arial" w:hAnsi="Arial" w:cs="Arial"/>
          <w:b/>
          <w:kern w:val="0"/>
          <w:sz w:val="22"/>
        </w:rPr>
        <w:t>Table S</w:t>
      </w:r>
      <w:r w:rsidRPr="0001770D">
        <w:rPr>
          <w:rFonts w:ascii="Arial" w:hAnsi="Arial" w:cs="Arial" w:hint="eastAsia"/>
          <w:b/>
          <w:kern w:val="0"/>
          <w:sz w:val="22"/>
        </w:rPr>
        <w:t>7</w:t>
      </w:r>
      <w:r w:rsidRPr="0001770D">
        <w:rPr>
          <w:rFonts w:ascii="Arial" w:hAnsi="Arial" w:cs="Arial"/>
          <w:b/>
          <w:kern w:val="0"/>
          <w:sz w:val="22"/>
        </w:rPr>
        <w:t xml:space="preserve">: </w:t>
      </w:r>
      <w:r w:rsidRPr="0001770D">
        <w:rPr>
          <w:rFonts w:ascii="Arial" w:hAnsi="Arial" w:cs="Arial" w:hint="eastAsia"/>
          <w:b/>
          <w:kern w:val="0"/>
          <w:sz w:val="22"/>
        </w:rPr>
        <w:t xml:space="preserve">mRNA level of CBX4 </w:t>
      </w:r>
      <w:r w:rsidRPr="0001770D">
        <w:rPr>
          <w:rFonts w:ascii="Arial" w:hAnsi="Arial" w:cs="Arial"/>
          <w:b/>
          <w:kern w:val="0"/>
          <w:sz w:val="22"/>
        </w:rPr>
        <w:t xml:space="preserve">form analyzing bioinformatics </w:t>
      </w:r>
      <w:r w:rsidRPr="0001770D">
        <w:rPr>
          <w:rFonts w:ascii="Arial" w:hAnsi="Arial" w:cs="Arial" w:hint="eastAsia"/>
          <w:b/>
          <w:kern w:val="0"/>
          <w:sz w:val="22"/>
        </w:rPr>
        <w:t>i</w:t>
      </w:r>
      <w:r w:rsidRPr="0001770D">
        <w:rPr>
          <w:rFonts w:ascii="Arial" w:hAnsi="Arial" w:cs="Arial"/>
          <w:b/>
          <w:kern w:val="0"/>
          <w:sz w:val="22"/>
        </w:rPr>
        <w:t>ntegrative molecular database of hepatocellular carcinoma by 11 public TCGA and GTEx database. *: Significate.</w:t>
      </w:r>
    </w:p>
    <w:p w14:paraId="5FA80102" w14:textId="77777777" w:rsidR="0001770D" w:rsidRPr="0001770D" w:rsidRDefault="0001770D" w:rsidP="007122F9">
      <w:pPr>
        <w:rPr>
          <w:rFonts w:ascii="Arial" w:hAnsi="Arial" w:cs="Arial"/>
          <w:b/>
          <w:kern w:val="0"/>
          <w:sz w:val="22"/>
        </w:rPr>
      </w:pPr>
    </w:p>
    <w:sectPr w:rsidR="0001770D" w:rsidRPr="0001770D" w:rsidSect="00CA7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6C0993" w14:textId="77777777" w:rsidR="00740849" w:rsidRDefault="00740849" w:rsidP="00474840">
      <w:r>
        <w:separator/>
      </w:r>
    </w:p>
  </w:endnote>
  <w:endnote w:type="continuationSeparator" w:id="0">
    <w:p w14:paraId="1FCADCBF" w14:textId="77777777" w:rsidR="00740849" w:rsidRDefault="00740849" w:rsidP="00474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8BD432" w14:textId="77777777" w:rsidR="00740849" w:rsidRDefault="00740849" w:rsidP="00474840">
      <w:r>
        <w:separator/>
      </w:r>
    </w:p>
  </w:footnote>
  <w:footnote w:type="continuationSeparator" w:id="0">
    <w:p w14:paraId="74E794D4" w14:textId="77777777" w:rsidR="00740849" w:rsidRDefault="00740849" w:rsidP="004748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2F9"/>
    <w:rsid w:val="0001770D"/>
    <w:rsid w:val="00340B25"/>
    <w:rsid w:val="00474840"/>
    <w:rsid w:val="007122F9"/>
    <w:rsid w:val="00740849"/>
    <w:rsid w:val="00D8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7F5C84"/>
  <w15:chartTrackingRefBased/>
  <w15:docId w15:val="{02D8FB10-B5A6-41F6-A401-AB4E61812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2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4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48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4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48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</dc:creator>
  <cp:keywords/>
  <dc:description/>
  <cp:lastModifiedBy>zw</cp:lastModifiedBy>
  <cp:revision>3</cp:revision>
  <dcterms:created xsi:type="dcterms:W3CDTF">2020-02-05T05:29:00Z</dcterms:created>
  <dcterms:modified xsi:type="dcterms:W3CDTF">2020-04-01T07:54:00Z</dcterms:modified>
</cp:coreProperties>
</file>