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Tableausimple41"/>
        <w:tblW w:w="5104" w:type="pct"/>
        <w:tblLook w:val="04A0" w:firstRow="1" w:lastRow="0" w:firstColumn="1" w:lastColumn="0" w:noHBand="0" w:noVBand="1"/>
      </w:tblPr>
      <w:tblGrid>
        <w:gridCol w:w="3403"/>
        <w:gridCol w:w="2267"/>
        <w:gridCol w:w="2245"/>
        <w:gridCol w:w="1299"/>
      </w:tblGrid>
      <w:tr w:rsidR="00E9467B" w:rsidRPr="00E9467B" w14:paraId="1C85E42F" w14:textId="77777777" w:rsidTr="0090716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</w:tcPr>
          <w:p w14:paraId="61EC162C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proofErr w:type="spellStart"/>
            <w:r w:rsidRPr="00E9467B">
              <w:rPr>
                <w:rFonts w:ascii="Arial" w:hAnsi="Arial" w:cs="Arial"/>
                <w:sz w:val="24"/>
                <w:szCs w:val="24"/>
              </w:rPr>
              <w:t>Neuroinflammatory</w:t>
            </w:r>
            <w:proofErr w:type="spellEnd"/>
            <w:r w:rsidRPr="00E9467B">
              <w:rPr>
                <w:rFonts w:ascii="Arial" w:hAnsi="Arial" w:cs="Arial"/>
                <w:sz w:val="24"/>
                <w:szCs w:val="24"/>
              </w:rPr>
              <w:t xml:space="preserve"> marker</w:t>
            </w:r>
          </w:p>
        </w:tc>
        <w:tc>
          <w:tcPr>
            <w:tcW w:w="1230" w:type="pct"/>
            <w:shd w:val="clear" w:color="auto" w:fill="auto"/>
          </w:tcPr>
          <w:p w14:paraId="391B8DDF" w14:textId="77777777" w:rsidR="00E9467B" w:rsidRPr="00E9467B" w:rsidRDefault="00E9467B" w:rsidP="00E9467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NPI = 0 (n = 48)</w:t>
            </w:r>
          </w:p>
        </w:tc>
        <w:tc>
          <w:tcPr>
            <w:tcW w:w="1218" w:type="pct"/>
            <w:shd w:val="clear" w:color="auto" w:fill="auto"/>
          </w:tcPr>
          <w:p w14:paraId="711E6F76" w14:textId="77777777" w:rsidR="00E9467B" w:rsidRPr="00E9467B" w:rsidRDefault="00E9467B" w:rsidP="00E9467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NPI &gt; 0 (n = 38)</w:t>
            </w:r>
          </w:p>
        </w:tc>
        <w:tc>
          <w:tcPr>
            <w:tcW w:w="705" w:type="pct"/>
            <w:shd w:val="clear" w:color="auto" w:fill="auto"/>
          </w:tcPr>
          <w:p w14:paraId="37A6FEB3" w14:textId="77777777" w:rsidR="00E9467B" w:rsidRPr="00E9467B" w:rsidRDefault="00E9467B" w:rsidP="00E9467B">
            <w:pPr>
              <w:spacing w:line="48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i/>
                <w:sz w:val="24"/>
                <w:szCs w:val="24"/>
              </w:rPr>
              <w:t>P</w:t>
            </w:r>
            <w:r w:rsidRPr="00E9467B">
              <w:rPr>
                <w:rFonts w:ascii="Arial" w:hAnsi="Arial" w:cs="Arial"/>
                <w:sz w:val="24"/>
                <w:szCs w:val="24"/>
              </w:rPr>
              <w:t xml:space="preserve"> value</w:t>
            </w:r>
            <w:r w:rsidRPr="00E9467B">
              <w:rPr>
                <w:rFonts w:ascii="Arial" w:hAnsi="Arial" w:cs="Arial"/>
                <w:sz w:val="24"/>
                <w:szCs w:val="24"/>
                <w:vertAlign w:val="superscript"/>
              </w:rPr>
              <w:t>*</w:t>
            </w:r>
          </w:p>
        </w:tc>
      </w:tr>
      <w:tr w:rsidR="00E9467B" w:rsidRPr="00E9467B" w14:paraId="26519ADE" w14:textId="77777777" w:rsidTr="00907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578F99AB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C-</w:t>
            </w:r>
            <w:proofErr w:type="spellStart"/>
            <w:r w:rsidRPr="00E9467B">
              <w:rPr>
                <w:rFonts w:ascii="Arial" w:hAnsi="Arial" w:cs="Arial"/>
                <w:sz w:val="24"/>
                <w:szCs w:val="24"/>
              </w:rPr>
              <w:t>reactive</w:t>
            </w:r>
            <w:proofErr w:type="spellEnd"/>
            <w:r w:rsidRPr="00E9467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E9467B">
              <w:rPr>
                <w:rFonts w:ascii="Arial" w:hAnsi="Arial" w:cs="Arial"/>
                <w:sz w:val="24"/>
                <w:szCs w:val="24"/>
              </w:rPr>
              <w:t>protein</w:t>
            </w:r>
            <w:proofErr w:type="spellEnd"/>
          </w:p>
        </w:tc>
        <w:tc>
          <w:tcPr>
            <w:tcW w:w="1230" w:type="pct"/>
            <w:shd w:val="clear" w:color="auto" w:fill="auto"/>
            <w:vAlign w:val="center"/>
          </w:tcPr>
          <w:p w14:paraId="3B07109C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5650.71 ± 5887.25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19150232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4016.05 ± 4200.64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5602039E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0.142</w:t>
            </w:r>
          </w:p>
        </w:tc>
      </w:tr>
      <w:tr w:rsidR="00E9467B" w:rsidRPr="00E9467B" w14:paraId="179C7CB1" w14:textId="77777777" w:rsidTr="0090716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23AF01A7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Interleukin-12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0BDF36B1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5.28 ± 1.52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0D41E1AC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5.66 ± 1.71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337B2DE5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0.294</w:t>
            </w:r>
          </w:p>
        </w:tc>
      </w:tr>
      <w:tr w:rsidR="00E9467B" w:rsidRPr="00E9467B" w14:paraId="38827395" w14:textId="77777777" w:rsidTr="00907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69684540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Interleukin-15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603595DE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3.51 ± 0.90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02C35BE4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>3.94 ± 0.89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1BA8DF12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b/>
                <w:sz w:val="24"/>
                <w:szCs w:val="24"/>
                <w:lang w:val="de-CH"/>
              </w:rPr>
              <w:t>0.032</w:t>
            </w:r>
          </w:p>
        </w:tc>
      </w:tr>
      <w:tr w:rsidR="00E9467B" w:rsidRPr="00E9467B" w14:paraId="1969A7B1" w14:textId="77777777" w:rsidTr="0090716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7F98F4E4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>Interleukin-16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29F7BFE6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 xml:space="preserve">12.61 </w:t>
            </w:r>
            <w:r w:rsidRPr="00E9467B">
              <w:rPr>
                <w:rFonts w:ascii="Arial" w:hAnsi="Arial" w:cs="Arial"/>
                <w:sz w:val="24"/>
                <w:szCs w:val="24"/>
              </w:rPr>
              <w:t>± 3.25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208991C7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 xml:space="preserve">12.92 </w:t>
            </w:r>
            <w:r w:rsidRPr="00E9467B">
              <w:rPr>
                <w:rFonts w:ascii="Arial" w:hAnsi="Arial" w:cs="Arial"/>
                <w:sz w:val="24"/>
                <w:szCs w:val="24"/>
              </w:rPr>
              <w:t>± 3.19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58AA541C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>0.659</w:t>
            </w:r>
          </w:p>
        </w:tc>
      </w:tr>
      <w:tr w:rsidR="00E9467B" w:rsidRPr="00E9467B" w14:paraId="6D1D1237" w14:textId="77777777" w:rsidTr="00907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0552EBE6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>Interleukin-6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59308BAD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 xml:space="preserve">1.08 </w:t>
            </w:r>
            <w:r w:rsidRPr="00E9467B">
              <w:rPr>
                <w:rFonts w:ascii="Arial" w:hAnsi="Arial" w:cs="Arial"/>
                <w:sz w:val="24"/>
                <w:szCs w:val="24"/>
              </w:rPr>
              <w:t>± 0.39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366B63BC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 xml:space="preserve">1.06 </w:t>
            </w:r>
            <w:r w:rsidRPr="00E9467B">
              <w:rPr>
                <w:rFonts w:ascii="Arial" w:hAnsi="Arial" w:cs="Arial"/>
                <w:sz w:val="24"/>
                <w:szCs w:val="24"/>
              </w:rPr>
              <w:t>± 0.40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50DDEEC0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>0.812</w:t>
            </w:r>
          </w:p>
        </w:tc>
      </w:tr>
      <w:tr w:rsidR="00E9467B" w:rsidRPr="00E9467B" w14:paraId="0A18634A" w14:textId="77777777" w:rsidTr="0090716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0F50B95A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>Interleukin-7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26E35E6E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 xml:space="preserve">1.36 </w:t>
            </w:r>
            <w:r w:rsidRPr="00E9467B">
              <w:rPr>
                <w:rFonts w:ascii="Arial" w:hAnsi="Arial" w:cs="Arial"/>
                <w:sz w:val="24"/>
                <w:szCs w:val="24"/>
              </w:rPr>
              <w:t>± 0.55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7BAA664B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 xml:space="preserve">1.41 </w:t>
            </w:r>
            <w:r w:rsidRPr="00E9467B">
              <w:rPr>
                <w:rFonts w:ascii="Arial" w:hAnsi="Arial" w:cs="Arial"/>
                <w:sz w:val="24"/>
                <w:szCs w:val="24"/>
              </w:rPr>
              <w:t>± 0.64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53233E43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>0.680</w:t>
            </w:r>
          </w:p>
        </w:tc>
      </w:tr>
      <w:tr w:rsidR="00E9467B" w:rsidRPr="00E9467B" w14:paraId="7873FE32" w14:textId="77777777" w:rsidTr="00907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64A5C447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>Interleukin-8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4667D30D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 xml:space="preserve">38.70 </w:t>
            </w:r>
            <w:r w:rsidRPr="00E9467B">
              <w:rPr>
                <w:rFonts w:ascii="Arial" w:hAnsi="Arial" w:cs="Arial"/>
                <w:sz w:val="24"/>
                <w:szCs w:val="24"/>
              </w:rPr>
              <w:t>± 8.40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18186BD9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de-CH"/>
              </w:rPr>
              <w:t xml:space="preserve">42.36 </w:t>
            </w:r>
            <w:r w:rsidRPr="00E9467B">
              <w:rPr>
                <w:rFonts w:ascii="Arial" w:hAnsi="Arial" w:cs="Arial"/>
                <w:sz w:val="24"/>
                <w:szCs w:val="24"/>
              </w:rPr>
              <w:t>± 8.21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7BEE1A4D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de-CH"/>
              </w:rPr>
            </w:pPr>
            <w:r w:rsidRPr="00E9467B">
              <w:rPr>
                <w:rFonts w:ascii="Arial" w:hAnsi="Arial" w:cs="Arial"/>
                <w:b/>
                <w:sz w:val="24"/>
                <w:szCs w:val="24"/>
                <w:lang w:val="de-CH"/>
              </w:rPr>
              <w:t>0.048</w:t>
            </w:r>
          </w:p>
        </w:tc>
      </w:tr>
      <w:tr w:rsidR="00E9467B" w:rsidRPr="00E9467B" w14:paraId="14DA8428" w14:textId="77777777" w:rsidTr="0090716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14EBB8AE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10 </w:t>
            </w:r>
            <w:proofErr w:type="spellStart"/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kDa</w:t>
            </w:r>
            <w:proofErr w:type="spellEnd"/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 IFN-</w:t>
            </w:r>
            <w:r w:rsidRPr="00E9467B">
              <w:rPr>
                <w:rFonts w:ascii="Arial" w:hAnsi="Arial" w:cs="Arial"/>
                <w:sz w:val="24"/>
                <w:szCs w:val="24"/>
              </w:rPr>
              <w:t>γ</w:t>
            </w: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 induced protein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3218B012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570.94 ± 225.50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7827799A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551.88 ± 213.14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1D710BB3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0.700</w:t>
            </w:r>
          </w:p>
        </w:tc>
      </w:tr>
      <w:tr w:rsidR="00E9467B" w:rsidRPr="00E9467B" w14:paraId="0D31951E" w14:textId="77777777" w:rsidTr="00907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1E0CB9DE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 xml:space="preserve">Monocyte </w:t>
            </w:r>
            <w:proofErr w:type="spellStart"/>
            <w:r w:rsidRPr="00E9467B">
              <w:rPr>
                <w:rFonts w:ascii="Arial" w:hAnsi="Arial" w:cs="Arial"/>
                <w:sz w:val="24"/>
                <w:szCs w:val="24"/>
              </w:rPr>
              <w:t>chemoattractant</w:t>
            </w:r>
            <w:proofErr w:type="spellEnd"/>
            <w:r w:rsidRPr="00E9467B">
              <w:rPr>
                <w:rFonts w:ascii="Arial" w:hAnsi="Arial" w:cs="Arial"/>
                <w:sz w:val="24"/>
                <w:szCs w:val="24"/>
              </w:rPr>
              <w:t xml:space="preserve"> </w:t>
            </w:r>
            <w:proofErr w:type="spellStart"/>
            <w:r w:rsidRPr="00E9467B">
              <w:rPr>
                <w:rFonts w:ascii="Arial" w:hAnsi="Arial" w:cs="Arial"/>
                <w:sz w:val="24"/>
                <w:szCs w:val="24"/>
              </w:rPr>
              <w:t>protein</w:t>
            </w:r>
            <w:proofErr w:type="spellEnd"/>
            <w:r w:rsidRPr="00E9467B">
              <w:rPr>
                <w:rFonts w:ascii="Arial" w:hAnsi="Arial" w:cs="Arial"/>
                <w:sz w:val="24"/>
                <w:szCs w:val="24"/>
              </w:rPr>
              <w:t xml:space="preserve"> 1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69432A20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425.07 ± 103.07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50B3FB78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460.09 ± 120.54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23C30F60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0.156</w:t>
            </w:r>
          </w:p>
        </w:tc>
      </w:tr>
      <w:tr w:rsidR="00E9467B" w:rsidRPr="00E9467B" w14:paraId="10F93DA4" w14:textId="77777777" w:rsidTr="0090716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42325F10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</w:rPr>
            </w:pPr>
            <w:r w:rsidRPr="00E9467B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Monocyte </w:t>
            </w:r>
            <w:proofErr w:type="spellStart"/>
            <w:r w:rsidRPr="00E9467B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chemoattractant</w:t>
            </w:r>
            <w:proofErr w:type="spellEnd"/>
            <w:r w:rsidRPr="00E9467B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</w:t>
            </w:r>
            <w:proofErr w:type="spellStart"/>
            <w:r w:rsidRPr="00E9467B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>protein</w:t>
            </w:r>
            <w:proofErr w:type="spellEnd"/>
            <w:r w:rsidRPr="00E9467B">
              <w:rPr>
                <w:rFonts w:ascii="Arial" w:hAnsi="Arial" w:cs="Arial"/>
                <w:sz w:val="24"/>
                <w:szCs w:val="24"/>
                <w:shd w:val="clear" w:color="auto" w:fill="FFFFFF"/>
              </w:rPr>
              <w:t xml:space="preserve"> 4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2175C760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</w:rPr>
              <w:t>4.96 ± 3.59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3E6E6A31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6.20 </w:t>
            </w:r>
            <w:r w:rsidRPr="00E9467B">
              <w:rPr>
                <w:rFonts w:ascii="Arial" w:hAnsi="Arial" w:cs="Arial"/>
                <w:sz w:val="24"/>
                <w:szCs w:val="24"/>
              </w:rPr>
              <w:t>± 3.22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2CECBC1C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0.101</w:t>
            </w:r>
          </w:p>
        </w:tc>
      </w:tr>
      <w:tr w:rsidR="00E9467B" w:rsidRPr="00E9467B" w14:paraId="3942A4B7" w14:textId="77777777" w:rsidTr="00907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44BE6A49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Macrophage-derived chemokine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580044B7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33.48 </w:t>
            </w:r>
            <w:r w:rsidRPr="00E9467B">
              <w:rPr>
                <w:rFonts w:ascii="Arial" w:hAnsi="Arial" w:cs="Arial"/>
                <w:sz w:val="24"/>
                <w:szCs w:val="24"/>
              </w:rPr>
              <w:t>± 16.82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1D59044A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30.37 </w:t>
            </w:r>
            <w:r w:rsidRPr="00E9467B">
              <w:rPr>
                <w:rFonts w:ascii="Arial" w:hAnsi="Arial" w:cs="Arial"/>
                <w:sz w:val="24"/>
                <w:szCs w:val="24"/>
              </w:rPr>
              <w:t>± 20.16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7B063C42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0.450</w:t>
            </w:r>
          </w:p>
        </w:tc>
      </w:tr>
      <w:tr w:rsidR="00E9467B" w:rsidRPr="00E9467B" w14:paraId="0EE56984" w14:textId="77777777" w:rsidTr="0090716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4CB5DA52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Macrophage Inflammatory protein 1α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77854D75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19.42 </w:t>
            </w:r>
            <w:r w:rsidRPr="00E9467B">
              <w:rPr>
                <w:rFonts w:ascii="Arial" w:hAnsi="Arial" w:cs="Arial"/>
                <w:sz w:val="24"/>
                <w:szCs w:val="24"/>
                <w:lang w:val="en-US"/>
              </w:rPr>
              <w:t>± 6.40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4FF98142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20.27 </w:t>
            </w:r>
            <w:r w:rsidRPr="00E9467B">
              <w:rPr>
                <w:rFonts w:ascii="Arial" w:hAnsi="Arial" w:cs="Arial"/>
                <w:sz w:val="24"/>
                <w:szCs w:val="24"/>
                <w:lang w:val="en-US"/>
              </w:rPr>
              <w:t>± 6.72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31E08F47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0.556</w:t>
            </w:r>
          </w:p>
        </w:tc>
      </w:tr>
      <w:tr w:rsidR="00E9467B" w:rsidRPr="00E9467B" w14:paraId="78A55EDE" w14:textId="77777777" w:rsidTr="00907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120DB4D0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Macrophage Inflammatory protein 1β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32DE4A75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14.18 </w:t>
            </w:r>
            <w:r w:rsidRPr="00E9467B">
              <w:rPr>
                <w:rFonts w:ascii="Arial" w:hAnsi="Arial" w:cs="Arial"/>
                <w:sz w:val="24"/>
                <w:szCs w:val="24"/>
                <w:lang w:val="en-US"/>
              </w:rPr>
              <w:t>± 3.26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14DB3B81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14.56 </w:t>
            </w:r>
            <w:r w:rsidRPr="00E9467B">
              <w:rPr>
                <w:rFonts w:ascii="Arial" w:hAnsi="Arial" w:cs="Arial"/>
                <w:sz w:val="24"/>
                <w:szCs w:val="24"/>
                <w:lang w:val="en-US"/>
              </w:rPr>
              <w:t>± 3.41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398684E7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0.597</w:t>
            </w:r>
          </w:p>
        </w:tc>
      </w:tr>
      <w:tr w:rsidR="00E9467B" w:rsidRPr="00E9467B" w14:paraId="59A945FE" w14:textId="77777777" w:rsidTr="0090716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7B355964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Phosphorylated insulin-like growth factor-1 receptor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48B33D26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75.04 </w:t>
            </w:r>
            <w:r w:rsidRPr="00E9467B">
              <w:rPr>
                <w:rFonts w:ascii="Arial" w:hAnsi="Arial" w:cs="Arial"/>
                <w:sz w:val="24"/>
                <w:szCs w:val="24"/>
                <w:lang w:val="en-US"/>
              </w:rPr>
              <w:t>± 27.63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1F3DC355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82.39 </w:t>
            </w:r>
            <w:r w:rsidRPr="00E9467B">
              <w:rPr>
                <w:rFonts w:ascii="Arial" w:hAnsi="Arial" w:cs="Arial"/>
                <w:sz w:val="24"/>
                <w:szCs w:val="24"/>
                <w:lang w:val="en-US"/>
              </w:rPr>
              <w:t>± 26.59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1F7B5645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0.220</w:t>
            </w:r>
          </w:p>
        </w:tc>
      </w:tr>
      <w:tr w:rsidR="00E9467B" w:rsidRPr="00E9467B" w14:paraId="2C3F4EDF" w14:textId="77777777" w:rsidTr="00907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4DEF1291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Serum amyloid A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67A810BA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999.41 </w:t>
            </w:r>
            <w:r w:rsidRPr="00E9467B">
              <w:rPr>
                <w:rFonts w:ascii="Arial" w:hAnsi="Arial" w:cs="Arial"/>
                <w:sz w:val="24"/>
                <w:szCs w:val="24"/>
                <w:lang w:val="en-US"/>
              </w:rPr>
              <w:t>± 670.95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3596976C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1256.43 </w:t>
            </w:r>
            <w:r w:rsidRPr="00E9467B">
              <w:rPr>
                <w:rFonts w:ascii="Arial" w:hAnsi="Arial" w:cs="Arial"/>
                <w:sz w:val="24"/>
                <w:szCs w:val="24"/>
                <w:lang w:val="en-US"/>
              </w:rPr>
              <w:t>± 1004.76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6D3BDAA1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0.168</w:t>
            </w:r>
          </w:p>
        </w:tc>
      </w:tr>
      <w:tr w:rsidR="00E9467B" w:rsidRPr="00E9467B" w14:paraId="0DA441B9" w14:textId="77777777" w:rsidTr="0090716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13C18892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Soluble </w:t>
            </w:r>
            <w:proofErr w:type="spellStart"/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fms</w:t>
            </w:r>
            <w:proofErr w:type="spellEnd"/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-like tyrosine kinase-1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02A10E6D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52.76 </w:t>
            </w:r>
            <w:r w:rsidRPr="00E9467B">
              <w:rPr>
                <w:rFonts w:ascii="Arial" w:hAnsi="Arial" w:cs="Arial"/>
                <w:sz w:val="24"/>
                <w:szCs w:val="24"/>
                <w:lang w:val="en-US"/>
              </w:rPr>
              <w:t>± 13.00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77B326B7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62.83 </w:t>
            </w:r>
            <w:r w:rsidRPr="00E9467B">
              <w:rPr>
                <w:rFonts w:ascii="Arial" w:hAnsi="Arial" w:cs="Arial"/>
                <w:sz w:val="24"/>
                <w:szCs w:val="24"/>
                <w:lang w:val="en-US"/>
              </w:rPr>
              <w:t>± 16.64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2EE12063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b/>
                <w:sz w:val="24"/>
                <w:szCs w:val="24"/>
                <w:lang w:val="en-GB"/>
              </w:rPr>
              <w:t>0.004</w:t>
            </w:r>
          </w:p>
        </w:tc>
      </w:tr>
      <w:tr w:rsidR="00E9467B" w:rsidRPr="00E9467B" w14:paraId="78494623" w14:textId="77777777" w:rsidTr="00907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7179FBD1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lastRenderedPageBreak/>
              <w:t xml:space="preserve">Soluble intercellular adhesion </w:t>
            </w:r>
            <w:proofErr w:type="gramStart"/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molecule-1</w:t>
            </w:r>
            <w:proofErr w:type="gramEnd"/>
          </w:p>
        </w:tc>
        <w:tc>
          <w:tcPr>
            <w:tcW w:w="1230" w:type="pct"/>
            <w:shd w:val="clear" w:color="auto" w:fill="auto"/>
            <w:vAlign w:val="center"/>
          </w:tcPr>
          <w:p w14:paraId="6FBE882B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2077.59 </w:t>
            </w:r>
            <w:r w:rsidRPr="00E9467B">
              <w:rPr>
                <w:rFonts w:ascii="Arial" w:hAnsi="Arial" w:cs="Arial"/>
                <w:sz w:val="24"/>
                <w:szCs w:val="24"/>
              </w:rPr>
              <w:t>± 513.74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7B7AD493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2708.04 </w:t>
            </w:r>
            <w:r w:rsidRPr="00E9467B">
              <w:rPr>
                <w:rFonts w:ascii="Arial" w:hAnsi="Arial" w:cs="Arial"/>
                <w:sz w:val="24"/>
                <w:szCs w:val="24"/>
              </w:rPr>
              <w:t>± 637.78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323A0E74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b/>
                <w:sz w:val="24"/>
                <w:szCs w:val="24"/>
                <w:lang w:val="en-GB"/>
              </w:rPr>
              <w:t>&lt;0.001</w:t>
            </w:r>
          </w:p>
        </w:tc>
      </w:tr>
      <w:tr w:rsidR="00E9467B" w:rsidRPr="00E9467B" w14:paraId="55EDE328" w14:textId="77777777" w:rsidTr="0090716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2E14B04A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Circulating vascular cell adhesion </w:t>
            </w:r>
            <w:proofErr w:type="gramStart"/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molecule-1</w:t>
            </w:r>
            <w:proofErr w:type="gramEnd"/>
          </w:p>
        </w:tc>
        <w:tc>
          <w:tcPr>
            <w:tcW w:w="1230" w:type="pct"/>
            <w:shd w:val="clear" w:color="auto" w:fill="auto"/>
            <w:vAlign w:val="center"/>
          </w:tcPr>
          <w:p w14:paraId="6ABBDF39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7416.46 </w:t>
            </w:r>
            <w:r w:rsidRPr="00E9467B">
              <w:rPr>
                <w:rFonts w:ascii="Arial" w:hAnsi="Arial" w:cs="Arial"/>
                <w:sz w:val="24"/>
                <w:szCs w:val="24"/>
              </w:rPr>
              <w:t>± 1983.03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446F6D77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9082.72 </w:t>
            </w:r>
            <w:r w:rsidRPr="00E9467B">
              <w:rPr>
                <w:rFonts w:ascii="Arial" w:hAnsi="Arial" w:cs="Arial"/>
                <w:sz w:val="24"/>
                <w:szCs w:val="24"/>
                <w:lang w:val="en-US"/>
              </w:rPr>
              <w:t>± 2726.64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01C74D52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b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b/>
                <w:sz w:val="24"/>
                <w:szCs w:val="24"/>
                <w:lang w:val="en-GB"/>
              </w:rPr>
              <w:t>0.002</w:t>
            </w:r>
          </w:p>
        </w:tc>
      </w:tr>
      <w:tr w:rsidR="00E9467B" w:rsidRPr="00E9467B" w14:paraId="28626B11" w14:textId="77777777" w:rsidTr="00907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2230615C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Thymus and activation-regulated chemokine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3513B926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4.10 </w:t>
            </w:r>
            <w:r w:rsidRPr="00E9467B">
              <w:rPr>
                <w:rFonts w:ascii="Arial" w:hAnsi="Arial" w:cs="Arial"/>
                <w:sz w:val="24"/>
                <w:szCs w:val="24"/>
                <w:lang w:val="en-US"/>
              </w:rPr>
              <w:t>± 2.23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50B2BF85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3.71 </w:t>
            </w:r>
            <w:r w:rsidRPr="00E9467B">
              <w:rPr>
                <w:rFonts w:ascii="Arial" w:hAnsi="Arial" w:cs="Arial"/>
                <w:sz w:val="24"/>
                <w:szCs w:val="24"/>
                <w:lang w:val="en-US"/>
              </w:rPr>
              <w:t>± 1.96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746A2D8D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0.403</w:t>
            </w:r>
          </w:p>
        </w:tc>
      </w:tr>
      <w:tr w:rsidR="00E9467B" w:rsidRPr="00E9467B" w14:paraId="08E372D6" w14:textId="77777777" w:rsidTr="00907169">
        <w:trPr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62B233EE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Vascular endothelial growth factor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697F199C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4.08 </w:t>
            </w:r>
            <w:r w:rsidRPr="00E9467B">
              <w:rPr>
                <w:rFonts w:ascii="Arial" w:hAnsi="Arial" w:cs="Arial"/>
                <w:sz w:val="24"/>
                <w:szCs w:val="24"/>
                <w:lang w:val="en-US"/>
              </w:rPr>
              <w:t>± 0.71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4C0661F1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4.14 </w:t>
            </w:r>
            <w:r w:rsidRPr="00E9467B">
              <w:rPr>
                <w:rFonts w:ascii="Arial" w:hAnsi="Arial" w:cs="Arial"/>
                <w:sz w:val="24"/>
                <w:szCs w:val="24"/>
              </w:rPr>
              <w:t>± 0.96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2BE84673" w14:textId="77777777" w:rsidR="00E9467B" w:rsidRPr="00E9467B" w:rsidRDefault="00E9467B" w:rsidP="00E9467B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0.774</w:t>
            </w:r>
          </w:p>
        </w:tc>
      </w:tr>
      <w:tr w:rsidR="00E9467B" w:rsidRPr="00E9467B" w14:paraId="668E4B3C" w14:textId="77777777" w:rsidTr="00907169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5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47" w:type="pct"/>
            <w:shd w:val="clear" w:color="auto" w:fill="auto"/>
            <w:vAlign w:val="center"/>
          </w:tcPr>
          <w:p w14:paraId="18B9330B" w14:textId="77777777" w:rsidR="00E9467B" w:rsidRPr="00E9467B" w:rsidRDefault="00E9467B" w:rsidP="00E9467B">
            <w:pPr>
              <w:spacing w:line="480" w:lineRule="auto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Vascular endothelial growth factor D precursor</w:t>
            </w:r>
          </w:p>
        </w:tc>
        <w:tc>
          <w:tcPr>
            <w:tcW w:w="1230" w:type="pct"/>
            <w:shd w:val="clear" w:color="auto" w:fill="auto"/>
            <w:vAlign w:val="center"/>
          </w:tcPr>
          <w:p w14:paraId="13E7E26C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40.29 </w:t>
            </w:r>
            <w:r w:rsidRPr="00E9467B">
              <w:rPr>
                <w:rFonts w:ascii="Arial" w:hAnsi="Arial" w:cs="Arial"/>
                <w:sz w:val="24"/>
                <w:szCs w:val="24"/>
              </w:rPr>
              <w:t>± 13.90</w:t>
            </w:r>
          </w:p>
        </w:tc>
        <w:tc>
          <w:tcPr>
            <w:tcW w:w="1218" w:type="pct"/>
            <w:shd w:val="clear" w:color="auto" w:fill="auto"/>
            <w:vAlign w:val="center"/>
          </w:tcPr>
          <w:p w14:paraId="41E61044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 xml:space="preserve">47.44 </w:t>
            </w:r>
            <w:r w:rsidRPr="00E9467B">
              <w:rPr>
                <w:rFonts w:ascii="Arial" w:hAnsi="Arial" w:cs="Arial"/>
                <w:sz w:val="24"/>
                <w:szCs w:val="24"/>
              </w:rPr>
              <w:t>± 18.52</w:t>
            </w:r>
          </w:p>
        </w:tc>
        <w:tc>
          <w:tcPr>
            <w:tcW w:w="705" w:type="pct"/>
            <w:shd w:val="clear" w:color="auto" w:fill="auto"/>
            <w:vAlign w:val="center"/>
          </w:tcPr>
          <w:p w14:paraId="320AE209" w14:textId="77777777" w:rsidR="00E9467B" w:rsidRPr="00E9467B" w:rsidRDefault="00E9467B" w:rsidP="00E9467B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Arial" w:hAnsi="Arial" w:cs="Arial"/>
                <w:sz w:val="24"/>
                <w:szCs w:val="24"/>
                <w:lang w:val="en-GB"/>
              </w:rPr>
            </w:pPr>
            <w:r w:rsidRPr="00E9467B">
              <w:rPr>
                <w:rFonts w:ascii="Arial" w:hAnsi="Arial" w:cs="Arial"/>
                <w:sz w:val="24"/>
                <w:szCs w:val="24"/>
                <w:lang w:val="en-GB"/>
              </w:rPr>
              <w:t>0.052</w:t>
            </w:r>
          </w:p>
        </w:tc>
      </w:tr>
    </w:tbl>
    <w:p w14:paraId="2DFD1A70" w14:textId="7BE92013" w:rsidR="00E9467B" w:rsidRPr="00E9467B" w:rsidRDefault="00E9467B" w:rsidP="00E9467B">
      <w:pPr>
        <w:spacing w:line="480" w:lineRule="auto"/>
        <w:rPr>
          <w:rFonts w:ascii="Arial" w:hAnsi="Arial" w:cs="Arial"/>
          <w:sz w:val="24"/>
          <w:szCs w:val="24"/>
        </w:rPr>
      </w:pPr>
    </w:p>
    <w:p w14:paraId="5BE48F93" w14:textId="77777777" w:rsidR="00F34B89" w:rsidRPr="00F34B89" w:rsidRDefault="00F34B89" w:rsidP="00F34B89">
      <w:pPr>
        <w:spacing w:line="480" w:lineRule="auto"/>
        <w:rPr>
          <w:rFonts w:ascii="Arial" w:hAnsi="Arial" w:cs="Arial"/>
          <w:sz w:val="24"/>
          <w:szCs w:val="28"/>
          <w:lang w:val="en-US"/>
        </w:rPr>
      </w:pPr>
      <w:bookmarkStart w:id="0" w:name="_Hlk38898318"/>
      <w:r w:rsidRPr="00F34B89">
        <w:rPr>
          <w:rFonts w:ascii="Arial" w:hAnsi="Arial" w:cs="Arial"/>
          <w:b/>
          <w:sz w:val="24"/>
          <w:szCs w:val="24"/>
          <w:lang w:val="en-GB"/>
        </w:rPr>
        <w:t xml:space="preserve">Supplementary Table 1: </w:t>
      </w:r>
      <w:r w:rsidRPr="00F34B89">
        <w:rPr>
          <w:rFonts w:ascii="Arial" w:hAnsi="Arial" w:cs="Arial"/>
          <w:sz w:val="24"/>
          <w:szCs w:val="24"/>
          <w:lang w:val="en-GB"/>
        </w:rPr>
        <w:t xml:space="preserve">Concentrations (in </w:t>
      </w:r>
      <w:proofErr w:type="spellStart"/>
      <w:r w:rsidRPr="00F34B89">
        <w:rPr>
          <w:rFonts w:ascii="Arial" w:hAnsi="Arial" w:cs="Arial"/>
          <w:sz w:val="24"/>
          <w:szCs w:val="24"/>
          <w:lang w:val="en-GB"/>
        </w:rPr>
        <w:t>pg</w:t>
      </w:r>
      <w:proofErr w:type="spellEnd"/>
      <w:r w:rsidRPr="00F34B89">
        <w:rPr>
          <w:rFonts w:ascii="Arial" w:hAnsi="Arial" w:cs="Arial"/>
          <w:sz w:val="24"/>
          <w:szCs w:val="24"/>
          <w:lang w:val="en-GB"/>
        </w:rPr>
        <w:t>/mL) of neuroinflammatory markers in CSF.</w:t>
      </w:r>
      <w:bookmarkEnd w:id="0"/>
      <w:r w:rsidRPr="00F34B89">
        <w:rPr>
          <w:rFonts w:ascii="Arial" w:hAnsi="Arial" w:cs="Arial"/>
          <w:sz w:val="24"/>
          <w:szCs w:val="24"/>
          <w:lang w:val="en-GB"/>
        </w:rPr>
        <w:t xml:space="preserve"> </w:t>
      </w:r>
      <w:r w:rsidRPr="00F34B89">
        <w:rPr>
          <w:rFonts w:ascii="Arial" w:hAnsi="Arial" w:cs="Arial"/>
          <w:sz w:val="24"/>
          <w:szCs w:val="24"/>
          <w:vertAlign w:val="superscript"/>
          <w:lang w:val="en-US"/>
        </w:rPr>
        <w:t>*</w:t>
      </w:r>
      <w:r w:rsidRPr="00F34B89">
        <w:rPr>
          <w:rFonts w:ascii="Arial" w:hAnsi="Arial" w:cs="Arial"/>
          <w:i/>
          <w:sz w:val="24"/>
          <w:szCs w:val="28"/>
          <w:lang w:val="en-US"/>
        </w:rPr>
        <w:t>P</w:t>
      </w:r>
      <w:r w:rsidRPr="00F34B89">
        <w:rPr>
          <w:rFonts w:ascii="Arial" w:hAnsi="Arial" w:cs="Arial"/>
          <w:sz w:val="24"/>
          <w:szCs w:val="28"/>
          <w:lang w:val="en-US"/>
        </w:rPr>
        <w:t xml:space="preserve"> value represents result of t-test comparing NPI and control group for continuous variables with </w:t>
      </w:r>
      <w:proofErr w:type="spellStart"/>
      <w:r w:rsidRPr="00F34B89">
        <w:rPr>
          <w:rFonts w:ascii="Arial" w:hAnsi="Arial" w:cs="Arial"/>
          <w:sz w:val="24"/>
          <w:szCs w:val="28"/>
          <w:lang w:val="en-US"/>
        </w:rPr>
        <w:t>Levene’s</w:t>
      </w:r>
      <w:proofErr w:type="spellEnd"/>
      <w:r w:rsidRPr="00F34B89">
        <w:rPr>
          <w:rFonts w:ascii="Arial" w:hAnsi="Arial" w:cs="Arial"/>
          <w:sz w:val="24"/>
          <w:szCs w:val="28"/>
          <w:lang w:val="en-US"/>
        </w:rPr>
        <w:t xml:space="preserve"> test for equality of variances</w:t>
      </w:r>
    </w:p>
    <w:p w14:paraId="39806C98" w14:textId="6BF97403" w:rsidR="00E9467B" w:rsidRPr="00F34B89" w:rsidRDefault="00E9467B" w:rsidP="00F34B89">
      <w:pPr>
        <w:spacing w:line="480" w:lineRule="auto"/>
        <w:rPr>
          <w:rFonts w:ascii="Arial" w:hAnsi="Arial" w:cs="Arial"/>
          <w:b/>
          <w:bCs/>
          <w:sz w:val="24"/>
          <w:szCs w:val="24"/>
          <w:lang w:val="en-US"/>
        </w:rPr>
      </w:pPr>
    </w:p>
    <w:sectPr w:rsidR="00E9467B" w:rsidRPr="00F34B8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9467B"/>
    <w:rsid w:val="001145FE"/>
    <w:rsid w:val="003364AE"/>
    <w:rsid w:val="003665A6"/>
    <w:rsid w:val="00907169"/>
    <w:rsid w:val="00E9467B"/>
    <w:rsid w:val="00F34B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B368145"/>
  <w15:chartTrackingRefBased/>
  <w15:docId w15:val="{59564F99-C764-4654-8035-B6C661B6D1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fr-CH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9467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ausimple41">
    <w:name w:val="Tableau simple 41"/>
    <w:basedOn w:val="TableNormal"/>
    <w:uiPriority w:val="44"/>
    <w:rsid w:val="00E9467B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BalloonText">
    <w:name w:val="Balloon Text"/>
    <w:basedOn w:val="Normal"/>
    <w:link w:val="BalloonTextChar"/>
    <w:uiPriority w:val="99"/>
    <w:semiHidden/>
    <w:unhideWhenUsed/>
    <w:rsid w:val="00F34B8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34B89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246</Words>
  <Characters>1406</Characters>
  <Application>Microsoft Office Word</Application>
  <DocSecurity>0</DocSecurity>
  <Lines>11</Lines>
  <Paragraphs>3</Paragraphs>
  <ScaleCrop>false</ScaleCrop>
  <Company/>
  <LinksUpToDate>false</LinksUpToDate>
  <CharactersWithSpaces>1649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Christopher Clark</dc:creator>
  <cp:keywords/>
  <dc:description/>
  <cp:lastModifiedBy>Christopher Clark</cp:lastModifiedBy>
  <cp:revision>3</cp:revision>
  <dcterms:created xsi:type="dcterms:W3CDTF">2020-01-17T11:56:00Z</dcterms:created>
  <dcterms:modified xsi:type="dcterms:W3CDTF">2020-04-27T14:49:00Z</dcterms:modified>
</cp:coreProperties>
</file>