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4372610"/>
            <wp:effectExtent l="0" t="0" r="14605" b="889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等线" w:cs="Times New Roman"/>
          <w:sz w:val="22"/>
        </w:rPr>
      </w:pPr>
      <w:r>
        <w:rPr>
          <w:rFonts w:hint="default" w:ascii="Times New Roman" w:hAnsi="Times New Roman" w:eastAsia="等线" w:cs="Times New Roman"/>
          <w:b/>
          <w:bCs/>
          <w:sz w:val="22"/>
        </w:rPr>
        <w:t xml:space="preserve">Fig S1: </w:t>
      </w:r>
      <w:r>
        <w:rPr>
          <w:rFonts w:hint="default" w:ascii="Times New Roman" w:hAnsi="Times New Roman" w:eastAsia="等线" w:cs="Times New Roman"/>
          <w:sz w:val="22"/>
        </w:rPr>
        <w:t>Based on the mutation module of the TIMER platform, compare the immune penetration levels of different IDH states in LGG. A: Comparison of the level of immune infiltration between IDH1 wild type (WT IDH1) (118 cases, 22.1%) and IDH1 mutant type (IDH1 mutated) (415 cases, 77.9%). B: Comparison of the level of immune infiltration between IDH2 wild-type (WT IDH1) (96.2%) and IDH2 mutant type (IDH1 mutated) (3.8%).</w:t>
      </w:r>
    </w:p>
    <w:p>
      <w:pPr>
        <w:spacing w:line="360" w:lineRule="auto"/>
        <w:rPr>
          <w:rFonts w:hint="default" w:ascii="Times New Roman" w:hAnsi="Times New Roman" w:eastAsia="等线" w:cs="Times New Roman"/>
          <w:sz w:val="22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  <w:bookmarkStart w:id="0" w:name="_Hlk71135666"/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  <w:lang w:val="en"/>
        </w:rPr>
        <w:t>1 Clinical information of 503 LGG patients in the TCGA database.</w:t>
      </w:r>
    </w:p>
    <w:tbl>
      <w:tblPr>
        <w:tblStyle w:val="2"/>
        <w:tblW w:w="74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1402"/>
        <w:gridCol w:w="1414"/>
        <w:gridCol w:w="2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Covariates</w:t>
            </w:r>
          </w:p>
        </w:tc>
        <w:tc>
          <w:tcPr>
            <w:tcW w:w="14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4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21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Percentages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&lt;=41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260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51.69%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&gt;41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243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48.31%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44.73%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278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55.27%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II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243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48.31%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III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260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51.69%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Radio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37.18%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Radio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14.31%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Radio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48.51%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Chemo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Chemo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13.12%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Chemo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270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53.68%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12.72%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AA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MG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21.27%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OA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15.51%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PRS type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489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97.22%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PRS type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IDH mutation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IDH mutation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378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75.15%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IDH mutation status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18.09%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expression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251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49.90%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expression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252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50.10%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methylation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251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49.90%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methylation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252</w:t>
            </w:r>
          </w:p>
        </w:tc>
        <w:tc>
          <w:tcPr>
            <w:tcW w:w="21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50.10%</w:t>
            </w:r>
          </w:p>
        </w:tc>
      </w:tr>
      <w:bookmarkEnd w:id="0"/>
    </w:tbl>
    <w:p/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等线" w:cs="Times New Roman"/>
          <w:sz w:val="22"/>
          <w:lang w:eastAsia="zh-CN"/>
        </w:rPr>
      </w:pPr>
    </w:p>
    <w:p>
      <w:pPr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The gene set enriches the high </w:t>
      </w:r>
      <w:r>
        <w:rPr>
          <w:rFonts w:ascii="Times New Roman" w:hAnsi="Times New Roman" w:cs="Times New Roman"/>
          <w:b/>
          <w:i/>
          <w:iCs/>
          <w:szCs w:val="21"/>
        </w:rPr>
        <w:t xml:space="preserve">DSN1 </w:t>
      </w:r>
      <w:r>
        <w:rPr>
          <w:rFonts w:ascii="Times New Roman" w:hAnsi="Times New Roman" w:cs="Times New Roman"/>
          <w:b/>
          <w:szCs w:val="21"/>
        </w:rPr>
        <w:t>in TGGA RNA-seq database</w:t>
      </w:r>
    </w:p>
    <w:tbl>
      <w:tblPr>
        <w:tblStyle w:val="2"/>
        <w:tblW w:w="880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5"/>
        <w:gridCol w:w="709"/>
        <w:gridCol w:w="1559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ame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NOM p-val</w:t>
            </w:r>
          </w:p>
        </w:tc>
        <w:tc>
          <w:tcPr>
            <w:tcW w:w="17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FDR q-val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CELL CYCLE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DNA REPLICATION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PYRIMIDINE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PURINE METABOLISM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1.963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0.0187</w:t>
            </w:r>
          </w:p>
        </w:tc>
      </w:tr>
    </w:tbl>
    <w:p>
      <w:bookmarkStart w:id="1" w:name="_Hlk71135656"/>
      <w:r>
        <w:rPr>
          <w:rFonts w:ascii="Times New Roman" w:hAnsi="Times New Roman" w:cs="Times New Roman"/>
          <w:szCs w:val="21"/>
        </w:rPr>
        <w:t>NES: normalized enrichment score; NOM: nominal; FDR: false discovery rate. Gene sets with NOM p-value &lt;0.05 and FDR q-value &lt;0.25 were considered as significantly enriched.</w:t>
      </w:r>
      <w:bookmarkEnd w:id="1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The gene set enriches the high </w:t>
      </w:r>
      <w:r>
        <w:rPr>
          <w:rFonts w:ascii="Times New Roman" w:hAnsi="Times New Roman" w:cs="Times New Roman"/>
          <w:b/>
          <w:i/>
          <w:iCs/>
          <w:szCs w:val="21"/>
        </w:rPr>
        <w:t xml:space="preserve">DSN1 </w:t>
      </w:r>
      <w:r>
        <w:rPr>
          <w:rFonts w:ascii="Times New Roman" w:hAnsi="Times New Roman" w:cs="Times New Roman"/>
          <w:b/>
          <w:szCs w:val="21"/>
        </w:rPr>
        <w:t>in CGGA Microarray</w:t>
      </w:r>
    </w:p>
    <w:tbl>
      <w:tblPr>
        <w:tblStyle w:val="2"/>
        <w:tblW w:w="880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5"/>
        <w:gridCol w:w="709"/>
        <w:gridCol w:w="1559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ame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NOM p-val</w:t>
            </w:r>
          </w:p>
        </w:tc>
        <w:tc>
          <w:tcPr>
            <w:tcW w:w="17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FDR q-val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CELL CYCLE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9.02E-04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DNA REPLICATION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PYRIMIDINE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PURINE METABOLISM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1.674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0.140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NES: normalized enrichment score; NOM: nominal; FDR: false discovery rate. Gene sets with NOM p-value &lt;0.05 and FDR q-value &lt;0.25 were considered as significantly enriched.</w:t>
      </w: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The gene set enriches the high </w:t>
      </w:r>
      <w:r>
        <w:rPr>
          <w:rFonts w:ascii="Times New Roman" w:hAnsi="Times New Roman" w:cs="Times New Roman"/>
          <w:b/>
          <w:i/>
          <w:iCs/>
          <w:szCs w:val="21"/>
        </w:rPr>
        <w:t xml:space="preserve">DSN1 </w:t>
      </w:r>
      <w:r>
        <w:rPr>
          <w:rFonts w:ascii="Times New Roman" w:hAnsi="Times New Roman" w:cs="Times New Roman"/>
          <w:b/>
          <w:szCs w:val="21"/>
        </w:rPr>
        <w:t>in CGGA RNA-seq database</w:t>
      </w:r>
    </w:p>
    <w:tbl>
      <w:tblPr>
        <w:tblStyle w:val="2"/>
        <w:tblW w:w="880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5"/>
        <w:gridCol w:w="709"/>
        <w:gridCol w:w="1559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ame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NOM p-val</w:t>
            </w:r>
          </w:p>
        </w:tc>
        <w:tc>
          <w:tcPr>
            <w:tcW w:w="17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FDR q-val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CELL CYCLE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DNA REPLICATION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.976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0.0729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PYRIMIDINE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KEGG PURINE METABOLISM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1.671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0.220</w:t>
            </w:r>
          </w:p>
        </w:tc>
      </w:tr>
    </w:tbl>
    <w:p>
      <w:pPr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</w:rPr>
        <w:t>NES: normalized enrichment score; NOM: nominal; FDR: false discovery rate. Gene sets with NOM p-value &lt;0.05 and FDR q-value &lt;0.25 were considered as significantly enriched.</w:t>
      </w:r>
    </w:p>
    <w:p>
      <w:pPr>
        <w:rPr>
          <w:rFonts w:ascii="Times New Roman" w:hAnsi="Times New Roman" w:cs="Times New Roman"/>
          <w:szCs w:val="21"/>
          <w:lang w:val="en-GB"/>
        </w:rPr>
      </w:pPr>
      <w:bookmarkStart w:id="2" w:name="_GoBack"/>
      <w:bookmarkEnd w:id="2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YjhhNjFiZDBkNjFmZWNhOTZlZWVhMjAxOTYyNWYifQ=="/>
  </w:docVars>
  <w:rsids>
    <w:rsidRoot w:val="00000000"/>
    <w:rsid w:val="2AE11D0E"/>
    <w:rsid w:val="57D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354</Characters>
  <Lines>0</Lines>
  <Paragraphs>0</Paragraphs>
  <TotalTime>0</TotalTime>
  <ScaleCrop>false</ScaleCrop>
  <LinksUpToDate>false</LinksUpToDate>
  <CharactersWithSpaces>422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张家丫头</cp:lastModifiedBy>
  <dcterms:modified xsi:type="dcterms:W3CDTF">2023-01-13T13:54:27Z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BC3FDED172BA491C854B10159F9139E9</vt:lpwstr>
  </property>
</Properties>
</file>