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944" w:type="pct"/>
        <w:tblLook w:val="04A0" w:firstRow="1" w:lastRow="0" w:firstColumn="1" w:lastColumn="0" w:noHBand="0" w:noVBand="1"/>
      </w:tblPr>
      <w:tblGrid>
        <w:gridCol w:w="1753"/>
        <w:gridCol w:w="7502"/>
      </w:tblGrid>
      <w:tr w:rsidR="004A5043" w:rsidRPr="00A92DB7" w14:paraId="72E1992E" w14:textId="77777777" w:rsidTr="005436DF">
        <w:trPr>
          <w:trHeight w:val="87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626D" w14:textId="77777777" w:rsidR="004A5043" w:rsidRPr="00181A7B" w:rsidRDefault="004A5043" w:rsidP="005436DF">
            <w:pPr>
              <w:spacing w:after="0" w:line="240" w:lineRule="auto"/>
              <w:ind w:left="-1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l-GR"/>
              </w:rPr>
            </w:pPr>
            <w:r w:rsidRPr="00A92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l-GR"/>
              </w:rPr>
              <w:t>Appendix 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 w:rsidRPr="00A92DB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l-GR"/>
              </w:rPr>
              <w:t>Variable definitions</w:t>
            </w:r>
          </w:p>
        </w:tc>
      </w:tr>
      <w:tr w:rsidR="004A5043" w:rsidRPr="00A92DB7" w14:paraId="7551A7F2" w14:textId="77777777" w:rsidTr="005436DF">
        <w:trPr>
          <w:trHeight w:val="77"/>
        </w:trPr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BE72A5" w14:textId="77777777" w:rsidR="004A5043" w:rsidRPr="00A92DB7" w:rsidRDefault="004A5043" w:rsidP="005436DF">
            <w:pPr>
              <w:spacing w:after="0" w:line="240" w:lineRule="auto"/>
              <w:ind w:left="-1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92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l-GR"/>
              </w:rPr>
              <w:t>Variable</w:t>
            </w:r>
          </w:p>
        </w:tc>
        <w:tc>
          <w:tcPr>
            <w:tcW w:w="40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410460" w14:textId="77777777" w:rsidR="004A5043" w:rsidRPr="00A92DB7" w:rsidRDefault="004A5043" w:rsidP="005436DF">
            <w:pPr>
              <w:spacing w:after="0" w:line="240" w:lineRule="auto"/>
              <w:ind w:left="-1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A92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l-GR"/>
              </w:rPr>
              <w:t>Definitions</w:t>
            </w:r>
          </w:p>
        </w:tc>
      </w:tr>
      <w:tr w:rsidR="004A5043" w:rsidRPr="00F60094" w14:paraId="2BCBDF53" w14:textId="77777777" w:rsidTr="005436DF">
        <w:trPr>
          <w:trHeight w:val="77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4DD48" w14:textId="77777777" w:rsidR="004A5043" w:rsidRPr="00A92DB7" w:rsidRDefault="004A5043" w:rsidP="005436DF">
            <w:pPr>
              <w:spacing w:after="0" w:line="240" w:lineRule="auto"/>
              <w:ind w:left="-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>CAPEX</w:t>
            </w: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l-GR"/>
              </w:rPr>
              <w:t>it</w:t>
            </w:r>
          </w:p>
        </w:tc>
        <w:tc>
          <w:tcPr>
            <w:tcW w:w="4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A026D" w14:textId="77777777" w:rsidR="004A5043" w:rsidRPr="00A92DB7" w:rsidRDefault="004A5043" w:rsidP="005436DF">
            <w:pPr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Firm capital expenditure measured as capital expenditures divided by total sales revenues</w:t>
            </w:r>
          </w:p>
        </w:tc>
      </w:tr>
      <w:tr w:rsidR="004A5043" w:rsidRPr="00F60094" w14:paraId="6999FF69" w14:textId="77777777" w:rsidTr="005436DF">
        <w:trPr>
          <w:trHeight w:val="87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330D1" w14:textId="77777777" w:rsidR="004A5043" w:rsidRPr="00A92DB7" w:rsidRDefault="004A5043" w:rsidP="005436DF">
            <w:pPr>
              <w:spacing w:after="0" w:line="240" w:lineRule="auto"/>
              <w:ind w:left="-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>CEP</w:t>
            </w: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l-GR"/>
              </w:rPr>
              <w:t>it</w:t>
            </w:r>
          </w:p>
        </w:tc>
        <w:tc>
          <w:tcPr>
            <w:tcW w:w="4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4AE92" w14:textId="77777777" w:rsidR="004A5043" w:rsidRPr="00A92DB7" w:rsidRDefault="004A5043" w:rsidP="005436DF">
            <w:pPr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Carbon emission performance developed by Hoffman and Busch (2008)</w:t>
            </w:r>
          </w:p>
        </w:tc>
      </w:tr>
      <w:tr w:rsidR="004A5043" w:rsidRPr="00F60094" w14:paraId="2DECE939" w14:textId="77777777" w:rsidTr="005436DF">
        <w:trPr>
          <w:trHeight w:val="87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86065" w14:textId="77777777" w:rsidR="004A5043" w:rsidRPr="00A92DB7" w:rsidRDefault="004A5043" w:rsidP="005436DF">
            <w:pPr>
              <w:spacing w:after="0" w:line="240" w:lineRule="auto"/>
              <w:ind w:left="-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>CER</w:t>
            </w: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l-GR"/>
              </w:rPr>
              <w:t>it</w:t>
            </w:r>
          </w:p>
        </w:tc>
        <w:tc>
          <w:tcPr>
            <w:tcW w:w="4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6E932" w14:textId="77777777" w:rsidR="004A5043" w:rsidRPr="00A92DB7" w:rsidRDefault="004A5043" w:rsidP="005436DF">
            <w:pPr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 xml:space="preserve">Carbon dioxide emission reporting using quality of carbon dioxide reporting index developed by Pittrakos and Maroun (2020) </w:t>
            </w:r>
          </w:p>
        </w:tc>
      </w:tr>
      <w:tr w:rsidR="004A5043" w:rsidRPr="00F60094" w14:paraId="0E973F2B" w14:textId="77777777" w:rsidTr="005436DF">
        <w:trPr>
          <w:trHeight w:val="87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C032D" w14:textId="77777777" w:rsidR="004A5043" w:rsidRPr="00A92DB7" w:rsidRDefault="004A5043" w:rsidP="005436DF">
            <w:pPr>
              <w:spacing w:after="0" w:line="240" w:lineRule="auto"/>
              <w:ind w:left="-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>COCO</w:t>
            </w: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l-GR"/>
              </w:rPr>
              <w:t>It</w:t>
            </w:r>
          </w:p>
        </w:tc>
        <w:tc>
          <w:tcPr>
            <w:tcW w:w="4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2BC86" w14:textId="77777777" w:rsidR="004A5043" w:rsidRPr="00A92DB7" w:rsidRDefault="004A5043" w:rsidP="005436DF">
            <w:pPr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Control of corruption is a key dimension of the quality of governance developed by Worldwide Governance Indicators</w:t>
            </w:r>
          </w:p>
        </w:tc>
      </w:tr>
      <w:tr w:rsidR="004A5043" w:rsidRPr="00F60094" w14:paraId="773A1EA8" w14:textId="77777777" w:rsidTr="005436DF">
        <w:trPr>
          <w:trHeight w:val="87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F0A0B" w14:textId="77777777" w:rsidR="004A5043" w:rsidRPr="00A92DB7" w:rsidRDefault="004A5043" w:rsidP="005436DF">
            <w:pPr>
              <w:spacing w:after="0" w:line="240" w:lineRule="auto"/>
              <w:ind w:left="-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>EMPL</w:t>
            </w: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l-GR"/>
              </w:rPr>
              <w:t>it</w:t>
            </w:r>
          </w:p>
        </w:tc>
        <w:tc>
          <w:tcPr>
            <w:tcW w:w="4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113564" w14:textId="77777777" w:rsidR="004A5043" w:rsidRPr="00A92DB7" w:rsidRDefault="004A5043" w:rsidP="005436DF">
            <w:pPr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 xml:space="preserve">Employees size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expressed</w:t>
            </w: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 xml:space="preserve"> as the natural logarithm of the number of employee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s</w:t>
            </w: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at the company</w:t>
            </w:r>
          </w:p>
        </w:tc>
      </w:tr>
      <w:tr w:rsidR="004A5043" w:rsidRPr="00F60094" w14:paraId="72AF5B75" w14:textId="77777777" w:rsidTr="005436DF">
        <w:trPr>
          <w:trHeight w:val="87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7115D" w14:textId="77777777" w:rsidR="004A5043" w:rsidRPr="00A92DB7" w:rsidRDefault="004A5043" w:rsidP="005436DF">
            <w:pPr>
              <w:spacing w:after="0" w:line="240" w:lineRule="auto"/>
              <w:ind w:left="-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EPI</w:t>
            </w: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l-GR"/>
              </w:rPr>
              <w:t>It</w:t>
            </w:r>
          </w:p>
        </w:tc>
        <w:tc>
          <w:tcPr>
            <w:tcW w:w="4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1D9DB" w14:textId="77777777" w:rsidR="004A5043" w:rsidRPr="00A92DB7" w:rsidRDefault="004A5043" w:rsidP="005436DF">
            <w:pPr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 xml:space="preserve">Environmental performance index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 xml:space="preserve">measured and numerically benchmarked using an index that </w:t>
            </w: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Yale University and Columbia University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 xml:space="preserve"> developed</w:t>
            </w:r>
          </w:p>
        </w:tc>
      </w:tr>
      <w:tr w:rsidR="004A5043" w:rsidRPr="00F60094" w14:paraId="7208D97F" w14:textId="77777777" w:rsidTr="005436DF">
        <w:trPr>
          <w:trHeight w:val="87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47A7C" w14:textId="77777777" w:rsidR="004A5043" w:rsidRPr="00A92DB7" w:rsidRDefault="004A5043" w:rsidP="005436DF">
            <w:pPr>
              <w:spacing w:after="0" w:line="240" w:lineRule="auto"/>
              <w:ind w:left="-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ETS</w:t>
            </w: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l-GR"/>
              </w:rPr>
              <w:t>It</w:t>
            </w:r>
          </w:p>
        </w:tc>
        <w:tc>
          <w:tcPr>
            <w:tcW w:w="4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BBEF0" w14:textId="77777777" w:rsidR="004A5043" w:rsidRPr="00147504" w:rsidRDefault="004A5043" w:rsidP="005436DF">
            <w:pPr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 xml:space="preserve">Carbon emission trading system is an indicator that equals 1 if the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 xml:space="preserve">company </w:t>
            </w:r>
            <w:r w:rsidRPr="001475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located in a nation with an established ETS and 0 otherwise</w:t>
            </w:r>
          </w:p>
        </w:tc>
      </w:tr>
      <w:tr w:rsidR="004A5043" w:rsidRPr="00F60094" w14:paraId="73F51D4C" w14:textId="77777777" w:rsidTr="005436DF">
        <w:trPr>
          <w:trHeight w:val="87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CD4F2" w14:textId="77777777" w:rsidR="004A5043" w:rsidRPr="00A92DB7" w:rsidRDefault="004A5043" w:rsidP="005436DF">
            <w:pPr>
              <w:spacing w:after="0" w:line="240" w:lineRule="auto"/>
              <w:ind w:left="-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>FA</w:t>
            </w: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l-GR"/>
              </w:rPr>
              <w:t>it</w:t>
            </w:r>
          </w:p>
        </w:tc>
        <w:tc>
          <w:tcPr>
            <w:tcW w:w="4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232D7" w14:textId="77777777" w:rsidR="004A5043" w:rsidRPr="00A92DB7" w:rsidRDefault="004A5043" w:rsidP="005436DF">
            <w:pPr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Firm age measured as the number of years since listing</w:t>
            </w:r>
          </w:p>
        </w:tc>
      </w:tr>
      <w:tr w:rsidR="004A5043" w:rsidRPr="00F60094" w14:paraId="2C593444" w14:textId="77777777" w:rsidTr="005436DF">
        <w:trPr>
          <w:trHeight w:val="87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1D97C" w14:textId="77777777" w:rsidR="004A5043" w:rsidRPr="00A92DB7" w:rsidRDefault="004A5043" w:rsidP="005436DF">
            <w:pPr>
              <w:spacing w:after="0" w:line="240" w:lineRule="auto"/>
              <w:ind w:left="-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>FIRZ</w:t>
            </w: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l-GR"/>
              </w:rPr>
              <w:t>it</w:t>
            </w:r>
          </w:p>
        </w:tc>
        <w:tc>
          <w:tcPr>
            <w:tcW w:w="4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11AAD" w14:textId="77777777" w:rsidR="004A5043" w:rsidRPr="00A92DB7" w:rsidRDefault="004A5043" w:rsidP="005436DF">
            <w:pPr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Firm size measured as natural logarithm of total assets</w:t>
            </w:r>
          </w:p>
        </w:tc>
      </w:tr>
      <w:tr w:rsidR="004A5043" w:rsidRPr="00F60094" w14:paraId="1EAE5B3A" w14:textId="77777777" w:rsidTr="005436DF">
        <w:trPr>
          <w:trHeight w:val="87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6F13D" w14:textId="77777777" w:rsidR="004A5043" w:rsidRPr="00A92DB7" w:rsidRDefault="004A5043" w:rsidP="005436DF">
            <w:pPr>
              <w:spacing w:after="0" w:line="240" w:lineRule="auto"/>
              <w:ind w:left="-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>GDP</w:t>
            </w: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l-GR"/>
              </w:rPr>
              <w:t>It</w:t>
            </w:r>
          </w:p>
        </w:tc>
        <w:tc>
          <w:tcPr>
            <w:tcW w:w="4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19783" w14:textId="77777777" w:rsidR="004A5043" w:rsidRPr="00A92DB7" w:rsidRDefault="004A5043" w:rsidP="005436DF">
            <w:pPr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Gross Domestic Product measured as the natural logarithm of gross domestic product</w:t>
            </w:r>
          </w:p>
        </w:tc>
      </w:tr>
      <w:tr w:rsidR="004A5043" w:rsidRPr="00F60094" w14:paraId="5AD8E8B9" w14:textId="77777777" w:rsidTr="005436DF">
        <w:trPr>
          <w:trHeight w:val="87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E835C" w14:textId="77777777" w:rsidR="004A5043" w:rsidRPr="00A92DB7" w:rsidRDefault="004A5043" w:rsidP="005436DF">
            <w:pPr>
              <w:spacing w:after="0" w:line="240" w:lineRule="auto"/>
              <w:ind w:left="-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>GOEF</w:t>
            </w: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l-GR"/>
              </w:rPr>
              <w:t>It</w:t>
            </w:r>
          </w:p>
        </w:tc>
        <w:tc>
          <w:tcPr>
            <w:tcW w:w="4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2183E" w14:textId="77777777" w:rsidR="004A5043" w:rsidRPr="00A92DB7" w:rsidRDefault="004A5043" w:rsidP="005436DF">
            <w:pPr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Government effectiveness is a key dimension of the quality of governance developed by Worldwide Governance Indicators</w:t>
            </w:r>
          </w:p>
        </w:tc>
      </w:tr>
      <w:tr w:rsidR="004A5043" w:rsidRPr="00F60094" w14:paraId="2568E2E0" w14:textId="77777777" w:rsidTr="005436DF">
        <w:trPr>
          <w:trHeight w:val="87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4F81E" w14:textId="77777777" w:rsidR="004A5043" w:rsidRPr="00A92DB7" w:rsidRDefault="004A5043" w:rsidP="005436DF">
            <w:pPr>
              <w:spacing w:after="0" w:line="240" w:lineRule="auto"/>
              <w:ind w:left="-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>IA</w:t>
            </w: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l-GR"/>
              </w:rPr>
              <w:t>it</w:t>
            </w:r>
          </w:p>
        </w:tc>
        <w:tc>
          <w:tcPr>
            <w:tcW w:w="4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F7ADB" w14:textId="77777777" w:rsidR="004A5043" w:rsidRPr="00A92DB7" w:rsidRDefault="004A5043" w:rsidP="005436DF">
            <w:pPr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 xml:space="preserve">Industry affiliation developed by Robert (1992) </w:t>
            </w:r>
          </w:p>
        </w:tc>
      </w:tr>
      <w:tr w:rsidR="004A5043" w:rsidRPr="00F60094" w14:paraId="2ABCF6D1" w14:textId="77777777" w:rsidTr="005436DF">
        <w:trPr>
          <w:trHeight w:val="87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7182" w14:textId="77777777" w:rsidR="004A5043" w:rsidRPr="00A92DB7" w:rsidRDefault="004A5043" w:rsidP="005436DF">
            <w:pPr>
              <w:spacing w:after="0" w:line="240" w:lineRule="auto"/>
              <w:ind w:left="-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>INDI</w:t>
            </w: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l-GR"/>
              </w:rPr>
              <w:t>It</w:t>
            </w:r>
          </w:p>
        </w:tc>
        <w:tc>
          <w:tcPr>
            <w:tcW w:w="4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362AA" w14:textId="77777777" w:rsidR="004A5043" w:rsidRPr="00A92DB7" w:rsidRDefault="004A5043" w:rsidP="005436DF">
            <w:pPr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Individualism as a dimension of national culture developed by Hofstede (1980, 2001)</w:t>
            </w:r>
          </w:p>
        </w:tc>
      </w:tr>
      <w:tr w:rsidR="004A5043" w:rsidRPr="00F60094" w14:paraId="5C42F087" w14:textId="77777777" w:rsidTr="005436DF">
        <w:trPr>
          <w:trHeight w:val="87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56859" w14:textId="77777777" w:rsidR="004A5043" w:rsidRPr="00A92DB7" w:rsidRDefault="004A5043" w:rsidP="005436DF">
            <w:pPr>
              <w:spacing w:after="0" w:line="240" w:lineRule="auto"/>
              <w:ind w:left="-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INDU</w:t>
            </w: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l-GR"/>
              </w:rPr>
              <w:t>It</w:t>
            </w:r>
          </w:p>
        </w:tc>
        <w:tc>
          <w:tcPr>
            <w:tcW w:w="4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0EF8F" w14:textId="77777777" w:rsidR="004A5043" w:rsidRPr="00A92DB7" w:rsidRDefault="004A5043" w:rsidP="005436DF">
            <w:pPr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Indulgence as a dimension of national culture developed by Hofstede (1980, 2001)</w:t>
            </w:r>
          </w:p>
        </w:tc>
      </w:tr>
      <w:tr w:rsidR="004A5043" w:rsidRPr="00181A7B" w14:paraId="58C7DF2F" w14:textId="77777777" w:rsidTr="005436DF">
        <w:trPr>
          <w:trHeight w:val="87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251FF" w14:textId="77777777" w:rsidR="004A5043" w:rsidRPr="00A92DB7" w:rsidRDefault="004A5043" w:rsidP="005436DF">
            <w:pPr>
              <w:spacing w:after="0" w:line="240" w:lineRule="auto"/>
              <w:ind w:left="-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IO</w:t>
            </w: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el-GR"/>
              </w:rPr>
              <w:t>it</w:t>
            </w:r>
          </w:p>
        </w:tc>
        <w:tc>
          <w:tcPr>
            <w:tcW w:w="4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06D24" w14:textId="77777777" w:rsidR="004A5043" w:rsidRPr="00181A7B" w:rsidRDefault="004A5043" w:rsidP="005436DF">
            <w:pPr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Institutional ownership as described by Choi et al. (2012)</w:t>
            </w:r>
            <w:r w:rsidRPr="00181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 xml:space="preserve"> </w:t>
            </w:r>
          </w:p>
        </w:tc>
      </w:tr>
      <w:tr w:rsidR="004A5043" w:rsidRPr="00F60094" w14:paraId="6D5F6EDB" w14:textId="77777777" w:rsidTr="005436DF">
        <w:trPr>
          <w:trHeight w:val="87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9F781" w14:textId="77777777" w:rsidR="004A5043" w:rsidRPr="00A92DB7" w:rsidRDefault="004A5043" w:rsidP="005436DF">
            <w:pPr>
              <w:spacing w:after="0" w:line="240" w:lineRule="auto"/>
              <w:ind w:left="-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>KYOTO</w:t>
            </w: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l-GR"/>
              </w:rPr>
              <w:t>It</w:t>
            </w:r>
          </w:p>
        </w:tc>
        <w:tc>
          <w:tcPr>
            <w:tcW w:w="4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8B2C9" w14:textId="77777777" w:rsidR="004A5043" w:rsidRPr="00147504" w:rsidRDefault="004A5043" w:rsidP="005436DF">
            <w:pPr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 xml:space="preserve">Kyoto Protocol </w:t>
            </w:r>
            <w:r w:rsidRPr="001475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is an indicator variable that, if the company is located in a nation that has ratified or accepted the Kyoto Protocol, will equal 1 and 0 respectively</w:t>
            </w:r>
          </w:p>
        </w:tc>
      </w:tr>
      <w:tr w:rsidR="004A5043" w:rsidRPr="00F60094" w14:paraId="4AB9DD2E" w14:textId="77777777" w:rsidTr="005436DF">
        <w:trPr>
          <w:trHeight w:val="87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CBD5A" w14:textId="77777777" w:rsidR="004A5043" w:rsidRPr="00A92DB7" w:rsidRDefault="004A5043" w:rsidP="005436DF">
            <w:pPr>
              <w:spacing w:after="0" w:line="240" w:lineRule="auto"/>
              <w:ind w:left="-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>LEVR</w:t>
            </w: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l-GR"/>
              </w:rPr>
              <w:t>it</w:t>
            </w:r>
          </w:p>
        </w:tc>
        <w:tc>
          <w:tcPr>
            <w:tcW w:w="4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8C77D" w14:textId="77777777" w:rsidR="004A5043" w:rsidRPr="00A92DB7" w:rsidRDefault="004A5043" w:rsidP="005436DF">
            <w:pPr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Leverage ratio measured as the debt to equity ratio</w:t>
            </w:r>
          </w:p>
        </w:tc>
      </w:tr>
      <w:tr w:rsidR="004A5043" w:rsidRPr="00F60094" w14:paraId="6FC1B2B0" w14:textId="77777777" w:rsidTr="005436DF">
        <w:trPr>
          <w:trHeight w:val="87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6F9B9" w14:textId="77777777" w:rsidR="004A5043" w:rsidRPr="00A92DB7" w:rsidRDefault="004A5043" w:rsidP="005436DF">
            <w:pPr>
              <w:spacing w:after="0" w:line="240" w:lineRule="auto"/>
              <w:ind w:left="-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>LIQR</w:t>
            </w: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l-GR"/>
              </w:rPr>
              <w:t>it</w:t>
            </w:r>
          </w:p>
        </w:tc>
        <w:tc>
          <w:tcPr>
            <w:tcW w:w="4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725CB" w14:textId="77777777" w:rsidR="004A5043" w:rsidRPr="00A92DB7" w:rsidRDefault="004A5043" w:rsidP="005436DF">
            <w:pPr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Liquidity ratio measured as the current ratio</w:t>
            </w:r>
          </w:p>
        </w:tc>
      </w:tr>
      <w:tr w:rsidR="004A5043" w:rsidRPr="00F60094" w14:paraId="35C271CE" w14:textId="77777777" w:rsidTr="005436DF">
        <w:trPr>
          <w:trHeight w:val="87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0F0E3" w14:textId="77777777" w:rsidR="004A5043" w:rsidRPr="00A92DB7" w:rsidRDefault="004A5043" w:rsidP="005436DF">
            <w:pPr>
              <w:spacing w:after="0" w:line="240" w:lineRule="auto"/>
              <w:ind w:left="-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>LOTO</w:t>
            </w: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l-GR"/>
              </w:rPr>
              <w:t>It</w:t>
            </w:r>
          </w:p>
        </w:tc>
        <w:tc>
          <w:tcPr>
            <w:tcW w:w="4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6247B" w14:textId="77777777" w:rsidR="004A5043" w:rsidRPr="00A92DB7" w:rsidRDefault="004A5043" w:rsidP="005436DF">
            <w:pPr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Long-term orientation as a dimension of national culture developed by Hofstede (1980, 2001)</w:t>
            </w:r>
          </w:p>
        </w:tc>
      </w:tr>
      <w:tr w:rsidR="004A5043" w:rsidRPr="00F60094" w14:paraId="6E5CB3E0" w14:textId="77777777" w:rsidTr="005436DF">
        <w:trPr>
          <w:trHeight w:val="87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4AD9F" w14:textId="77777777" w:rsidR="004A5043" w:rsidRPr="00A92DB7" w:rsidRDefault="004A5043" w:rsidP="005436DF">
            <w:pPr>
              <w:spacing w:after="0" w:line="240" w:lineRule="auto"/>
              <w:ind w:left="-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>MAFE</w:t>
            </w: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l-GR"/>
              </w:rPr>
              <w:t>It</w:t>
            </w:r>
          </w:p>
        </w:tc>
        <w:tc>
          <w:tcPr>
            <w:tcW w:w="4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59909" w14:textId="77777777" w:rsidR="004A5043" w:rsidRPr="00A92DB7" w:rsidRDefault="004A5043" w:rsidP="005436DF">
            <w:pPr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Masculinity as a dimension of national culture developed by Hofstede (1980, 2001)</w:t>
            </w:r>
          </w:p>
        </w:tc>
      </w:tr>
      <w:tr w:rsidR="004A5043" w:rsidRPr="00F60094" w14:paraId="3EEA6D7A" w14:textId="77777777" w:rsidTr="005436DF">
        <w:trPr>
          <w:trHeight w:val="87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D8EC2" w14:textId="77777777" w:rsidR="004A5043" w:rsidRPr="00A92DB7" w:rsidRDefault="004A5043" w:rsidP="005436DF">
            <w:pPr>
              <w:spacing w:after="0" w:line="240" w:lineRule="auto"/>
              <w:ind w:left="-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>PODI</w:t>
            </w: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l-GR"/>
              </w:rPr>
              <w:t>It</w:t>
            </w:r>
          </w:p>
        </w:tc>
        <w:tc>
          <w:tcPr>
            <w:tcW w:w="4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AA862" w14:textId="77777777" w:rsidR="004A5043" w:rsidRPr="00A92DB7" w:rsidRDefault="004A5043" w:rsidP="005436DF">
            <w:pPr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Power distance as a dimension of national culture developed by Hofstede (1980, 2001)</w:t>
            </w:r>
          </w:p>
        </w:tc>
      </w:tr>
      <w:tr w:rsidR="004A5043" w:rsidRPr="00F60094" w14:paraId="4F6EF97B" w14:textId="77777777" w:rsidTr="005436DF">
        <w:trPr>
          <w:trHeight w:val="87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6ABCD" w14:textId="77777777" w:rsidR="004A5043" w:rsidRPr="00A92DB7" w:rsidRDefault="004A5043" w:rsidP="005436DF">
            <w:pPr>
              <w:spacing w:after="0" w:line="240" w:lineRule="auto"/>
              <w:ind w:left="-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>POST</w:t>
            </w: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l-GR"/>
              </w:rPr>
              <w:t>It</w:t>
            </w:r>
          </w:p>
        </w:tc>
        <w:tc>
          <w:tcPr>
            <w:tcW w:w="4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9A014" w14:textId="77777777" w:rsidR="004A5043" w:rsidRPr="00A92DB7" w:rsidRDefault="004A5043" w:rsidP="005436DF">
            <w:pPr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Political stability and lack of violence is a key dimension of the quality of governance developed by Worldwide Governance Indicators</w:t>
            </w:r>
          </w:p>
        </w:tc>
      </w:tr>
      <w:tr w:rsidR="004A5043" w:rsidRPr="00F60094" w14:paraId="3BB3C24B" w14:textId="77777777" w:rsidTr="005436DF">
        <w:trPr>
          <w:trHeight w:val="87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5B1D5" w14:textId="77777777" w:rsidR="004A5043" w:rsidRPr="00A92DB7" w:rsidRDefault="004A5043" w:rsidP="005436DF">
            <w:pPr>
              <w:spacing w:after="0" w:line="240" w:lineRule="auto"/>
              <w:ind w:left="-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>PROR</w:t>
            </w: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l-GR"/>
              </w:rPr>
              <w:t>it</w:t>
            </w:r>
          </w:p>
        </w:tc>
        <w:tc>
          <w:tcPr>
            <w:tcW w:w="4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42387" w14:textId="77777777" w:rsidR="004A5043" w:rsidRPr="00A92DB7" w:rsidRDefault="004A5043" w:rsidP="005436DF">
            <w:pPr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Firm profitability ratio using the return on assets</w:t>
            </w:r>
          </w:p>
        </w:tc>
      </w:tr>
      <w:tr w:rsidR="004A5043" w:rsidRPr="00F60094" w14:paraId="7516AD22" w14:textId="77777777" w:rsidTr="005436DF">
        <w:trPr>
          <w:trHeight w:val="87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17F53" w14:textId="77777777" w:rsidR="004A5043" w:rsidRPr="00A92DB7" w:rsidRDefault="004A5043" w:rsidP="005436DF">
            <w:pPr>
              <w:spacing w:after="0" w:line="240" w:lineRule="auto"/>
              <w:ind w:left="-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>REQU</w:t>
            </w: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l-GR"/>
              </w:rPr>
              <w:t>It</w:t>
            </w:r>
          </w:p>
        </w:tc>
        <w:tc>
          <w:tcPr>
            <w:tcW w:w="4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E8950" w14:textId="77777777" w:rsidR="004A5043" w:rsidRPr="00A92DB7" w:rsidRDefault="004A5043" w:rsidP="005436DF">
            <w:pPr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Regulatory quality is a key dimension of the quality of governance developed by Worldwide Governance Indicators</w:t>
            </w:r>
          </w:p>
        </w:tc>
      </w:tr>
      <w:tr w:rsidR="004A5043" w:rsidRPr="00F60094" w14:paraId="135FCDC1" w14:textId="77777777" w:rsidTr="005436DF">
        <w:trPr>
          <w:trHeight w:val="87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CE0D9" w14:textId="77777777" w:rsidR="004A5043" w:rsidRPr="00A92DB7" w:rsidRDefault="004A5043" w:rsidP="005436DF">
            <w:pPr>
              <w:spacing w:after="0" w:line="240" w:lineRule="auto"/>
              <w:ind w:left="-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>RULA</w:t>
            </w: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l-GR"/>
              </w:rPr>
              <w:t>It</w:t>
            </w:r>
          </w:p>
        </w:tc>
        <w:tc>
          <w:tcPr>
            <w:tcW w:w="4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AA319" w14:textId="77777777" w:rsidR="004A5043" w:rsidRPr="00A92DB7" w:rsidRDefault="004A5043" w:rsidP="005436DF">
            <w:pPr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Rule of law is a key dimension of the quality of governance developed by Worldwide Governance Indicators</w:t>
            </w:r>
          </w:p>
        </w:tc>
      </w:tr>
      <w:tr w:rsidR="004A5043" w:rsidRPr="00F60094" w14:paraId="5FCC91C3" w14:textId="77777777" w:rsidTr="005436DF">
        <w:trPr>
          <w:trHeight w:val="87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51D28" w14:textId="77777777" w:rsidR="004A5043" w:rsidRPr="00A92DB7" w:rsidRDefault="004A5043" w:rsidP="005436DF">
            <w:pPr>
              <w:spacing w:after="0" w:line="240" w:lineRule="auto"/>
              <w:ind w:left="-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>UNAV</w:t>
            </w: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l-GR"/>
              </w:rPr>
              <w:t>It</w:t>
            </w:r>
          </w:p>
        </w:tc>
        <w:tc>
          <w:tcPr>
            <w:tcW w:w="4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C82A4" w14:textId="77777777" w:rsidR="004A5043" w:rsidRPr="00A92DB7" w:rsidRDefault="004A5043" w:rsidP="005436DF">
            <w:pPr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Uncertainty avoidance as a dimension of national culture developed by Hofstede (1980, 2001)</w:t>
            </w:r>
          </w:p>
        </w:tc>
      </w:tr>
      <w:tr w:rsidR="004A5043" w:rsidRPr="00F60094" w14:paraId="60028E17" w14:textId="77777777" w:rsidTr="005436DF">
        <w:trPr>
          <w:trHeight w:val="87"/>
        </w:trPr>
        <w:tc>
          <w:tcPr>
            <w:tcW w:w="9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0CAEB" w14:textId="77777777" w:rsidR="004A5043" w:rsidRPr="00A92DB7" w:rsidRDefault="004A5043" w:rsidP="005436DF">
            <w:pPr>
              <w:spacing w:after="0" w:line="240" w:lineRule="auto"/>
              <w:ind w:left="-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>VOAC</w:t>
            </w: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l-GR"/>
              </w:rPr>
              <w:t>It</w:t>
            </w:r>
          </w:p>
        </w:tc>
        <w:tc>
          <w:tcPr>
            <w:tcW w:w="40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5747C" w14:textId="77777777" w:rsidR="004A5043" w:rsidRPr="00A92DB7" w:rsidRDefault="004A5043" w:rsidP="005436DF">
            <w:pPr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Voice and accountability is a key dimension of the quality of governance developed by Worldwide Governance Indicators</w:t>
            </w:r>
          </w:p>
        </w:tc>
      </w:tr>
      <w:tr w:rsidR="004A5043" w:rsidRPr="00181A7B" w14:paraId="1B00650F" w14:textId="77777777" w:rsidTr="005436DF">
        <w:trPr>
          <w:trHeight w:val="87"/>
        </w:trPr>
        <w:tc>
          <w:tcPr>
            <w:tcW w:w="9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1E869" w14:textId="77777777" w:rsidR="004A5043" w:rsidRPr="00A92DB7" w:rsidRDefault="004A5043" w:rsidP="005436DF">
            <w:pPr>
              <w:spacing w:after="0" w:line="240" w:lineRule="auto"/>
              <w:ind w:left="-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l-GR"/>
              </w:rPr>
              <w:t>WUI</w:t>
            </w: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l-GR"/>
              </w:rPr>
              <w:t>It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0DFF1B" w14:textId="77777777" w:rsidR="004A5043" w:rsidRPr="00181A7B" w:rsidRDefault="004A5043" w:rsidP="005436DF">
            <w:pPr>
              <w:spacing w:after="0" w:line="240" w:lineRule="auto"/>
              <w:ind w:left="-1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</w:pPr>
            <w:r w:rsidRPr="00A92D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>World economic policy uncertainty index developed by Ahir et al. (2018)</w:t>
            </w:r>
            <w:r w:rsidRPr="00181A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l-GR"/>
              </w:rPr>
              <w:t xml:space="preserve"> </w:t>
            </w:r>
          </w:p>
        </w:tc>
      </w:tr>
    </w:tbl>
    <w:p w14:paraId="7931B767" w14:textId="77777777" w:rsidR="004A5043" w:rsidRPr="00A92DB7" w:rsidRDefault="004A5043" w:rsidP="004A50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en-US" w:eastAsia="el-GR"/>
        </w:rPr>
      </w:pPr>
    </w:p>
    <w:p w14:paraId="6DAC7973" w14:textId="2B3D577F" w:rsidR="00755780" w:rsidRPr="00144ED6" w:rsidRDefault="00144ED6">
      <w:pPr>
        <w:rPr>
          <w:lang w:val="en-US"/>
        </w:rPr>
      </w:pPr>
      <w:r>
        <w:rPr>
          <w:lang w:val="en-US"/>
        </w:rPr>
        <w:t>S</w:t>
      </w:r>
    </w:p>
    <w:sectPr w:rsidR="00755780" w:rsidRPr="00144E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043"/>
    <w:rsid w:val="00144ED6"/>
    <w:rsid w:val="004A5043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D0FB1"/>
  <w15:chartTrackingRefBased/>
  <w15:docId w15:val="{F5D39A33-82B1-48E3-8EF8-57BAA2EFB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043"/>
    <w:rPr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7282573984804697957241A60C1D52" ma:contentTypeVersion="2" ma:contentTypeDescription="Create a new document." ma:contentTypeScope="" ma:versionID="35a9bc9b1d32475436154e41652b4b1d">
  <xsd:schema xmlns:xsd="http://www.w3.org/2001/XMLSchema" xmlns:xs="http://www.w3.org/2001/XMLSchema" xmlns:p="http://schemas.microsoft.com/office/2006/metadata/properties" xmlns:ns3="9ee413a3-7d99-4592-b546-82d8fd7fda0f" targetNamespace="http://schemas.microsoft.com/office/2006/metadata/properties" ma:root="true" ma:fieldsID="29f8264c400ecaa6b5415a0e378007cb" ns3:_="">
    <xsd:import namespace="9ee413a3-7d99-4592-b546-82d8fd7fda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413a3-7d99-4592-b546-82d8fd7fda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AB700A-D1F0-46FA-8A0A-62DF0AC108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e413a3-7d99-4592-b546-82d8fd7fda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C70335-AF62-428A-8956-1F5B96C407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9D6201-2BB4-469D-9D51-95E85E1E5FD8}">
  <ds:schemaRefs>
    <ds:schemaRef ds:uri="http://purl.org/dc/dcmitype/"/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9ee413a3-7d99-4592-b546-82d8fd7fda0f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422</Words>
  <Characters>2407</Characters>
  <Application>Microsoft Office Word</Application>
  <DocSecurity>0</DocSecurity>
  <Lines>20</Lines>
  <Paragraphs>5</Paragraphs>
  <ScaleCrop>false</ScaleCrop>
  <Company>Springer Nature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2</cp:revision>
  <dcterms:created xsi:type="dcterms:W3CDTF">2023-04-18T08:38:00Z</dcterms:created>
  <dcterms:modified xsi:type="dcterms:W3CDTF">2023-04-18T08:38:00Z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0x010100517282573984804697957241A60C1D52</vt:lpwstr>
  </property>
</Properties>
</file>