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426" w:rsidRDefault="002F115B">
      <w:pPr>
        <w:jc w:val="both"/>
        <w:rPr>
          <w:b/>
          <w:color w:val="000000"/>
          <w:sz w:val="28"/>
          <w:szCs w:val="28"/>
          <w:highlight w:val="white"/>
        </w:rPr>
      </w:pPr>
      <w:r>
        <w:rPr>
          <w:b/>
          <w:sz w:val="28"/>
          <w:szCs w:val="28"/>
        </w:rPr>
        <w:t xml:space="preserve">Supplementary material: </w:t>
      </w:r>
      <w:r w:rsidR="000A549B">
        <w:rPr>
          <w:b/>
          <w:sz w:val="28"/>
          <w:szCs w:val="28"/>
        </w:rPr>
        <w:t>Is it up there? - an MR spectroscopy study of frontal lobes and non-primary-auditory temporal areas in subjective bilateral and unilateral tinnitus</w:t>
      </w:r>
    </w:p>
    <w:p w:rsidR="00343426" w:rsidRPr="000A549B" w:rsidRDefault="000A549B">
      <w:pPr>
        <w:jc w:val="both"/>
        <w:rPr>
          <w:vertAlign w:val="superscript"/>
          <w:lang w:val="pl-PL"/>
        </w:rPr>
      </w:pPr>
      <w:r w:rsidRPr="000A549B">
        <w:rPr>
          <w:lang w:val="pl-PL"/>
        </w:rPr>
        <w:t>Joanna Wójcik</w:t>
      </w:r>
      <w:r w:rsidRPr="000A549B">
        <w:rPr>
          <w:vertAlign w:val="superscript"/>
          <w:lang w:val="pl-PL"/>
        </w:rPr>
        <w:t>1,*</w:t>
      </w:r>
      <w:r w:rsidRPr="000A549B">
        <w:rPr>
          <w:lang w:val="pl-PL"/>
        </w:rPr>
        <w:t>, Bartosz Kochański</w:t>
      </w:r>
      <w:r w:rsidRPr="000A549B">
        <w:rPr>
          <w:vertAlign w:val="superscript"/>
          <w:lang w:val="pl-PL"/>
        </w:rPr>
        <w:t>1,*</w:t>
      </w:r>
      <w:r w:rsidRPr="000A549B">
        <w:rPr>
          <w:lang w:val="pl-PL"/>
        </w:rPr>
        <w:t>, Katarzyna Cieśla</w:t>
      </w:r>
      <w:r w:rsidRPr="000A549B">
        <w:rPr>
          <w:vertAlign w:val="superscript"/>
          <w:lang w:val="pl-PL"/>
        </w:rPr>
        <w:t>1,*</w:t>
      </w:r>
      <w:r w:rsidRPr="000A549B">
        <w:rPr>
          <w:lang w:val="pl-PL"/>
        </w:rPr>
        <w:t>, Monika Lewandowska</w:t>
      </w:r>
      <w:r w:rsidRPr="000A549B">
        <w:rPr>
          <w:vertAlign w:val="superscript"/>
          <w:lang w:val="pl-PL"/>
        </w:rPr>
        <w:t>2</w:t>
      </w:r>
      <w:r w:rsidRPr="000A549B">
        <w:rPr>
          <w:lang w:val="pl-PL"/>
        </w:rPr>
        <w:t>, Lucyna Karpiesz</w:t>
      </w:r>
      <w:r w:rsidRPr="000A549B">
        <w:rPr>
          <w:vertAlign w:val="superscript"/>
          <w:lang w:val="pl-PL"/>
        </w:rPr>
        <w:t>3</w:t>
      </w:r>
      <w:r w:rsidRPr="000A549B">
        <w:rPr>
          <w:lang w:val="pl-PL"/>
        </w:rPr>
        <w:t>, Iwona Niedziałek</w:t>
      </w:r>
      <w:r w:rsidRPr="000A549B">
        <w:rPr>
          <w:vertAlign w:val="superscript"/>
          <w:lang w:val="pl-PL"/>
        </w:rPr>
        <w:t>3</w:t>
      </w:r>
      <w:r w:rsidRPr="000A549B">
        <w:rPr>
          <w:lang w:val="pl-PL"/>
        </w:rPr>
        <w:t>, Danuta Raj-Koziak</w:t>
      </w:r>
      <w:r w:rsidRPr="000A549B">
        <w:rPr>
          <w:vertAlign w:val="superscript"/>
          <w:lang w:val="pl-PL"/>
        </w:rPr>
        <w:t>3,5</w:t>
      </w:r>
      <w:r w:rsidRPr="000A549B">
        <w:rPr>
          <w:lang w:val="pl-PL"/>
        </w:rPr>
        <w:t>, Piotr Henryk Skarżyński</w:t>
      </w:r>
      <w:r w:rsidRPr="000A549B">
        <w:rPr>
          <w:vertAlign w:val="superscript"/>
          <w:lang w:val="pl-PL"/>
        </w:rPr>
        <w:t>4,6,7</w:t>
      </w:r>
      <w:r w:rsidRPr="000A549B">
        <w:rPr>
          <w:lang w:val="pl-PL"/>
        </w:rPr>
        <w:t>, Tomasz Wolak</w:t>
      </w:r>
      <w:r w:rsidRPr="000A549B">
        <w:rPr>
          <w:vertAlign w:val="superscript"/>
          <w:lang w:val="pl-PL"/>
        </w:rPr>
        <w:t>1</w:t>
      </w:r>
    </w:p>
    <w:p w:rsidR="00343426" w:rsidRDefault="000A549B">
      <w:r>
        <w:t>* equal authorship</w:t>
      </w:r>
    </w:p>
    <w:p w:rsidR="00343426" w:rsidRDefault="000A549B" w:rsidP="002F115B">
      <w:pPr>
        <w:tabs>
          <w:tab w:val="left" w:pos="6614"/>
        </w:tabs>
      </w:pPr>
      <w:r>
        <w:t xml:space="preserve">Corresponding author: </w:t>
      </w:r>
      <w:proofErr w:type="spellStart"/>
      <w:r>
        <w:t>Katarzyna</w:t>
      </w:r>
      <w:proofErr w:type="spellEnd"/>
      <w:r>
        <w:t xml:space="preserve"> </w:t>
      </w:r>
      <w:proofErr w:type="spellStart"/>
      <w:r>
        <w:t>Cieśla</w:t>
      </w:r>
      <w:proofErr w:type="spellEnd"/>
      <w:r>
        <w:t xml:space="preserve"> (</w:t>
      </w:r>
      <w:hyperlink r:id="rId7">
        <w:r>
          <w:rPr>
            <w:color w:val="0563C1"/>
            <w:u w:val="single"/>
          </w:rPr>
          <w:t>kasia.j.ciesla@gmail.com</w:t>
        </w:r>
      </w:hyperlink>
      <w:r>
        <w:t>)</w:t>
      </w:r>
      <w:r w:rsidR="002F115B">
        <w:tab/>
      </w:r>
    </w:p>
    <w:p w:rsidR="002F115B" w:rsidRDefault="002F115B" w:rsidP="002F115B">
      <w:pPr>
        <w:tabs>
          <w:tab w:val="left" w:pos="284"/>
        </w:tabs>
        <w:jc w:val="both"/>
      </w:pPr>
      <w:r>
        <w:t>1.</w:t>
      </w:r>
      <w:r>
        <w:tab/>
        <w:t xml:space="preserve"> </w:t>
      </w:r>
      <w:proofErr w:type="spellStart"/>
      <w:r>
        <w:t>Bioimaging</w:t>
      </w:r>
      <w:proofErr w:type="spellEnd"/>
      <w:r>
        <w:t xml:space="preserve"> Research Center, World Hearing Center, Institute of Physiology and Pathology of Hearing, </w:t>
      </w:r>
      <w:proofErr w:type="spellStart"/>
      <w:r>
        <w:t>Mokra</w:t>
      </w:r>
      <w:proofErr w:type="spellEnd"/>
      <w:r>
        <w:t xml:space="preserve"> 17 Street, </w:t>
      </w:r>
      <w:proofErr w:type="spellStart"/>
      <w:r>
        <w:t>Kajetany</w:t>
      </w:r>
      <w:proofErr w:type="spellEnd"/>
      <w:r>
        <w:t xml:space="preserve"> 05-830 </w:t>
      </w:r>
      <w:proofErr w:type="spellStart"/>
      <w:r>
        <w:t>Nadarzyn</w:t>
      </w:r>
      <w:proofErr w:type="spellEnd"/>
      <w:r>
        <w:t>, Poland;</w:t>
      </w:r>
    </w:p>
    <w:p w:rsidR="002F115B" w:rsidRDefault="002F115B" w:rsidP="002F115B">
      <w:pPr>
        <w:tabs>
          <w:tab w:val="left" w:pos="284"/>
        </w:tabs>
        <w:jc w:val="both"/>
      </w:pPr>
      <w:r>
        <w:t>2.</w:t>
      </w:r>
      <w:r>
        <w:tab/>
        <w:t xml:space="preserve"> Institute of Psychology, Faculty of Philosophy and Social Sciences, Nicolaus Copernicus University, </w:t>
      </w:r>
      <w:proofErr w:type="spellStart"/>
      <w:r>
        <w:t>Fosa</w:t>
      </w:r>
      <w:proofErr w:type="spellEnd"/>
      <w:r>
        <w:t xml:space="preserve"> </w:t>
      </w:r>
      <w:proofErr w:type="spellStart"/>
      <w:r>
        <w:t>Staromiejska</w:t>
      </w:r>
      <w:proofErr w:type="spellEnd"/>
      <w:r>
        <w:t xml:space="preserve"> 1a Street 87-100 </w:t>
      </w:r>
      <w:proofErr w:type="spellStart"/>
      <w:r>
        <w:t>Toruń</w:t>
      </w:r>
      <w:proofErr w:type="spellEnd"/>
      <w:r>
        <w:t>, Poland;</w:t>
      </w:r>
    </w:p>
    <w:p w:rsidR="002F115B" w:rsidRDefault="002F115B" w:rsidP="002F115B">
      <w:pPr>
        <w:tabs>
          <w:tab w:val="left" w:pos="284"/>
        </w:tabs>
        <w:jc w:val="both"/>
      </w:pPr>
      <w:r>
        <w:t>3.</w:t>
      </w:r>
      <w:r>
        <w:tab/>
        <w:t xml:space="preserve"> Tinnitus Department, World Hearing Center, Institute of Physiology and Pathology of Hearing, </w:t>
      </w:r>
      <w:proofErr w:type="spellStart"/>
      <w:r>
        <w:t>Mokra</w:t>
      </w:r>
      <w:proofErr w:type="spellEnd"/>
      <w:r>
        <w:t xml:space="preserve"> 17 Street, </w:t>
      </w:r>
      <w:proofErr w:type="spellStart"/>
      <w:r>
        <w:t>Kajetany</w:t>
      </w:r>
      <w:proofErr w:type="spellEnd"/>
      <w:r>
        <w:t xml:space="preserve"> 05-830 </w:t>
      </w:r>
      <w:proofErr w:type="spellStart"/>
      <w:r>
        <w:t>Nadarzyn</w:t>
      </w:r>
      <w:proofErr w:type="spellEnd"/>
      <w:r>
        <w:t>, Poland;</w:t>
      </w:r>
    </w:p>
    <w:p w:rsidR="002F115B" w:rsidRDefault="002F115B" w:rsidP="002F115B">
      <w:pPr>
        <w:tabs>
          <w:tab w:val="left" w:pos="284"/>
        </w:tabs>
        <w:jc w:val="both"/>
      </w:pPr>
      <w:r>
        <w:t>4.</w:t>
      </w:r>
      <w:r>
        <w:tab/>
        <w:t xml:space="preserve"> Department of </w:t>
      </w:r>
      <w:proofErr w:type="spellStart"/>
      <w:r>
        <w:t>Teleaudiology</w:t>
      </w:r>
      <w:proofErr w:type="spellEnd"/>
      <w:r>
        <w:t xml:space="preserve"> and Screening, World Hearing Center, Institute of Physiology and Pathology of Hearing, </w:t>
      </w:r>
      <w:proofErr w:type="spellStart"/>
      <w:r>
        <w:t>Mokra</w:t>
      </w:r>
      <w:proofErr w:type="spellEnd"/>
      <w:r>
        <w:t xml:space="preserve"> 17 Street, </w:t>
      </w:r>
      <w:proofErr w:type="spellStart"/>
      <w:r>
        <w:t>Kajetany</w:t>
      </w:r>
      <w:proofErr w:type="spellEnd"/>
      <w:r>
        <w:t xml:space="preserve"> 05-830 </w:t>
      </w:r>
      <w:proofErr w:type="spellStart"/>
      <w:r>
        <w:t>Nadarzyn</w:t>
      </w:r>
      <w:proofErr w:type="spellEnd"/>
      <w:r>
        <w:t>, Poland;</w:t>
      </w:r>
    </w:p>
    <w:p w:rsidR="002F115B" w:rsidRDefault="002F115B" w:rsidP="002F115B">
      <w:pPr>
        <w:tabs>
          <w:tab w:val="left" w:pos="284"/>
        </w:tabs>
        <w:jc w:val="both"/>
      </w:pPr>
      <w:r>
        <w:t>5.</w:t>
      </w:r>
      <w:r>
        <w:tab/>
        <w:t xml:space="preserve"> Audiology and </w:t>
      </w:r>
      <w:proofErr w:type="spellStart"/>
      <w:r>
        <w:t>Phoniatrics</w:t>
      </w:r>
      <w:proofErr w:type="spellEnd"/>
      <w:r>
        <w:t xml:space="preserve"> Clinic, World Hearing Center, Institute of Physiology and Pathology of Hearing, </w:t>
      </w:r>
      <w:proofErr w:type="spellStart"/>
      <w:r>
        <w:t>Mokra</w:t>
      </w:r>
      <w:proofErr w:type="spellEnd"/>
      <w:r>
        <w:t xml:space="preserve"> 17 Street, </w:t>
      </w:r>
      <w:proofErr w:type="spellStart"/>
      <w:r>
        <w:t>Kajetany</w:t>
      </w:r>
      <w:proofErr w:type="spellEnd"/>
      <w:r>
        <w:t xml:space="preserve"> 05-830 </w:t>
      </w:r>
      <w:proofErr w:type="spellStart"/>
      <w:r>
        <w:t>Nadarzyn</w:t>
      </w:r>
      <w:proofErr w:type="spellEnd"/>
      <w:r>
        <w:t>, Poland;</w:t>
      </w:r>
    </w:p>
    <w:p w:rsidR="002F115B" w:rsidRDefault="002F115B" w:rsidP="002F115B">
      <w:pPr>
        <w:tabs>
          <w:tab w:val="left" w:pos="284"/>
        </w:tabs>
        <w:jc w:val="both"/>
      </w:pPr>
      <w:r>
        <w:t>6.</w:t>
      </w:r>
      <w:r>
        <w:tab/>
        <w:t xml:space="preserve"> Institute of Sensory Organs, </w:t>
      </w:r>
      <w:proofErr w:type="spellStart"/>
      <w:r>
        <w:t>Mokra</w:t>
      </w:r>
      <w:proofErr w:type="spellEnd"/>
      <w:r>
        <w:t xml:space="preserve"> 17 Street, </w:t>
      </w:r>
      <w:proofErr w:type="spellStart"/>
      <w:r>
        <w:t>Kajetany</w:t>
      </w:r>
      <w:proofErr w:type="spellEnd"/>
      <w:r>
        <w:t xml:space="preserve"> 05-830 </w:t>
      </w:r>
      <w:proofErr w:type="spellStart"/>
      <w:r>
        <w:t>Nadarzyn</w:t>
      </w:r>
      <w:proofErr w:type="spellEnd"/>
      <w:r>
        <w:t>, Poland;</w:t>
      </w:r>
    </w:p>
    <w:p w:rsidR="002F115B" w:rsidRDefault="002F115B" w:rsidP="002F115B">
      <w:pPr>
        <w:tabs>
          <w:tab w:val="left" w:pos="284"/>
        </w:tabs>
        <w:jc w:val="both"/>
      </w:pPr>
      <w:r>
        <w:t>7.</w:t>
      </w:r>
      <w:r>
        <w:tab/>
        <w:t xml:space="preserve"> Heart Failure and Cardiac Rehabilitation Department, Faculty of Medicine, Medical University of Warsaw, </w:t>
      </w:r>
      <w:proofErr w:type="spellStart"/>
      <w:r>
        <w:t>Kondratowicza</w:t>
      </w:r>
      <w:proofErr w:type="spellEnd"/>
      <w:r>
        <w:t xml:space="preserve"> 8 Street, 03-242 Warsaw, Poland;</w:t>
      </w:r>
    </w:p>
    <w:p w:rsidR="00343426" w:rsidRDefault="00343426"/>
    <w:p w:rsidR="002F115B" w:rsidRDefault="002F115B">
      <w:pPr>
        <w:rPr>
          <w:b/>
        </w:rPr>
      </w:pPr>
      <w:r>
        <w:rPr>
          <w:b/>
        </w:rPr>
        <w:br w:type="page"/>
      </w:r>
    </w:p>
    <w:p w:rsidR="00343426" w:rsidRDefault="000A549B">
      <w:pPr>
        <w:tabs>
          <w:tab w:val="left" w:pos="8026"/>
        </w:tabs>
      </w:pPr>
      <w:r>
        <w:rPr>
          <w:b/>
        </w:rPr>
        <w:lastRenderedPageBreak/>
        <w:t>Table S1.</w:t>
      </w:r>
      <w:r>
        <w:t xml:space="preserve"> Detailed PTA values and comparisons between groups.</w:t>
      </w:r>
    </w:p>
    <w:tbl>
      <w:tblPr>
        <w:tblStyle w:val="a"/>
        <w:tblW w:w="8504" w:type="dxa"/>
        <w:tblInd w:w="0" w:type="dxa"/>
        <w:tblLayout w:type="fixed"/>
        <w:tblLook w:val="0400" w:firstRow="0" w:lastRow="0" w:firstColumn="0" w:lastColumn="0" w:noHBand="0" w:noVBand="1"/>
      </w:tblPr>
      <w:tblGrid>
        <w:gridCol w:w="2856"/>
        <w:gridCol w:w="1538"/>
        <w:gridCol w:w="1538"/>
        <w:gridCol w:w="1538"/>
        <w:gridCol w:w="1034"/>
      </w:tblGrid>
      <w:tr w:rsidR="00343426">
        <w:trPr>
          <w:cantSplit/>
          <w:tblHeader/>
        </w:trPr>
        <w:tc>
          <w:tcPr>
            <w:tcW w:w="285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Characteristic</w:t>
            </w:r>
            <w:r>
              <w:rPr>
                <w:sz w:val="20"/>
                <w:szCs w:val="20"/>
                <w:vertAlign w:val="superscript"/>
              </w:rPr>
              <w:t>1</w:t>
            </w:r>
          </w:p>
        </w:tc>
        <w:tc>
          <w:tcPr>
            <w:tcW w:w="153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b/>
                <w:sz w:val="20"/>
                <w:szCs w:val="20"/>
              </w:rPr>
              <w:t>C</w:t>
            </w:r>
            <w:r>
              <w:rPr>
                <w:sz w:val="20"/>
                <w:szCs w:val="20"/>
              </w:rPr>
              <w:t>, N = 25</w:t>
            </w:r>
            <w:r>
              <w:rPr>
                <w:sz w:val="20"/>
                <w:szCs w:val="20"/>
                <w:vertAlign w:val="superscript"/>
              </w:rPr>
              <w:t>2</w:t>
            </w:r>
          </w:p>
        </w:tc>
        <w:tc>
          <w:tcPr>
            <w:tcW w:w="153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b/>
                <w:sz w:val="20"/>
                <w:szCs w:val="20"/>
              </w:rPr>
              <w:t>TU</w:t>
            </w:r>
            <w:r>
              <w:rPr>
                <w:sz w:val="20"/>
                <w:szCs w:val="20"/>
              </w:rPr>
              <w:t>, N = 24</w:t>
            </w:r>
            <w:r>
              <w:rPr>
                <w:sz w:val="20"/>
                <w:szCs w:val="20"/>
                <w:vertAlign w:val="superscript"/>
              </w:rPr>
              <w:t>2</w:t>
            </w:r>
          </w:p>
        </w:tc>
        <w:tc>
          <w:tcPr>
            <w:tcW w:w="153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b/>
                <w:sz w:val="20"/>
                <w:szCs w:val="20"/>
              </w:rPr>
              <w:t>TB</w:t>
            </w:r>
            <w:r>
              <w:rPr>
                <w:sz w:val="20"/>
                <w:szCs w:val="20"/>
              </w:rPr>
              <w:t>, N = 28</w:t>
            </w:r>
            <w:r>
              <w:rPr>
                <w:sz w:val="20"/>
                <w:szCs w:val="20"/>
                <w:vertAlign w:val="superscript"/>
              </w:rPr>
              <w:t>2</w:t>
            </w:r>
          </w:p>
        </w:tc>
        <w:tc>
          <w:tcPr>
            <w:tcW w:w="1034"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b/>
                <w:sz w:val="20"/>
                <w:szCs w:val="20"/>
              </w:rPr>
              <w:t>p-value</w:t>
            </w:r>
            <w:r>
              <w:rPr>
                <w:sz w:val="20"/>
                <w:szCs w:val="20"/>
                <w:vertAlign w:val="superscript"/>
              </w:rPr>
              <w:t>3</w:t>
            </w: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PTA Right/Contra Ear</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i/>
                <w:sz w:val="20"/>
                <w:szCs w:val="20"/>
              </w:rPr>
            </w:pPr>
            <w:r>
              <w:rPr>
                <w:i/>
                <w:sz w:val="20"/>
                <w:szCs w:val="20"/>
              </w:rPr>
              <w:t>0.060</w:t>
            </w: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 (9 - 16)</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9 (6 - 12)</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 (5 - 17)</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 (7)</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 (5)</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 (10)</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5 - 35</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0 - 25</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2 - 41</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PTA Left/Ipsi Ear</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w:t>
            </w: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 (9 - 19)</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9 (7 - 13)</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9 (7 - 15)</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16 (11)</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 (7)</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 (10)</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4 - 41</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0 - 29</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1 - 46</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PTA Better Ear</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i/>
                <w:sz w:val="20"/>
                <w:szCs w:val="20"/>
              </w:rPr>
            </w:pPr>
            <w:r>
              <w:rPr>
                <w:i/>
                <w:sz w:val="20"/>
                <w:szCs w:val="20"/>
              </w:rPr>
              <w:t>0.093</w:t>
            </w: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 (8 - 16)</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 (6 - 9)</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 (5 - 15)</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 (8)</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9 (5)</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 (10)</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4 - 35</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0 - 25</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1 - 41</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PTA Worse Ear</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w:t>
            </w: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 (10 - 19)</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 (8 - 14)</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 (8 - 17)</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17 (10)</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 (7)</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 (11)</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8 - 41</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1 - 29</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2 - 46</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PTA Right/Contra - Left/Ipsi</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0.8</w:t>
            </w: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 (-3.8 - 1.3)</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 (-2.5 - 2.5)</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 (-1.6 - 2.5)</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-1.6 (6.0)</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 (5.8)</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 (2.9)</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-22.5 - 5.0</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-22.5 - 3.8</w:t>
            </w:r>
          </w:p>
        </w:tc>
        <w:tc>
          <w:tcPr>
            <w:tcW w:w="153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-6.2 - 3.8</w:t>
            </w:r>
          </w:p>
        </w:tc>
        <w:tc>
          <w:tcPr>
            <w:tcW w:w="1034"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98"/>
        </w:trPr>
        <w:tc>
          <w:tcPr>
            <w:tcW w:w="285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538"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w:t>
            </w:r>
          </w:p>
        </w:tc>
        <w:tc>
          <w:tcPr>
            <w:tcW w:w="1538"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538"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034"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8505" w:type="dxa"/>
            <w:gridSpan w:val="5"/>
            <w:tcBorders>
              <w:top w:val="single" w:sz="8" w:space="0" w:color="000000"/>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1</w:t>
            </w:r>
            <w:r>
              <w:rPr>
                <w:sz w:val="20"/>
                <w:szCs w:val="20"/>
              </w:rPr>
              <w:t>SD - standard deviation, IQR - interquartile interval, Ipsi – side ipsilateral to the perceived unilateral tinnitus, Contra – side contralateral to the perceived unilateral tinnitus</w:t>
            </w:r>
          </w:p>
        </w:tc>
      </w:tr>
      <w:tr w:rsidR="00343426">
        <w:trPr>
          <w:cantSplit/>
        </w:trPr>
        <w:tc>
          <w:tcPr>
            <w:tcW w:w="8505" w:type="dxa"/>
            <w:gridSpan w:val="5"/>
            <w:tcBorders>
              <w:top w:val="nil"/>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2</w:t>
            </w:r>
            <w:r>
              <w:rPr>
                <w:sz w:val="20"/>
                <w:szCs w:val="20"/>
              </w:rPr>
              <w:t>C - control, TU - tinnitus unilateral, TB - tinnitus bilateral</w:t>
            </w:r>
          </w:p>
        </w:tc>
      </w:tr>
      <w:tr w:rsidR="00343426">
        <w:trPr>
          <w:cantSplit/>
        </w:trPr>
        <w:tc>
          <w:tcPr>
            <w:tcW w:w="8505" w:type="dxa"/>
            <w:gridSpan w:val="5"/>
            <w:tcBorders>
              <w:top w:val="nil"/>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3</w:t>
            </w:r>
            <w:r>
              <w:rPr>
                <w:sz w:val="20"/>
                <w:szCs w:val="20"/>
              </w:rPr>
              <w:t>Kruskal-Wallis rank sum test</w:t>
            </w:r>
          </w:p>
        </w:tc>
      </w:tr>
    </w:tbl>
    <w:p w:rsidR="00343426" w:rsidRDefault="000A549B">
      <w:pPr>
        <w:tabs>
          <w:tab w:val="left" w:pos="8026"/>
        </w:tabs>
      </w:pPr>
      <w:r>
        <w:tab/>
      </w:r>
    </w:p>
    <w:p w:rsidR="00343426" w:rsidRDefault="000A549B">
      <w:pPr>
        <w:rPr>
          <w:b/>
        </w:rPr>
      </w:pPr>
      <w:r>
        <w:br w:type="page"/>
      </w:r>
    </w:p>
    <w:p w:rsidR="00343426" w:rsidRDefault="00473DF2">
      <w:pPr>
        <w:spacing w:after="0"/>
        <w:jc w:val="cente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6.45pt;height:330.1pt">
            <v:imagedata r:id="rId8" o:title="PTA_audiograms_two_sides3"/>
          </v:shape>
        </w:pict>
      </w:r>
    </w:p>
    <w:p w:rsidR="00343426" w:rsidRDefault="000A549B">
      <w:pPr>
        <w:spacing w:after="0"/>
        <w:jc w:val="both"/>
      </w:pPr>
      <w:r>
        <w:rPr>
          <w:b/>
        </w:rPr>
        <w:t>Figure S1.</w:t>
      </w:r>
      <w:r>
        <w:t xml:space="preserve"> Individual PTA values (500-4000 Hz) for each participant. Dashed lines represent the threshold for normal hearing level, Ipsi – side ipsilateral to the</w:t>
      </w:r>
      <w:r w:rsidR="00473DF2">
        <w:t xml:space="preserve"> perceived unilateral tinnitus, Contra </w:t>
      </w:r>
      <w:r>
        <w:t>–</w:t>
      </w:r>
      <w:r w:rsidR="00473DF2">
        <w:t> </w:t>
      </w:r>
      <w:r>
        <w:t>side contralateral to the perceived unilateral tinnitus.</w:t>
      </w:r>
    </w:p>
    <w:p w:rsidR="00343426" w:rsidRDefault="00343426">
      <w:pPr>
        <w:jc w:val="both"/>
      </w:pPr>
    </w:p>
    <w:p w:rsidR="00343426" w:rsidRDefault="00343426">
      <w:pPr>
        <w:jc w:val="both"/>
      </w:pPr>
    </w:p>
    <w:p w:rsidR="00343426" w:rsidRDefault="00343426">
      <w:pPr>
        <w:jc w:val="both"/>
      </w:pPr>
    </w:p>
    <w:p w:rsidR="00343426" w:rsidRDefault="000A549B">
      <w:r>
        <w:br w:type="page"/>
      </w:r>
    </w:p>
    <w:p w:rsidR="00343426" w:rsidRDefault="000A549B">
      <w:r>
        <w:rPr>
          <w:b/>
        </w:rPr>
        <w:lastRenderedPageBreak/>
        <w:t>Table S2.</w:t>
      </w:r>
      <w:r>
        <w:t xml:space="preserve"> Glx/tCr quality control measurements.</w:t>
      </w:r>
    </w:p>
    <w:tbl>
      <w:tblPr>
        <w:tblStyle w:val="a0"/>
        <w:tblW w:w="8505" w:type="dxa"/>
        <w:tblInd w:w="0" w:type="dxa"/>
        <w:tblLayout w:type="fixed"/>
        <w:tblLook w:val="0400" w:firstRow="0" w:lastRow="0" w:firstColumn="0" w:lastColumn="0" w:noHBand="0" w:noVBand="1"/>
      </w:tblPr>
      <w:tblGrid>
        <w:gridCol w:w="1813"/>
        <w:gridCol w:w="1519"/>
        <w:gridCol w:w="1406"/>
        <w:gridCol w:w="1406"/>
        <w:gridCol w:w="1406"/>
        <w:gridCol w:w="955"/>
      </w:tblGrid>
      <w:tr w:rsidR="00343426">
        <w:trPr>
          <w:cantSplit/>
          <w:tblHeader/>
        </w:trPr>
        <w:tc>
          <w:tcPr>
            <w:tcW w:w="1813"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Region</w:t>
            </w:r>
            <w:r>
              <w:rPr>
                <w:sz w:val="20"/>
                <w:szCs w:val="20"/>
                <w:vertAlign w:val="superscript"/>
              </w:rPr>
              <w:t>1</w:t>
            </w:r>
          </w:p>
        </w:tc>
        <w:tc>
          <w:tcPr>
            <w:tcW w:w="1519"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Characteristic</w:t>
            </w:r>
            <w:r>
              <w:rPr>
                <w:sz w:val="20"/>
                <w:szCs w:val="20"/>
                <w:vertAlign w:val="superscript"/>
              </w:rPr>
              <w:t>1</w:t>
            </w:r>
          </w:p>
        </w:tc>
        <w:tc>
          <w:tcPr>
            <w:tcW w:w="1406"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C, N = 25</w:t>
            </w:r>
            <w:r>
              <w:rPr>
                <w:sz w:val="20"/>
                <w:szCs w:val="20"/>
                <w:vertAlign w:val="superscript"/>
              </w:rPr>
              <w:t>2</w:t>
            </w:r>
          </w:p>
        </w:tc>
        <w:tc>
          <w:tcPr>
            <w:tcW w:w="1406"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TU, N = 24</w:t>
            </w:r>
            <w:r>
              <w:rPr>
                <w:sz w:val="20"/>
                <w:szCs w:val="20"/>
                <w:vertAlign w:val="superscript"/>
              </w:rPr>
              <w:t>2</w:t>
            </w:r>
          </w:p>
        </w:tc>
        <w:tc>
          <w:tcPr>
            <w:tcW w:w="1406"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TB, N = 28</w:t>
            </w:r>
            <w:r>
              <w:rPr>
                <w:sz w:val="20"/>
                <w:szCs w:val="20"/>
                <w:vertAlign w:val="superscript"/>
              </w:rPr>
              <w:t>2</w:t>
            </w:r>
          </w:p>
        </w:tc>
        <w:tc>
          <w:tcPr>
            <w:tcW w:w="95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p-value</w:t>
            </w:r>
            <w:r>
              <w:rPr>
                <w:sz w:val="20"/>
                <w:szCs w:val="20"/>
                <w:vertAlign w:val="superscript"/>
              </w:rPr>
              <w:t>3</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Left frontal</w:t>
            </w: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FWHM (ppm)</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0.050 (0.008)</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0.051 (0.009)</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0.051 (0.009)</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0.038 - 0.067</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0.038 - 0.067</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0.038 - 0.076</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SNR</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16.08 (1.98)</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15.12 (2.49)</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14.89 (2.70)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13.00 - 20.00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11.00 - 19.00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10.00 - 20.00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CRLB</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0.5</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8.36 (1.08)</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8.83 (1.46)</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8.39 (1.50)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7.00 - 12.00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7.00 - 12.00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6.00 - 12.00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Rejected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Right frontal</w:t>
            </w: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FWHM (ppm)</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b/>
                <w:sz w:val="20"/>
                <w:szCs w:val="20"/>
              </w:rPr>
              <w:t>0.035</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0.048 (0.009)</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0.049 (0.008)</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0.054 (0.009)</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0.033 - 0.076</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0.038 - 0.076</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0.038 - 0.067</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Height w:val="109"/>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SNR</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b/>
                <w:sz w:val="20"/>
                <w:szCs w:val="20"/>
              </w:rPr>
              <w:t>0.021</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16.28 (1.97)</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16.22 (2.49)</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14.54 (2.60)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13.00 - 19.00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12.00 - 20.00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9.00 - 20.00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CRLB</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8.16 (1.14)</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8.13 (1.01)</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8.71 (1.30)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7.00 - 11.00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7.00 - 10.00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7.00 - 12.00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Rejected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Left/Ipsi temporal</w:t>
            </w: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FWHM (ppm)</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0.8</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0.061 (0.010)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0.064 (0.010)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0.064 (0.011)</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0.038 - 0.076</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0.048 - 0.086</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0.048 - 0.086</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SNR</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0.4</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12.00 (1.84)</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11.18 (1.65)</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11.38 (2.28)</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9.00 - 16.00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8.00 - 14.00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8.00 - 17.00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CRLB</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10.33 (1.99)</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10.55 (1.47)</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10.75 (1.89)</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8.00 - 14.00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8.00 - 13.00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8.00 - 14.00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Rejected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Right/Contra temporal</w:t>
            </w: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FWHM (ppm)</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0.8</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0.059 (0.009)</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0.059 (0.014)</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0.060 (0.011)</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0.043 - 0.076</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0.038 - 0.086</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0.038 - 0.076</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SNR</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11.83 (1.37)</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12.19 (2.09)</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11.42 (1.84)</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9.00 - 14.00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8.00 - 16.00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8.00 - 15.00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CRLB</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&gt;0.9</w:t>
            </w: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9.50 (1.56)</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9.52 (1.86)</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9.65 (1.77)</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7.00 - 13.00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7.00 - 14.00</w:t>
            </w:r>
          </w:p>
        </w:tc>
        <w:tc>
          <w:tcPr>
            <w:tcW w:w="1406"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7.00 - 13.00</w:t>
            </w:r>
          </w:p>
        </w:tc>
        <w:tc>
          <w:tcPr>
            <w:tcW w:w="95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1813"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519"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Rejected</w:t>
            </w:r>
          </w:p>
        </w:tc>
        <w:tc>
          <w:tcPr>
            <w:tcW w:w="1406"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1406"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w:t>
            </w:r>
          </w:p>
        </w:tc>
        <w:tc>
          <w:tcPr>
            <w:tcW w:w="1406"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w:t>
            </w:r>
          </w:p>
        </w:tc>
        <w:tc>
          <w:tcPr>
            <w:tcW w:w="955"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trPr>
          <w:cantSplit/>
        </w:trPr>
        <w:tc>
          <w:tcPr>
            <w:tcW w:w="8505" w:type="dxa"/>
            <w:gridSpan w:val="6"/>
            <w:tcBorders>
              <w:top w:val="single" w:sz="8" w:space="0" w:color="000000"/>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1</w:t>
            </w:r>
            <w:r>
              <w:rPr>
                <w:sz w:val="20"/>
                <w:szCs w:val="20"/>
              </w:rPr>
              <w:t>SD - standard deviation, FWHM (ppm) – full width at half maximum in parts per million, SNR – signal to noise ratio, CRLB – Cramér-Rao lower bound of relative standard deviation of estimated metabolite concentration, Ipsi – side ipsilateral to the perceived unilateral tinnitus, Contra – side contralateral to the perceived unilateral tinnitus</w:t>
            </w:r>
          </w:p>
        </w:tc>
      </w:tr>
      <w:tr w:rsidR="00343426">
        <w:trPr>
          <w:cantSplit/>
        </w:trPr>
        <w:tc>
          <w:tcPr>
            <w:tcW w:w="8505" w:type="dxa"/>
            <w:gridSpan w:val="6"/>
            <w:tcBorders>
              <w:top w:val="nil"/>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2</w:t>
            </w:r>
            <w:r>
              <w:rPr>
                <w:sz w:val="20"/>
                <w:szCs w:val="20"/>
              </w:rPr>
              <w:t>C - control, TU - tinnitus unilateral, TB - tinnitus bilateral</w:t>
            </w:r>
          </w:p>
        </w:tc>
      </w:tr>
      <w:tr w:rsidR="00343426">
        <w:trPr>
          <w:cantSplit/>
        </w:trPr>
        <w:tc>
          <w:tcPr>
            <w:tcW w:w="8505" w:type="dxa"/>
            <w:gridSpan w:val="6"/>
            <w:tcBorders>
              <w:top w:val="nil"/>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3</w:t>
            </w:r>
            <w:r>
              <w:rPr>
                <w:sz w:val="20"/>
                <w:szCs w:val="20"/>
              </w:rPr>
              <w:t>Kruskal-Wallis rank sum test</w:t>
            </w:r>
          </w:p>
        </w:tc>
      </w:tr>
    </w:tbl>
    <w:p w:rsidR="00343426" w:rsidRDefault="00343426"/>
    <w:p w:rsidR="00343426" w:rsidRDefault="00343426"/>
    <w:p w:rsidR="00343426" w:rsidRDefault="000A549B">
      <w:r>
        <w:br w:type="page"/>
      </w:r>
    </w:p>
    <w:p w:rsidR="00343426" w:rsidRDefault="000A549B" w:rsidP="00E023A5">
      <w:pPr>
        <w:rPr>
          <w:rFonts w:ascii="Arial" w:eastAsia="Arial" w:hAnsi="Arial" w:cs="Arial"/>
        </w:rPr>
      </w:pPr>
      <w:r>
        <w:rPr>
          <w:b/>
        </w:rPr>
        <w:lastRenderedPageBreak/>
        <w:t>Table S3.</w:t>
      </w:r>
      <w:r>
        <w:t xml:space="preserve"> CRLB values and rejected spectra of ml, </w:t>
      </w:r>
      <w:proofErr w:type="spellStart"/>
      <w:r>
        <w:t>tCho</w:t>
      </w:r>
      <w:proofErr w:type="spellEnd"/>
      <w:r>
        <w:t xml:space="preserve">, </w:t>
      </w:r>
      <w:proofErr w:type="spellStart"/>
      <w:r>
        <w:t>tNAA</w:t>
      </w:r>
      <w:proofErr w:type="spellEnd"/>
      <w:r>
        <w:t>.</w:t>
      </w:r>
    </w:p>
    <w:tbl>
      <w:tblPr>
        <w:tblStyle w:val="a1"/>
        <w:tblW w:w="9072" w:type="dxa"/>
        <w:jc w:val="center"/>
        <w:tblInd w:w="0" w:type="dxa"/>
        <w:tblLayout w:type="fixed"/>
        <w:tblLook w:val="0400" w:firstRow="0" w:lastRow="0" w:firstColumn="0" w:lastColumn="0" w:noHBand="0" w:noVBand="1"/>
      </w:tblPr>
      <w:tblGrid>
        <w:gridCol w:w="1978"/>
        <w:gridCol w:w="1294"/>
        <w:gridCol w:w="1382"/>
        <w:gridCol w:w="1181"/>
        <w:gridCol w:w="1181"/>
        <w:gridCol w:w="1181"/>
        <w:gridCol w:w="875"/>
      </w:tblGrid>
      <w:tr w:rsidR="00343426">
        <w:trPr>
          <w:cantSplit/>
          <w:tblHeader/>
          <w:jc w:val="center"/>
        </w:trPr>
        <w:tc>
          <w:tcPr>
            <w:tcW w:w="197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Region</w:t>
            </w:r>
            <w:r>
              <w:rPr>
                <w:sz w:val="18"/>
                <w:szCs w:val="18"/>
                <w:vertAlign w:val="superscript"/>
              </w:rPr>
              <w:t>1</w:t>
            </w:r>
          </w:p>
        </w:tc>
        <w:tc>
          <w:tcPr>
            <w:tcW w:w="1294" w:type="dxa"/>
            <w:tcBorders>
              <w:top w:val="single" w:sz="8" w:space="0" w:color="000000"/>
              <w:left w:val="nil"/>
              <w:bottom w:val="single" w:sz="8" w:space="0" w:color="000000"/>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Metabolite</w:t>
            </w:r>
          </w:p>
        </w:tc>
        <w:tc>
          <w:tcPr>
            <w:tcW w:w="1382"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Characteristic</w:t>
            </w:r>
            <w:r>
              <w:rPr>
                <w:sz w:val="18"/>
                <w:szCs w:val="18"/>
                <w:vertAlign w:val="superscript"/>
              </w:rPr>
              <w:t>1</w:t>
            </w:r>
          </w:p>
        </w:tc>
        <w:tc>
          <w:tcPr>
            <w:tcW w:w="1181"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C, N = 25</w:t>
            </w:r>
            <w:r>
              <w:rPr>
                <w:sz w:val="18"/>
                <w:szCs w:val="18"/>
                <w:vertAlign w:val="superscript"/>
              </w:rPr>
              <w:t>2</w:t>
            </w:r>
          </w:p>
        </w:tc>
        <w:tc>
          <w:tcPr>
            <w:tcW w:w="1181"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TU, N = 24</w:t>
            </w:r>
            <w:r>
              <w:rPr>
                <w:sz w:val="18"/>
                <w:szCs w:val="18"/>
                <w:vertAlign w:val="superscript"/>
              </w:rPr>
              <w:t>2</w:t>
            </w:r>
          </w:p>
        </w:tc>
        <w:tc>
          <w:tcPr>
            <w:tcW w:w="1181"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TB, N = 28</w:t>
            </w:r>
            <w:r>
              <w:rPr>
                <w:sz w:val="18"/>
                <w:szCs w:val="18"/>
                <w:vertAlign w:val="superscript"/>
              </w:rPr>
              <w:t>2</w:t>
            </w:r>
          </w:p>
        </w:tc>
        <w:tc>
          <w:tcPr>
            <w:tcW w:w="87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p-value</w:t>
            </w:r>
            <w:r>
              <w:rPr>
                <w:sz w:val="18"/>
                <w:szCs w:val="18"/>
                <w:vertAlign w:val="superscript"/>
              </w:rPr>
              <w:t>3</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Left frontal</w:t>
            </w: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mI</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0.2</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5.96 (0.98)</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6.12 (1.33)</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6.54 (1.10)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4.00 - 8.00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4.00 - 9.00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5.00 - 9.00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b/>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Rejected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tCho</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0.7</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2.92 (0.57)</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2.79 (0.41)</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2.82 (0.48)</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2.00 - 4.00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2.00 - 3.00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2.00 - 4.00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b/>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Rejected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tNAA</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0.11</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2.76 (0.44)</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2.83 (0.56)</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3.07 (0.60)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2.00 - 3.00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2.00 - 4.00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2.00 - 4.00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b/>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Rejected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Right frontal</w:t>
            </w: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mI</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0.2</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6.28 (1.37)</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6.04 (1.40)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6.64 (1.13)</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4.00 - 10.00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4.00 - 9.00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5.00 - 9.00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bookmarkStart w:id="0" w:name="_heading=h.gjdgxs" w:colFirst="0" w:colLast="0"/>
            <w:bookmarkEnd w:id="0"/>
            <w:r>
              <w:rPr>
                <w:b/>
                <w:sz w:val="18"/>
                <w:szCs w:val="18"/>
              </w:rPr>
              <w:t>Rejected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1</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tCho</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0.12</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2.84 (0.47)</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2.67 (0.64)</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2.96 (0.51)</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2.00 - 4.00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2.00 - 4.00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2.00 - 4.00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Rejected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tNAA</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0.7</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2.80 (0.58)</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2.79 (0.72)</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2.89 (0.63)</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2.00 - 4.00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2.00 - 5.00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2.00 - 4.00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Rejected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Left/Ipsi temporal</w:t>
            </w: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mI</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0.8</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8.61 (2.06)</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9.09 (2.65)</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9.09 (2.29)</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6.00 - 14.00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6.00 - 14.00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6.00 - 15.00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Rejected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2</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tCho</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0.3</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3.75 (0.68)</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4.12 (0.80)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4.00 (0.96)</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3.00 - 5.00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3.00 - 6.00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3.00 - 7.00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Rejected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1</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1</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tNAA</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0.3</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3.62 (0.65)</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3.96 (0.69)</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3.93 (1.04)</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3.00 - 5.00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3.00 - 5.00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3.00 - 7.00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Rejected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1</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1</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Right/Contra temporal</w:t>
            </w: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mI</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0.5</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8.95 (1.99)</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8.52 (1.81)</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9.16 (2.10)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6.00 - 15.00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6.00 - 14.00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6.00 - 14.00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Rejected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tCho</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0.9</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3.96 (0.73)</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4.04 (0.82)</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3.96 (0.85)</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3.00 - 6.00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3.00 - 6.00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3.00 - 7.00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Rejected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1</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1</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rPr>
              <w:t>tNAA</w:t>
            </w: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CRLB</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0.3</w:t>
            </w: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Mean (SD)</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3.76 (0.60)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3.91 (0.90)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4.04 (0.65)</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nil"/>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p>
        </w:tc>
        <w:tc>
          <w:tcPr>
            <w:tcW w:w="138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18"/>
                <w:szCs w:val="18"/>
              </w:rPr>
            </w:pPr>
            <w:r>
              <w:rPr>
                <w:sz w:val="18"/>
                <w:szCs w:val="18"/>
              </w:rPr>
              <w:t>Range</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3.00 - 5.00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3.00 - 6.00</w:t>
            </w:r>
          </w:p>
        </w:tc>
        <w:tc>
          <w:tcPr>
            <w:tcW w:w="1181"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3.00 - 5.00</w:t>
            </w:r>
          </w:p>
        </w:tc>
        <w:tc>
          <w:tcPr>
            <w:tcW w:w="87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1978"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p>
        </w:tc>
        <w:tc>
          <w:tcPr>
            <w:tcW w:w="1294" w:type="dxa"/>
            <w:tcBorders>
              <w:top w:val="nil"/>
              <w:left w:val="nil"/>
              <w:bottom w:val="single" w:sz="8" w:space="0" w:color="000000"/>
              <w:right w:val="nil"/>
            </w:tcBorders>
            <w:shd w:val="clear" w:color="auto" w:fill="FFFFFF"/>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b/>
                <w:sz w:val="18"/>
                <w:szCs w:val="18"/>
              </w:rPr>
            </w:pPr>
          </w:p>
        </w:tc>
        <w:tc>
          <w:tcPr>
            <w:tcW w:w="1382"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b/>
                <w:sz w:val="18"/>
                <w:szCs w:val="18"/>
              </w:rPr>
              <w:t>Rejected</w:t>
            </w:r>
          </w:p>
        </w:tc>
        <w:tc>
          <w:tcPr>
            <w:tcW w:w="1181"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0</w:t>
            </w:r>
          </w:p>
        </w:tc>
        <w:tc>
          <w:tcPr>
            <w:tcW w:w="1181"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1</w:t>
            </w:r>
          </w:p>
        </w:tc>
        <w:tc>
          <w:tcPr>
            <w:tcW w:w="1181"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r>
              <w:rPr>
                <w:sz w:val="18"/>
                <w:szCs w:val="18"/>
              </w:rPr>
              <w:t>1</w:t>
            </w:r>
          </w:p>
        </w:tc>
        <w:tc>
          <w:tcPr>
            <w:tcW w:w="875"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18"/>
                <w:szCs w:val="18"/>
              </w:rPr>
            </w:pPr>
          </w:p>
        </w:tc>
      </w:tr>
      <w:tr w:rsidR="00343426">
        <w:trPr>
          <w:cantSplit/>
          <w:jc w:val="center"/>
        </w:trPr>
        <w:tc>
          <w:tcPr>
            <w:tcW w:w="9072" w:type="dxa"/>
            <w:gridSpan w:val="7"/>
            <w:tcBorders>
              <w:top w:val="single" w:sz="8" w:space="0" w:color="000000"/>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vertAlign w:val="superscript"/>
              </w:rPr>
              <w:t>1</w:t>
            </w:r>
            <w:r>
              <w:rPr>
                <w:sz w:val="18"/>
                <w:szCs w:val="18"/>
              </w:rPr>
              <w:t xml:space="preserve">SD - standard deviation, </w:t>
            </w:r>
            <w:r>
              <w:rPr>
                <w:sz w:val="20"/>
                <w:szCs w:val="20"/>
              </w:rPr>
              <w:t>Ipsi – side ipsilateral to the perceived unilateral tinnitus, Contra – side contralateral to the perceived unilateral tinnitus</w:t>
            </w:r>
          </w:p>
        </w:tc>
      </w:tr>
      <w:tr w:rsidR="00343426">
        <w:trPr>
          <w:cantSplit/>
          <w:jc w:val="center"/>
        </w:trPr>
        <w:tc>
          <w:tcPr>
            <w:tcW w:w="9072" w:type="dxa"/>
            <w:gridSpan w:val="7"/>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vertAlign w:val="superscript"/>
              </w:rPr>
              <w:t>2</w:t>
            </w:r>
            <w:r>
              <w:rPr>
                <w:sz w:val="18"/>
                <w:szCs w:val="18"/>
              </w:rPr>
              <w:t>C - control, TU - tinnitus unilateral, TB - tinnitus bilateral</w:t>
            </w:r>
          </w:p>
        </w:tc>
      </w:tr>
      <w:tr w:rsidR="00343426">
        <w:trPr>
          <w:cantSplit/>
          <w:jc w:val="center"/>
        </w:trPr>
        <w:tc>
          <w:tcPr>
            <w:tcW w:w="9072" w:type="dxa"/>
            <w:gridSpan w:val="7"/>
            <w:tcBorders>
              <w:top w:val="nil"/>
              <w:left w:val="nil"/>
              <w:bottom w:val="nil"/>
              <w:right w:val="nil"/>
            </w:tcBorders>
            <w:shd w:val="clear" w:color="auto" w:fill="FFFFFF"/>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18"/>
                <w:szCs w:val="18"/>
              </w:rPr>
            </w:pPr>
            <w:r>
              <w:rPr>
                <w:sz w:val="18"/>
                <w:szCs w:val="18"/>
                <w:vertAlign w:val="superscript"/>
              </w:rPr>
              <w:t>3</w:t>
            </w:r>
            <w:r>
              <w:rPr>
                <w:sz w:val="18"/>
                <w:szCs w:val="18"/>
              </w:rPr>
              <w:t>Kruskal-Wallis rank sum test</w:t>
            </w:r>
          </w:p>
        </w:tc>
      </w:tr>
    </w:tbl>
    <w:p w:rsidR="00343426" w:rsidRDefault="00343426">
      <w:pPr>
        <w:spacing w:after="0" w:line="240" w:lineRule="auto"/>
      </w:pPr>
    </w:p>
    <w:p w:rsidR="00343426" w:rsidRDefault="00343426"/>
    <w:p w:rsidR="00343426" w:rsidRDefault="000A549B">
      <w:r>
        <w:br w:type="page"/>
      </w:r>
    </w:p>
    <w:p w:rsidR="00343426" w:rsidRDefault="000A549B">
      <w:r>
        <w:rPr>
          <w:b/>
        </w:rPr>
        <w:lastRenderedPageBreak/>
        <w:t>Table S4.</w:t>
      </w:r>
      <w:r>
        <w:t xml:space="preserve"> Brain tissue segmentation and between-group comparisons.</w:t>
      </w:r>
    </w:p>
    <w:tbl>
      <w:tblPr>
        <w:tblStyle w:val="a2"/>
        <w:tblW w:w="8505" w:type="dxa"/>
        <w:tblInd w:w="0" w:type="dxa"/>
        <w:tblLayout w:type="fixed"/>
        <w:tblLook w:val="0400" w:firstRow="0" w:lastRow="0" w:firstColumn="0" w:lastColumn="0" w:noHBand="0" w:noVBand="1"/>
      </w:tblPr>
      <w:tblGrid>
        <w:gridCol w:w="2388"/>
        <w:gridCol w:w="1285"/>
        <w:gridCol w:w="1195"/>
        <w:gridCol w:w="1320"/>
        <w:gridCol w:w="1320"/>
        <w:gridCol w:w="997"/>
      </w:tblGrid>
      <w:tr w:rsidR="00343426" w:rsidTr="00473DF2">
        <w:trPr>
          <w:cantSplit/>
          <w:tblHeader/>
        </w:trPr>
        <w:tc>
          <w:tcPr>
            <w:tcW w:w="242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Region</w:t>
            </w:r>
            <w:r>
              <w:rPr>
                <w:sz w:val="20"/>
                <w:szCs w:val="20"/>
                <w:vertAlign w:val="superscript"/>
              </w:rPr>
              <w:t>1</w:t>
            </w:r>
          </w:p>
        </w:tc>
        <w:tc>
          <w:tcPr>
            <w:tcW w:w="1304"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Tissue</w:t>
            </w:r>
            <w:r>
              <w:rPr>
                <w:sz w:val="20"/>
                <w:szCs w:val="20"/>
                <w:vertAlign w:val="superscript"/>
              </w:rPr>
              <w:t>1</w:t>
            </w:r>
          </w:p>
        </w:tc>
        <w:tc>
          <w:tcPr>
            <w:tcW w:w="1213"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b/>
                <w:sz w:val="20"/>
                <w:szCs w:val="20"/>
              </w:rPr>
              <w:t>C</w:t>
            </w:r>
            <w:r>
              <w:rPr>
                <w:sz w:val="20"/>
                <w:szCs w:val="20"/>
              </w:rPr>
              <w:t>, N = 24</w:t>
            </w:r>
            <w:r>
              <w:rPr>
                <w:sz w:val="20"/>
                <w:szCs w:val="20"/>
                <w:vertAlign w:val="superscript"/>
              </w:rPr>
              <w:t>2</w:t>
            </w:r>
          </w:p>
        </w:tc>
        <w:tc>
          <w:tcPr>
            <w:tcW w:w="134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b/>
                <w:sz w:val="20"/>
                <w:szCs w:val="20"/>
              </w:rPr>
              <w:t>TU</w:t>
            </w:r>
            <w:r>
              <w:rPr>
                <w:sz w:val="20"/>
                <w:szCs w:val="20"/>
              </w:rPr>
              <w:t>, N = 23</w:t>
            </w:r>
            <w:r>
              <w:rPr>
                <w:sz w:val="20"/>
                <w:szCs w:val="20"/>
                <w:vertAlign w:val="superscript"/>
              </w:rPr>
              <w:t>2</w:t>
            </w:r>
          </w:p>
        </w:tc>
        <w:tc>
          <w:tcPr>
            <w:tcW w:w="134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b/>
                <w:sz w:val="20"/>
                <w:szCs w:val="20"/>
              </w:rPr>
              <w:t>TB</w:t>
            </w:r>
            <w:r>
              <w:rPr>
                <w:sz w:val="20"/>
                <w:szCs w:val="20"/>
              </w:rPr>
              <w:t>, N = 28</w:t>
            </w:r>
            <w:r>
              <w:rPr>
                <w:sz w:val="20"/>
                <w:szCs w:val="20"/>
                <w:vertAlign w:val="superscript"/>
              </w:rPr>
              <w:t>2</w:t>
            </w:r>
          </w:p>
        </w:tc>
        <w:tc>
          <w:tcPr>
            <w:tcW w:w="1012"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p-value</w:t>
            </w:r>
            <w:r>
              <w:rPr>
                <w:sz w:val="20"/>
                <w:szCs w:val="20"/>
                <w:vertAlign w:val="superscript"/>
              </w:rPr>
              <w:t>3</w:t>
            </w: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Left frontal</w:t>
            </w: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GM</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0.4</w:t>
            </w: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w:t>
            </w:r>
            <w:r w:rsidR="00473DF2">
              <w:rPr>
                <w:sz w:val="20"/>
                <w:szCs w:val="20"/>
              </w:rPr>
              <w:t>ean</w:t>
            </w:r>
            <w:r>
              <w:rPr>
                <w:sz w:val="20"/>
                <w:szCs w:val="20"/>
              </w:rPr>
              <w:t xml:space="preserve"> (SD)</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15.5 (5.8)</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17.9 (7.1)</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16.9 (6.1)</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5.2 - 26.1</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2.8 - 29.3</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7.1 - 29.7</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WM</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0.5</w:t>
            </w: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473DF2">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 xml:space="preserve">Mean </w:t>
            </w:r>
            <w:r w:rsidR="000A549B">
              <w:rPr>
                <w:sz w:val="20"/>
                <w:szCs w:val="20"/>
              </w:rPr>
              <w:t>(SD)</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84 (6)</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82 (7)</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83 (7)</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73 - 95</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70 - 97</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68 - 93</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Right frontal</w:t>
            </w: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GM</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0.8</w:t>
            </w: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473DF2">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 xml:space="preserve">Mean </w:t>
            </w:r>
            <w:r w:rsidR="000A549B">
              <w:rPr>
                <w:sz w:val="20"/>
                <w:szCs w:val="20"/>
              </w:rPr>
              <w:t>(SD)</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16 (8)</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17 (6)</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17 (7)</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3 - 35</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3 - 30</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3 - 35</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WM</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0.8</w:t>
            </w: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473DF2">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 xml:space="preserve">Mean </w:t>
            </w:r>
            <w:r w:rsidR="000A549B">
              <w:rPr>
                <w:sz w:val="20"/>
                <w:szCs w:val="20"/>
              </w:rPr>
              <w:t>(SD)</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83 (9)</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82 (7)</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83 (7)</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61 - 97</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69 - 97</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65 - 97</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Left/Ipsi temporal</w:t>
            </w: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GM</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w:t>
            </w: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473DF2">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 xml:space="preserve">Mean </w:t>
            </w:r>
            <w:r w:rsidR="000A549B">
              <w:rPr>
                <w:sz w:val="20"/>
                <w:szCs w:val="20"/>
              </w:rPr>
              <w:t>(SD)</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34 (8)</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36 (9)</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35 (7)</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19 - 49</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20 - 56</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21 - 48</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WM</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0.8</w:t>
            </w: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473DF2">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 xml:space="preserve">Mean </w:t>
            </w:r>
            <w:r w:rsidR="000A549B">
              <w:rPr>
                <w:sz w:val="20"/>
                <w:szCs w:val="20"/>
              </w:rPr>
              <w:t>(SD)</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64 (8)</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62 (10)</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64 (7)</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50 - 80</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43 - 80</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51 - 79</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Right/Contra temporal</w:t>
            </w: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GM</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w:t>
            </w: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473DF2">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 xml:space="preserve">Mean </w:t>
            </w:r>
            <w:r w:rsidR="000A549B">
              <w:rPr>
                <w:sz w:val="20"/>
                <w:szCs w:val="20"/>
              </w:rPr>
              <w:t>(SD)</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44 (7)</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43 (6)</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45 (6)</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31 - 58</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33 - 55</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33 - 60</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WM</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w:t>
            </w:r>
          </w:p>
        </w:tc>
      </w:tr>
      <w:tr w:rsidR="00343426" w:rsidTr="00473DF2">
        <w:trPr>
          <w:cantSplit/>
        </w:trPr>
        <w:tc>
          <w:tcPr>
            <w:tcW w:w="2425"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nil"/>
              <w:right w:val="nil"/>
            </w:tcBorders>
            <w:shd w:val="clear" w:color="auto" w:fill="FFFFFF"/>
            <w:tcMar>
              <w:top w:w="0" w:type="dxa"/>
              <w:left w:w="0" w:type="dxa"/>
              <w:bottom w:w="0" w:type="dxa"/>
              <w:right w:w="0" w:type="dxa"/>
            </w:tcMar>
          </w:tcPr>
          <w:p w:rsidR="00343426" w:rsidRDefault="00473DF2">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 xml:space="preserve">Mean </w:t>
            </w:r>
            <w:r w:rsidR="000A549B">
              <w:rPr>
                <w:sz w:val="20"/>
                <w:szCs w:val="20"/>
              </w:rPr>
              <w:t>(SD)</w:t>
            </w:r>
          </w:p>
        </w:tc>
        <w:tc>
          <w:tcPr>
            <w:tcW w:w="1213"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53 (7)</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54 (6)</w:t>
            </w:r>
          </w:p>
        </w:tc>
        <w:tc>
          <w:tcPr>
            <w:tcW w:w="1340"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52 (7)</w:t>
            </w:r>
          </w:p>
        </w:tc>
        <w:tc>
          <w:tcPr>
            <w:tcW w:w="1012"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2425"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304"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213"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38 - 64</w:t>
            </w:r>
          </w:p>
        </w:tc>
        <w:tc>
          <w:tcPr>
            <w:tcW w:w="1340"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43 - 63</w:t>
            </w:r>
          </w:p>
        </w:tc>
        <w:tc>
          <w:tcPr>
            <w:tcW w:w="1340"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38 - 65</w:t>
            </w:r>
          </w:p>
        </w:tc>
        <w:tc>
          <w:tcPr>
            <w:tcW w:w="1012"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73DF2">
        <w:trPr>
          <w:cantSplit/>
        </w:trPr>
        <w:tc>
          <w:tcPr>
            <w:tcW w:w="1304" w:type="dxa"/>
            <w:gridSpan w:val="6"/>
            <w:tcBorders>
              <w:top w:val="single" w:sz="8" w:space="0" w:color="000000"/>
              <w:left w:val="nil"/>
              <w:bottom w:val="nil"/>
              <w:right w:val="nil"/>
            </w:tcBorders>
            <w:shd w:val="clear" w:color="auto" w:fill="FFFFFF"/>
            <w:tcMar>
              <w:top w:w="0" w:type="dxa"/>
              <w:left w:w="0" w:type="dxa"/>
              <w:bottom w:w="0" w:type="dxa"/>
              <w:right w:w="0" w:type="dxa"/>
            </w:tcMar>
            <w:vAlign w:val="center"/>
          </w:tcPr>
          <w:p w:rsidR="00343426" w:rsidRDefault="000A549B" w:rsidP="00473DF2">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1</w:t>
            </w:r>
            <w:r>
              <w:rPr>
                <w:sz w:val="20"/>
                <w:szCs w:val="20"/>
              </w:rPr>
              <w:t>SD - standard deviation, Ipsi – side ipsilateral to the perceived unilateral tinnitus, Contra – side contralateral to the perceived unilateral tinnitus</w:t>
            </w:r>
          </w:p>
        </w:tc>
      </w:tr>
      <w:tr w:rsidR="00343426" w:rsidTr="00473DF2">
        <w:trPr>
          <w:cantSplit/>
        </w:trPr>
        <w:tc>
          <w:tcPr>
            <w:tcW w:w="1304" w:type="dxa"/>
            <w:gridSpan w:val="6"/>
            <w:tcBorders>
              <w:top w:val="nil"/>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2</w:t>
            </w:r>
            <w:r>
              <w:rPr>
                <w:sz w:val="20"/>
                <w:szCs w:val="20"/>
              </w:rPr>
              <w:t>C - control, TU - tinnitus unilateral, TB - tinnitus bilateral</w:t>
            </w:r>
          </w:p>
        </w:tc>
      </w:tr>
      <w:tr w:rsidR="00343426" w:rsidTr="00473DF2">
        <w:trPr>
          <w:cantSplit/>
        </w:trPr>
        <w:tc>
          <w:tcPr>
            <w:tcW w:w="1304" w:type="dxa"/>
            <w:gridSpan w:val="6"/>
            <w:tcBorders>
              <w:top w:val="nil"/>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3</w:t>
            </w:r>
            <w:r>
              <w:rPr>
                <w:sz w:val="20"/>
                <w:szCs w:val="20"/>
              </w:rPr>
              <w:t>Kruskal-Wallis rank sum test</w:t>
            </w:r>
          </w:p>
        </w:tc>
      </w:tr>
    </w:tbl>
    <w:p w:rsidR="00E023A5" w:rsidRDefault="00E023A5"/>
    <w:p w:rsidR="00E023A5" w:rsidRDefault="00E023A5">
      <w:r>
        <w:br w:type="page"/>
      </w:r>
    </w:p>
    <w:p w:rsidR="00343426" w:rsidRDefault="00473DF2">
      <w:r>
        <w:lastRenderedPageBreak/>
        <w:pict>
          <v:shape id="_x0000_i1025" type="#_x0000_t75" style="width:453.5pt;height:361.85pt">
            <v:imagedata r:id="rId9" o:title="Supplementary_Figure_2"/>
          </v:shape>
        </w:pict>
      </w:r>
    </w:p>
    <w:p w:rsidR="00343426" w:rsidRDefault="000A549B" w:rsidP="00473DF2">
      <w:pPr>
        <w:jc w:val="both"/>
      </w:pPr>
      <w:r>
        <w:rPr>
          <w:b/>
        </w:rPr>
        <w:t>Figure S2.</w:t>
      </w:r>
      <w:r>
        <w:t xml:space="preserve"> tNAA/tCr, tCho/tCr and mI/tCr levels in the four ROIs. Individual subjects are depicted as points in the violin plots. White dots represent group means while middle horizontal bars on box plots represent medians.  TB - bilateral tinnitus, TU - unilateral tinnitus, C - control;  Ipsi - the side corresponding to the side of tinnitus in the TU group (for 4 TU participants that were experiencing tinnitus on the right side, the sides were switched), Contra – side opposite to tinnitus laterality. </w:t>
      </w:r>
    </w:p>
    <w:p w:rsidR="00343426" w:rsidRDefault="00343426">
      <w:pPr>
        <w:sectPr w:rsidR="00343426">
          <w:footerReference w:type="default" r:id="rId10"/>
          <w:pgSz w:w="11906" w:h="16838"/>
          <w:pgMar w:top="1417" w:right="1417" w:bottom="1417" w:left="1417" w:header="708" w:footer="708" w:gutter="0"/>
          <w:pgNumType w:start="1"/>
          <w:cols w:space="708"/>
        </w:sectPr>
      </w:pPr>
    </w:p>
    <w:p w:rsidR="00343426" w:rsidRDefault="000A549B">
      <w:r>
        <w:rPr>
          <w:b/>
        </w:rPr>
        <w:lastRenderedPageBreak/>
        <w:t>Table S5.</w:t>
      </w:r>
      <w:r>
        <w:t xml:space="preserve"> tNAA/tCr levels in four regions of interest compared across the groups.</w:t>
      </w:r>
    </w:p>
    <w:tbl>
      <w:tblPr>
        <w:tblStyle w:val="a3"/>
        <w:tblW w:w="14005" w:type="dxa"/>
        <w:tblInd w:w="0" w:type="dxa"/>
        <w:tblLayout w:type="fixed"/>
        <w:tblLook w:val="0400" w:firstRow="0" w:lastRow="0" w:firstColumn="0" w:lastColumn="0" w:noHBand="0" w:noVBand="1"/>
      </w:tblPr>
      <w:tblGrid>
        <w:gridCol w:w="2506"/>
        <w:gridCol w:w="1766"/>
        <w:gridCol w:w="1765"/>
        <w:gridCol w:w="1765"/>
        <w:gridCol w:w="740"/>
        <w:gridCol w:w="740"/>
        <w:gridCol w:w="740"/>
        <w:gridCol w:w="740"/>
        <w:gridCol w:w="1081"/>
        <w:gridCol w:w="1081"/>
        <w:gridCol w:w="1081"/>
      </w:tblGrid>
      <w:tr w:rsidR="00343426" w:rsidTr="0049126C">
        <w:trPr>
          <w:cantSplit/>
          <w:tblHeader/>
        </w:trPr>
        <w:tc>
          <w:tcPr>
            <w:tcW w:w="249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758" w:type="dxa"/>
            <w:gridSpan w:val="3"/>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Descriptive statistics</w:t>
            </w:r>
          </w:p>
        </w:tc>
        <w:tc>
          <w:tcPr>
            <w:tcW w:w="737" w:type="dxa"/>
            <w:gridSpan w:val="4"/>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Welch’s ANOVA</w:t>
            </w:r>
          </w:p>
        </w:tc>
        <w:tc>
          <w:tcPr>
            <w:tcW w:w="1077" w:type="dxa"/>
            <w:gridSpan w:val="3"/>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Post-hoc tests</w:t>
            </w:r>
          </w:p>
        </w:tc>
      </w:tr>
      <w:tr w:rsidR="00343426" w:rsidTr="0049126C">
        <w:trPr>
          <w:cantSplit/>
          <w:tblHeader/>
        </w:trPr>
        <w:tc>
          <w:tcPr>
            <w:tcW w:w="249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Region</w:t>
            </w:r>
            <w:r>
              <w:rPr>
                <w:sz w:val="20"/>
                <w:szCs w:val="20"/>
                <w:vertAlign w:val="superscript"/>
              </w:rPr>
              <w:t>1</w:t>
            </w:r>
          </w:p>
        </w:tc>
        <w:tc>
          <w:tcPr>
            <w:tcW w:w="175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C, N = 25</w:t>
            </w:r>
            <w:r>
              <w:rPr>
                <w:sz w:val="20"/>
                <w:szCs w:val="20"/>
                <w:vertAlign w:val="superscript"/>
              </w:rPr>
              <w:t>2</w:t>
            </w:r>
          </w:p>
        </w:tc>
        <w:tc>
          <w:tcPr>
            <w:tcW w:w="175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TU, N = 24</w:t>
            </w:r>
            <w:r>
              <w:rPr>
                <w:sz w:val="20"/>
                <w:szCs w:val="20"/>
                <w:vertAlign w:val="superscript"/>
              </w:rPr>
              <w:t>2</w:t>
            </w:r>
          </w:p>
        </w:tc>
        <w:tc>
          <w:tcPr>
            <w:tcW w:w="175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TB, N = 28</w:t>
            </w:r>
            <w:r>
              <w:rPr>
                <w:sz w:val="20"/>
                <w:szCs w:val="20"/>
                <w:vertAlign w:val="superscript"/>
              </w:rPr>
              <w:t>2</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F</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p</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df1</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df2</w:t>
            </w:r>
          </w:p>
        </w:tc>
        <w:tc>
          <w:tcPr>
            <w:tcW w:w="107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C vs. TU</w:t>
            </w:r>
            <w:r>
              <w:rPr>
                <w:sz w:val="20"/>
                <w:szCs w:val="20"/>
                <w:vertAlign w:val="superscript"/>
              </w:rPr>
              <w:t>3</w:t>
            </w:r>
          </w:p>
        </w:tc>
        <w:tc>
          <w:tcPr>
            <w:tcW w:w="107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C vs. TB</w:t>
            </w:r>
            <w:r>
              <w:rPr>
                <w:sz w:val="20"/>
                <w:szCs w:val="20"/>
                <w:vertAlign w:val="superscript"/>
              </w:rPr>
              <w:t>3</w:t>
            </w:r>
          </w:p>
        </w:tc>
        <w:tc>
          <w:tcPr>
            <w:tcW w:w="107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TU vs. TB</w:t>
            </w:r>
            <w:r>
              <w:rPr>
                <w:sz w:val="20"/>
                <w:szCs w:val="20"/>
                <w:vertAlign w:val="superscript"/>
              </w:rPr>
              <w:t>3</w:t>
            </w:r>
          </w:p>
        </w:tc>
      </w:tr>
      <w:tr w:rsidR="00343426" w:rsidTr="0049126C">
        <w:trPr>
          <w:cantSplit/>
        </w:trPr>
        <w:tc>
          <w:tcPr>
            <w:tcW w:w="2495"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Left frontal</w:t>
            </w:r>
          </w:p>
        </w:tc>
        <w:tc>
          <w:tcPr>
            <w:tcW w:w="1758"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w:t>
            </w: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w:t>
            </w: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48.9</w:t>
            </w:r>
          </w:p>
        </w:tc>
        <w:tc>
          <w:tcPr>
            <w:tcW w:w="107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0.4</w:t>
            </w:r>
          </w:p>
        </w:tc>
        <w:tc>
          <w:tcPr>
            <w:tcW w:w="107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w:t>
            </w: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1.46 (1.41 - 1.60)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1.45 (1.38 - 1.56)</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1.46 (1.37 - 1.51)</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1.49 (0.13)</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1.47 (0.13)</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1.43 (0.13)</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1.24 - 1.71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1.28 - 1.82</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1.17 - 1.62</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0.48</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0.22</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0.10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Right frontal</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2.1</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0.14</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48.2</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1.49 (1.42 - 1.55)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1.40 (1.31 - 1.49)</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1.38 (1.34 - 1.50)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1.48 (0.13)</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1.41 (0.13)</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1.42 (0.12)</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1.21 - 1.76</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1.17 - 1.68</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1.23 - 1.67</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0.37</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0.36</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Left/Ipsi temporal</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0.61</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0.5</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47.6</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1.54 (1.44 - 1.61)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1.44 (1.31 - 1.58)</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1.48 (1.39 - 1.57)</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1.51 (0.15)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1.46 (0.18)</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1.46 (0.17)</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1.10 - 1.82</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1.22 - 1.82</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1.02 - 1.81</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0.23</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0.75</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Right/Contra temporal</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1.6</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45.1</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0.4</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w:t>
            </w: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1.34 (1.26 - 1.39)</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1.37 (1.28 - 1.51)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1.32 (1.24 - 1.42)</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1.32 (0.10)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1.39 (0.16)</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1.32 (0.13)</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1.12 - 1.49</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1.05 - 1.70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1.01 - 1.51</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0.62</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0.21</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1758"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73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1077" w:type="dxa"/>
            <w:gridSpan w:val="11"/>
            <w:tcBorders>
              <w:top w:val="single" w:sz="8" w:space="0" w:color="000000"/>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1</w:t>
            </w:r>
            <w:r>
              <w:rPr>
                <w:sz w:val="20"/>
                <w:szCs w:val="20"/>
              </w:rPr>
              <w:t>SD - standard deviation, IQR - interquartile interval, S-W test - Shapiro-Wilk test of normality result (p-value), Ipsi – side ipsilateral to the perceived unilateral tinnitus, Contra – side contralateral to the perceived unilateral tinnitus</w:t>
            </w:r>
          </w:p>
        </w:tc>
      </w:tr>
      <w:tr w:rsidR="00343426" w:rsidTr="0049126C">
        <w:trPr>
          <w:cantSplit/>
        </w:trPr>
        <w:tc>
          <w:tcPr>
            <w:tcW w:w="1077" w:type="dxa"/>
            <w:gridSpan w:val="11"/>
            <w:tcBorders>
              <w:top w:val="nil"/>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2</w:t>
            </w:r>
            <w:r>
              <w:rPr>
                <w:sz w:val="20"/>
                <w:szCs w:val="20"/>
              </w:rPr>
              <w:t>C - control, TU - tinnitus unilateral, TB - tinnitus bilateral</w:t>
            </w:r>
          </w:p>
        </w:tc>
      </w:tr>
      <w:tr w:rsidR="00343426" w:rsidTr="0049126C">
        <w:trPr>
          <w:cantSplit/>
        </w:trPr>
        <w:tc>
          <w:tcPr>
            <w:tcW w:w="1077" w:type="dxa"/>
            <w:gridSpan w:val="11"/>
            <w:tcBorders>
              <w:top w:val="nil"/>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3</w:t>
            </w:r>
            <w:r>
              <w:rPr>
                <w:sz w:val="20"/>
                <w:szCs w:val="20"/>
              </w:rPr>
              <w:t>Welch t test; Bonferroni correction</w:t>
            </w:r>
          </w:p>
        </w:tc>
      </w:tr>
    </w:tbl>
    <w:p w:rsidR="00343426" w:rsidRDefault="00343426"/>
    <w:p w:rsidR="00343426" w:rsidRDefault="000A549B">
      <w:r>
        <w:br w:type="page"/>
      </w:r>
    </w:p>
    <w:p w:rsidR="00343426" w:rsidRDefault="000A549B">
      <w:r>
        <w:rPr>
          <w:b/>
        </w:rPr>
        <w:lastRenderedPageBreak/>
        <w:t>Table S6.</w:t>
      </w:r>
      <w:r>
        <w:t xml:space="preserve"> tCho/tCr levels in four regions of interest compared across the groups.</w:t>
      </w:r>
    </w:p>
    <w:tbl>
      <w:tblPr>
        <w:tblStyle w:val="a4"/>
        <w:tblW w:w="14005" w:type="dxa"/>
        <w:tblInd w:w="0" w:type="dxa"/>
        <w:tblLayout w:type="fixed"/>
        <w:tblLook w:val="0400" w:firstRow="0" w:lastRow="0" w:firstColumn="0" w:lastColumn="0" w:noHBand="0" w:noVBand="1"/>
      </w:tblPr>
      <w:tblGrid>
        <w:gridCol w:w="2506"/>
        <w:gridCol w:w="1766"/>
        <w:gridCol w:w="1765"/>
        <w:gridCol w:w="1765"/>
        <w:gridCol w:w="740"/>
        <w:gridCol w:w="740"/>
        <w:gridCol w:w="740"/>
        <w:gridCol w:w="740"/>
        <w:gridCol w:w="1081"/>
        <w:gridCol w:w="1081"/>
        <w:gridCol w:w="1081"/>
      </w:tblGrid>
      <w:tr w:rsidR="00343426" w:rsidTr="0049126C">
        <w:trPr>
          <w:cantSplit/>
          <w:tblHeader/>
        </w:trPr>
        <w:tc>
          <w:tcPr>
            <w:tcW w:w="249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758" w:type="dxa"/>
            <w:gridSpan w:val="3"/>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Descriptive statistics</w:t>
            </w:r>
          </w:p>
        </w:tc>
        <w:tc>
          <w:tcPr>
            <w:tcW w:w="737" w:type="dxa"/>
            <w:gridSpan w:val="4"/>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Welch’s ANOVA</w:t>
            </w:r>
          </w:p>
        </w:tc>
        <w:tc>
          <w:tcPr>
            <w:tcW w:w="1077" w:type="dxa"/>
            <w:gridSpan w:val="3"/>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Post-hoc tests</w:t>
            </w:r>
          </w:p>
        </w:tc>
      </w:tr>
      <w:tr w:rsidR="00343426" w:rsidTr="0049126C">
        <w:trPr>
          <w:cantSplit/>
          <w:tblHeader/>
        </w:trPr>
        <w:tc>
          <w:tcPr>
            <w:tcW w:w="249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Region</w:t>
            </w:r>
            <w:r>
              <w:rPr>
                <w:sz w:val="20"/>
                <w:szCs w:val="20"/>
                <w:vertAlign w:val="superscript"/>
              </w:rPr>
              <w:t>1</w:t>
            </w:r>
          </w:p>
        </w:tc>
        <w:tc>
          <w:tcPr>
            <w:tcW w:w="175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C, N = 25</w:t>
            </w:r>
            <w:r>
              <w:rPr>
                <w:sz w:val="20"/>
                <w:szCs w:val="20"/>
                <w:vertAlign w:val="superscript"/>
              </w:rPr>
              <w:t>2</w:t>
            </w:r>
          </w:p>
        </w:tc>
        <w:tc>
          <w:tcPr>
            <w:tcW w:w="175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TU, N = 24</w:t>
            </w:r>
            <w:r>
              <w:rPr>
                <w:sz w:val="20"/>
                <w:szCs w:val="20"/>
                <w:vertAlign w:val="superscript"/>
              </w:rPr>
              <w:t>2</w:t>
            </w:r>
          </w:p>
        </w:tc>
        <w:tc>
          <w:tcPr>
            <w:tcW w:w="175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TB, N = 28</w:t>
            </w:r>
            <w:r>
              <w:rPr>
                <w:sz w:val="20"/>
                <w:szCs w:val="20"/>
                <w:vertAlign w:val="superscript"/>
              </w:rPr>
              <w:t>2</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F</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p</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df1</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df2</w:t>
            </w:r>
          </w:p>
        </w:tc>
        <w:tc>
          <w:tcPr>
            <w:tcW w:w="107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C vs. TU</w:t>
            </w:r>
            <w:r>
              <w:rPr>
                <w:sz w:val="20"/>
                <w:szCs w:val="20"/>
                <w:vertAlign w:val="superscript"/>
              </w:rPr>
              <w:t>3</w:t>
            </w:r>
          </w:p>
        </w:tc>
        <w:tc>
          <w:tcPr>
            <w:tcW w:w="107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C vs. TB</w:t>
            </w:r>
            <w:r>
              <w:rPr>
                <w:sz w:val="20"/>
                <w:szCs w:val="20"/>
                <w:vertAlign w:val="superscript"/>
              </w:rPr>
              <w:t>3</w:t>
            </w:r>
          </w:p>
        </w:tc>
        <w:tc>
          <w:tcPr>
            <w:tcW w:w="107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TU vs. TB</w:t>
            </w:r>
            <w:r>
              <w:rPr>
                <w:sz w:val="20"/>
                <w:szCs w:val="20"/>
                <w:vertAlign w:val="superscript"/>
              </w:rPr>
              <w:t>3</w:t>
            </w:r>
          </w:p>
        </w:tc>
      </w:tr>
      <w:tr w:rsidR="00343426" w:rsidTr="0049126C">
        <w:trPr>
          <w:cantSplit/>
        </w:trPr>
        <w:tc>
          <w:tcPr>
            <w:tcW w:w="2495"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Left frontal</w:t>
            </w:r>
          </w:p>
        </w:tc>
        <w:tc>
          <w:tcPr>
            <w:tcW w:w="1758"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0.82</w:t>
            </w: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0.4</w:t>
            </w: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48.5</w:t>
            </w:r>
          </w:p>
        </w:tc>
        <w:tc>
          <w:tcPr>
            <w:tcW w:w="107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0.7</w:t>
            </w:r>
          </w:p>
        </w:tc>
        <w:tc>
          <w:tcPr>
            <w:tcW w:w="107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0.35 (0.33 - 0.37)</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0.36 (0.33 - 0.40)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0.35 (0.32 - 0.40)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0.35 (0.04)</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0.37 (0.05)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0.36 (0.05)</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0.25 - 0.42</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0.27 - 0.46</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0.29 - 0.48</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0.34</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0.69</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0.24</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Right frontal</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0.47</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49.1</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0.34 (0.32 - 0.36)</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0.35 (0.33 - 0.39)</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0.35 (0.32 - 0.38)</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0.35 (0.05)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0.36 (0.05)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0.35 (0.05)</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0.24 - 0.45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0.29 - 0.50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0.25 - 0.48</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0.16</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0.69</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Left/Ipsi temporal</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0.57</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47.7</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0.32 (0.28 - 0.34)</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0.30 (0.28 - 0.34)</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0.32 (0.30 - 0.36)</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0.32 (0.04)</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0.31 (0.05)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0.33 (0.05)</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0.24 - 0.39</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0.25 - 0.41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0.21 - 0.47</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0.02</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0.75</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Right/Contra temporal</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0.56</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47.7</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0.28 (0.26 - 0.31)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0.29 (0.27 - 0.33)</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0.29 (0.26 - 0.31)</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0.28 (0.04)</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0.29 (0.04)</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0.29 (0.04)</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0.19 - 0.35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0.23 - 0.37</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0.22 - 0.38</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0.48</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0.54</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1758"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73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single" w:sz="8" w:space="0" w:color="000000"/>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1077" w:type="dxa"/>
            <w:gridSpan w:val="11"/>
            <w:tcBorders>
              <w:top w:val="single" w:sz="8" w:space="0" w:color="000000"/>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1</w:t>
            </w:r>
            <w:r>
              <w:rPr>
                <w:sz w:val="20"/>
                <w:szCs w:val="20"/>
              </w:rPr>
              <w:t>SD - standard deviation, IQR - interquartile interval, S-W test - Shapiro-Wilk test of normality result (p-value), Ipsi – side ipsilateral to the perceived unilateral tinnitus, Contra – side contralateral to the perceived unilateral tinnitus</w:t>
            </w:r>
          </w:p>
        </w:tc>
      </w:tr>
      <w:tr w:rsidR="00343426" w:rsidTr="0049126C">
        <w:trPr>
          <w:cantSplit/>
        </w:trPr>
        <w:tc>
          <w:tcPr>
            <w:tcW w:w="1077" w:type="dxa"/>
            <w:gridSpan w:val="11"/>
            <w:tcBorders>
              <w:top w:val="nil"/>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2</w:t>
            </w:r>
            <w:r>
              <w:rPr>
                <w:sz w:val="20"/>
                <w:szCs w:val="20"/>
              </w:rPr>
              <w:t>C - control, TU - tinnitus unilateral, TB - tinnitus bilateral</w:t>
            </w:r>
          </w:p>
        </w:tc>
      </w:tr>
      <w:tr w:rsidR="00343426" w:rsidTr="0049126C">
        <w:trPr>
          <w:cantSplit/>
        </w:trPr>
        <w:tc>
          <w:tcPr>
            <w:tcW w:w="1077" w:type="dxa"/>
            <w:gridSpan w:val="11"/>
            <w:tcBorders>
              <w:top w:val="nil"/>
              <w:left w:val="nil"/>
              <w:bottom w:val="nil"/>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3</w:t>
            </w:r>
            <w:r>
              <w:rPr>
                <w:sz w:val="20"/>
                <w:szCs w:val="20"/>
              </w:rPr>
              <w:t>Welch t test; Bonferroni correction</w:t>
            </w:r>
          </w:p>
        </w:tc>
      </w:tr>
    </w:tbl>
    <w:p w:rsidR="00343426" w:rsidRDefault="00343426"/>
    <w:p w:rsidR="00343426" w:rsidRDefault="000A549B">
      <w:r>
        <w:br w:type="page"/>
      </w:r>
    </w:p>
    <w:p w:rsidR="00343426" w:rsidRDefault="000A549B">
      <w:r>
        <w:rPr>
          <w:b/>
        </w:rPr>
        <w:lastRenderedPageBreak/>
        <w:t>Table S7.</w:t>
      </w:r>
      <w:r>
        <w:t xml:space="preserve"> mI/tCr levels in four regions of interest compared across the groups.</w:t>
      </w:r>
    </w:p>
    <w:tbl>
      <w:tblPr>
        <w:tblStyle w:val="a5"/>
        <w:tblW w:w="14005" w:type="dxa"/>
        <w:tblInd w:w="0" w:type="dxa"/>
        <w:tblLayout w:type="fixed"/>
        <w:tblLook w:val="0400" w:firstRow="0" w:lastRow="0" w:firstColumn="0" w:lastColumn="0" w:noHBand="0" w:noVBand="1"/>
      </w:tblPr>
      <w:tblGrid>
        <w:gridCol w:w="2506"/>
        <w:gridCol w:w="1766"/>
        <w:gridCol w:w="1765"/>
        <w:gridCol w:w="1765"/>
        <w:gridCol w:w="740"/>
        <w:gridCol w:w="740"/>
        <w:gridCol w:w="740"/>
        <w:gridCol w:w="740"/>
        <w:gridCol w:w="1081"/>
        <w:gridCol w:w="1081"/>
        <w:gridCol w:w="1081"/>
      </w:tblGrid>
      <w:tr w:rsidR="00343426" w:rsidTr="0049126C">
        <w:trPr>
          <w:cantSplit/>
          <w:tblHeader/>
        </w:trPr>
        <w:tc>
          <w:tcPr>
            <w:tcW w:w="249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p>
        </w:tc>
        <w:tc>
          <w:tcPr>
            <w:tcW w:w="1758" w:type="dxa"/>
            <w:gridSpan w:val="3"/>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Descriptive statistics</w:t>
            </w:r>
          </w:p>
        </w:tc>
        <w:tc>
          <w:tcPr>
            <w:tcW w:w="737" w:type="dxa"/>
            <w:gridSpan w:val="4"/>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Welch’s ANOVA</w:t>
            </w:r>
          </w:p>
        </w:tc>
        <w:tc>
          <w:tcPr>
            <w:tcW w:w="1077" w:type="dxa"/>
            <w:gridSpan w:val="3"/>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Post-hoc tests</w:t>
            </w:r>
          </w:p>
        </w:tc>
      </w:tr>
      <w:tr w:rsidR="00343426" w:rsidTr="0049126C">
        <w:trPr>
          <w:cantSplit/>
          <w:tblHeader/>
        </w:trPr>
        <w:tc>
          <w:tcPr>
            <w:tcW w:w="249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rPr>
              <w:t>Region</w:t>
            </w:r>
            <w:r>
              <w:rPr>
                <w:sz w:val="20"/>
                <w:szCs w:val="20"/>
                <w:vertAlign w:val="superscript"/>
              </w:rPr>
              <w:t>1</w:t>
            </w:r>
          </w:p>
        </w:tc>
        <w:tc>
          <w:tcPr>
            <w:tcW w:w="175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C, N = 25</w:t>
            </w:r>
            <w:r>
              <w:rPr>
                <w:sz w:val="20"/>
                <w:szCs w:val="20"/>
                <w:vertAlign w:val="superscript"/>
              </w:rPr>
              <w:t>2</w:t>
            </w:r>
          </w:p>
        </w:tc>
        <w:tc>
          <w:tcPr>
            <w:tcW w:w="175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TU, N = 24</w:t>
            </w:r>
            <w:r>
              <w:rPr>
                <w:sz w:val="20"/>
                <w:szCs w:val="20"/>
                <w:vertAlign w:val="superscript"/>
              </w:rPr>
              <w:t>2</w:t>
            </w:r>
          </w:p>
        </w:tc>
        <w:tc>
          <w:tcPr>
            <w:tcW w:w="175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TB, N = 28</w:t>
            </w:r>
            <w:r>
              <w:rPr>
                <w:sz w:val="20"/>
                <w:szCs w:val="20"/>
                <w:vertAlign w:val="superscript"/>
              </w:rPr>
              <w:t>2</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F</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p</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df1</w:t>
            </w:r>
          </w:p>
        </w:tc>
        <w:tc>
          <w:tcPr>
            <w:tcW w:w="73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df2</w:t>
            </w:r>
          </w:p>
        </w:tc>
        <w:tc>
          <w:tcPr>
            <w:tcW w:w="107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C vs. TU</w:t>
            </w:r>
            <w:r>
              <w:rPr>
                <w:sz w:val="20"/>
                <w:szCs w:val="20"/>
                <w:vertAlign w:val="superscript"/>
              </w:rPr>
              <w:t>3</w:t>
            </w:r>
          </w:p>
        </w:tc>
        <w:tc>
          <w:tcPr>
            <w:tcW w:w="107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C vs. TB</w:t>
            </w:r>
            <w:r>
              <w:rPr>
                <w:sz w:val="20"/>
                <w:szCs w:val="20"/>
                <w:vertAlign w:val="superscript"/>
              </w:rPr>
              <w:t>3</w:t>
            </w:r>
          </w:p>
        </w:tc>
        <w:tc>
          <w:tcPr>
            <w:tcW w:w="107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TU vs. TB</w:t>
            </w:r>
            <w:r>
              <w:rPr>
                <w:sz w:val="20"/>
                <w:szCs w:val="20"/>
                <w:vertAlign w:val="superscript"/>
              </w:rPr>
              <w:t>3</w:t>
            </w:r>
          </w:p>
        </w:tc>
      </w:tr>
      <w:tr w:rsidR="00343426" w:rsidTr="0049126C">
        <w:trPr>
          <w:cantSplit/>
        </w:trPr>
        <w:tc>
          <w:tcPr>
            <w:tcW w:w="2495"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Left frontal</w:t>
            </w:r>
          </w:p>
        </w:tc>
        <w:tc>
          <w:tcPr>
            <w:tcW w:w="1758"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1.2</w:t>
            </w: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w:t>
            </w: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45.6</w:t>
            </w:r>
          </w:p>
        </w:tc>
        <w:tc>
          <w:tcPr>
            <w:tcW w:w="107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0.8</w:t>
            </w:r>
          </w:p>
        </w:tc>
        <w:tc>
          <w:tcPr>
            <w:tcW w:w="1077" w:type="dxa"/>
            <w:tcBorders>
              <w:top w:val="single" w:sz="8" w:space="0" w:color="000000"/>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w:t>
            </w: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1.12 (0.97 - 1.31)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1.09 (0.96 - 1.25)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1.08 (0.94 - 1.15)</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1.11 (0.21)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1.13 (0.24)</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1.05 (0.15)</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0.77 - 1.47</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0.69 - 1.61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0.76 - 1.33</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0.36</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w:t>
            </w:r>
            <w:bookmarkStart w:id="1" w:name="_GoBack"/>
            <w:bookmarkEnd w:id="1"/>
            <w:r>
              <w:rPr>
                <w:sz w:val="20"/>
                <w:szCs w:val="20"/>
              </w:rPr>
              <w:t>6</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0.42</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Right frontal</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0.06</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&gt;0.9</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47.3</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0.97 (0.87 - 1.20)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1.06 (0.92 - 1.17)</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1.03 (0.92 - 1.17)</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1.04 (0.21)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1.05 (0.21)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1.04 (0.19)</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0.70 - 1.60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0.64 - 1.45</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0.65 - 1.42</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0.06</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0.99</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0.84</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343426"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w:t>
            </w:r>
          </w:p>
        </w:tc>
        <w:tc>
          <w:tcPr>
            <w:tcW w:w="1758" w:type="dxa"/>
            <w:tcBorders>
              <w:top w:val="nil"/>
              <w:left w:val="nil"/>
              <w:bottom w:val="nil"/>
              <w:right w:val="nil"/>
            </w:tcBorders>
            <w:shd w:val="clear" w:color="auto" w:fill="FFFFFF"/>
            <w:tcMar>
              <w:top w:w="0" w:type="dxa"/>
              <w:left w:w="0" w:type="dxa"/>
              <w:bottom w:w="0" w:type="dxa"/>
              <w:right w:w="0" w:type="dxa"/>
            </w:tcMar>
          </w:tcPr>
          <w:p w:rsidR="00343426" w:rsidRDefault="000A549B">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w:t>
            </w: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343426" w:rsidRDefault="00343426">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Left/Ipsi temporal</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0.12</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41.9</w:t>
            </w: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1.05 (0.96 - 1.17)</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1.02 (0.86 - 1.33)</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1.11 (0.84 - 1.18)</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1.08 (0.24)</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1.09 (0.30)</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1.05 (0.22)</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0.63 - 1.65</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0.69 - 1.73</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0.69 - 1.47</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0.59</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0.19</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0.17</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6</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b/>
                <w:sz w:val="20"/>
                <w:szCs w:val="20"/>
              </w:rPr>
              <w:t>Right/Contra temporal</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0.93</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0.4</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2.00</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42.0</w:t>
            </w: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w:t>
            </w: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&gt; 0.9</w:t>
            </w: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w:t>
            </w: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Median (IQR)</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0.95 (0.83 - 0.99)</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0.94 (0.88 - 1.11)</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0.93 (0.81 - 0.96)</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Mean (SD)</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0.94 (0.20)</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1.01 (0.22)</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0.93 (0.19)</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Range</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0.56 - 1.54</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0.70 - 1.49</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0.62 - 1.44</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S-W test</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0.12</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0.03</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0.10</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A91CF7" w:rsidTr="0049126C">
        <w:trPr>
          <w:cantSplit/>
        </w:trPr>
        <w:tc>
          <w:tcPr>
            <w:tcW w:w="2495"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300" w:right="100"/>
              <w:rPr>
                <w:sz w:val="20"/>
                <w:szCs w:val="20"/>
              </w:rPr>
            </w:pPr>
            <w:r>
              <w:rPr>
                <w:sz w:val="20"/>
                <w:szCs w:val="20"/>
              </w:rPr>
              <w:t>Missing</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w:t>
            </w:r>
          </w:p>
        </w:tc>
        <w:tc>
          <w:tcPr>
            <w:tcW w:w="1758"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r>
              <w:rPr>
                <w:sz w:val="20"/>
                <w:szCs w:val="20"/>
              </w:rPr>
              <w:t>3</w:t>
            </w: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73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c>
          <w:tcPr>
            <w:tcW w:w="1077" w:type="dxa"/>
            <w:tcBorders>
              <w:top w:val="nil"/>
              <w:left w:val="nil"/>
              <w:bottom w:val="nil"/>
              <w:right w:val="nil"/>
            </w:tcBorders>
            <w:shd w:val="clear" w:color="auto" w:fill="FFFFFF"/>
            <w:tcMar>
              <w:top w:w="0" w:type="dxa"/>
              <w:left w:w="0" w:type="dxa"/>
              <w:bottom w:w="0" w:type="dxa"/>
              <w:right w:w="0" w:type="dxa"/>
            </w:tcMa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jc w:val="center"/>
              <w:rPr>
                <w:sz w:val="20"/>
                <w:szCs w:val="20"/>
              </w:rPr>
            </w:pPr>
          </w:p>
        </w:tc>
      </w:tr>
      <w:tr w:rsidR="00A91CF7" w:rsidTr="0049126C">
        <w:trPr>
          <w:cantSplit/>
        </w:trPr>
        <w:tc>
          <w:tcPr>
            <w:tcW w:w="1077" w:type="dxa"/>
            <w:gridSpan w:val="11"/>
            <w:tcBorders>
              <w:top w:val="single" w:sz="8" w:space="0" w:color="000000"/>
              <w:left w:val="nil"/>
              <w:bottom w:val="nil"/>
              <w:right w:val="nil"/>
            </w:tcBorders>
            <w:shd w:val="clear" w:color="auto" w:fill="FFFFFF"/>
            <w:tcMar>
              <w:top w:w="0" w:type="dxa"/>
              <w:left w:w="0" w:type="dxa"/>
              <w:bottom w:w="0" w:type="dxa"/>
              <w:right w:w="0" w:type="dxa"/>
            </w:tcMar>
            <w:vAlign w:val="cente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1</w:t>
            </w:r>
            <w:r>
              <w:rPr>
                <w:sz w:val="20"/>
                <w:szCs w:val="20"/>
              </w:rPr>
              <w:t>SD - standard deviation, IQR - interquartile interval, S-W test - Shapiro-Wilk test of normality result (p-value), Ipsi – side ipsilateral to the perceived unilateral tinnitus, Contra – side contralateral to the perceived unilateral tinnitus</w:t>
            </w:r>
          </w:p>
        </w:tc>
      </w:tr>
      <w:tr w:rsidR="00A91CF7" w:rsidTr="0049126C">
        <w:trPr>
          <w:cantSplit/>
        </w:trPr>
        <w:tc>
          <w:tcPr>
            <w:tcW w:w="1077" w:type="dxa"/>
            <w:gridSpan w:val="11"/>
            <w:tcBorders>
              <w:top w:val="nil"/>
              <w:left w:val="nil"/>
              <w:bottom w:val="nil"/>
              <w:right w:val="nil"/>
            </w:tcBorders>
            <w:shd w:val="clear" w:color="auto" w:fill="FFFFFF"/>
            <w:tcMar>
              <w:top w:w="0" w:type="dxa"/>
              <w:left w:w="0" w:type="dxa"/>
              <w:bottom w:w="0" w:type="dxa"/>
              <w:right w:w="0" w:type="dxa"/>
            </w:tcMar>
            <w:vAlign w:val="cente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2</w:t>
            </w:r>
            <w:r>
              <w:rPr>
                <w:sz w:val="20"/>
                <w:szCs w:val="20"/>
              </w:rPr>
              <w:t>C - control, TU - tinnitus unilateral, TB - tinnitus bilateral</w:t>
            </w:r>
          </w:p>
        </w:tc>
      </w:tr>
      <w:tr w:rsidR="00A91CF7" w:rsidTr="0049126C">
        <w:trPr>
          <w:cantSplit/>
        </w:trPr>
        <w:tc>
          <w:tcPr>
            <w:tcW w:w="1077" w:type="dxa"/>
            <w:gridSpan w:val="11"/>
            <w:tcBorders>
              <w:top w:val="nil"/>
              <w:left w:val="nil"/>
              <w:bottom w:val="nil"/>
              <w:right w:val="nil"/>
            </w:tcBorders>
            <w:shd w:val="clear" w:color="auto" w:fill="FFFFFF"/>
            <w:tcMar>
              <w:top w:w="0" w:type="dxa"/>
              <w:left w:w="0" w:type="dxa"/>
              <w:bottom w:w="0" w:type="dxa"/>
              <w:right w:w="0" w:type="dxa"/>
            </w:tcMar>
            <w:vAlign w:val="center"/>
          </w:tcPr>
          <w:p w:rsidR="00A91CF7" w:rsidRDefault="00A91CF7" w:rsidP="00A91CF7">
            <w:pPr>
              <w:keepNext/>
              <w:pBdr>
                <w:top w:val="none" w:sz="0" w:space="0" w:color="000000"/>
                <w:left w:val="none" w:sz="0" w:space="0" w:color="000000"/>
                <w:bottom w:val="none" w:sz="0" w:space="0" w:color="000000"/>
                <w:right w:val="none" w:sz="0" w:space="0" w:color="000000"/>
              </w:pBdr>
              <w:spacing w:after="0" w:line="240" w:lineRule="auto"/>
              <w:ind w:left="100" w:right="100"/>
              <w:rPr>
                <w:sz w:val="20"/>
                <w:szCs w:val="20"/>
              </w:rPr>
            </w:pPr>
            <w:r>
              <w:rPr>
                <w:sz w:val="20"/>
                <w:szCs w:val="20"/>
                <w:vertAlign w:val="superscript"/>
              </w:rPr>
              <w:t>3</w:t>
            </w:r>
            <w:r>
              <w:rPr>
                <w:sz w:val="20"/>
                <w:szCs w:val="20"/>
              </w:rPr>
              <w:t>Welch t test; Bonferroni correction</w:t>
            </w:r>
          </w:p>
        </w:tc>
      </w:tr>
    </w:tbl>
    <w:p w:rsidR="00343426" w:rsidRDefault="00343426"/>
    <w:p w:rsidR="00343426" w:rsidRDefault="00343426"/>
    <w:p w:rsidR="00343426" w:rsidRDefault="000A549B">
      <w:pPr>
        <w:sectPr w:rsidR="00343426">
          <w:pgSz w:w="16838" w:h="11906" w:orient="landscape"/>
          <w:pgMar w:top="1417" w:right="1417" w:bottom="1417" w:left="1417" w:header="708" w:footer="708" w:gutter="0"/>
          <w:cols w:space="708"/>
        </w:sectPr>
      </w:pPr>
      <w:r>
        <w:br w:type="page"/>
      </w:r>
    </w:p>
    <w:p w:rsidR="00343426" w:rsidRDefault="000A549B">
      <w:pPr>
        <w:jc w:val="both"/>
        <w:rPr>
          <w:b/>
        </w:rPr>
      </w:pPr>
      <w:r>
        <w:rPr>
          <w:b/>
          <w:noProof/>
          <w:lang w:val="pl-PL"/>
        </w:rPr>
        <w:lastRenderedPageBreak/>
        <w:drawing>
          <wp:inline distT="114300" distB="114300" distL="114300" distR="114300">
            <wp:extent cx="5760410" cy="28829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760410" cy="2882900"/>
                    </a:xfrm>
                    <a:prstGeom prst="rect">
                      <a:avLst/>
                    </a:prstGeom>
                    <a:ln/>
                  </pic:spPr>
                </pic:pic>
              </a:graphicData>
            </a:graphic>
          </wp:inline>
        </w:drawing>
      </w:r>
    </w:p>
    <w:p w:rsidR="00343426" w:rsidRDefault="000A549B">
      <w:pPr>
        <w:jc w:val="both"/>
      </w:pPr>
      <w:r>
        <w:rPr>
          <w:b/>
        </w:rPr>
        <w:t>Figure S3.</w:t>
      </w:r>
      <w:r>
        <w:t xml:space="preserve"> Scatterplots and Spearman’s ρ tests for correlation between PTA values (500-4000 Hz) in both ears separately and levels of Glx/tCr in each ROI. The analysis was performed on data points conforming with the quality criteria. </w:t>
      </w:r>
      <w:r>
        <w:rPr>
          <w:color w:val="000000"/>
        </w:rPr>
        <w:t>Ipsi – side ipsilateral to the perceive</w:t>
      </w:r>
      <w:r w:rsidR="00473DF2">
        <w:rPr>
          <w:color w:val="000000"/>
        </w:rPr>
        <w:t>d unilateral tinnitus, Contra – </w:t>
      </w:r>
      <w:r>
        <w:rPr>
          <w:color w:val="000000"/>
        </w:rPr>
        <w:t>side contralateral to the perceived unilateral tinnitus.</w:t>
      </w:r>
    </w:p>
    <w:p w:rsidR="00343426" w:rsidRDefault="00343426"/>
    <w:p w:rsidR="00343426" w:rsidRDefault="000A549B">
      <w:pPr>
        <w:jc w:val="both"/>
      </w:pPr>
      <w:r>
        <w:rPr>
          <w:noProof/>
          <w:lang w:val="pl-PL"/>
        </w:rPr>
        <w:drawing>
          <wp:inline distT="114300" distB="114300" distL="114300" distR="114300">
            <wp:extent cx="5760410" cy="28829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760410" cy="2882900"/>
                    </a:xfrm>
                    <a:prstGeom prst="rect">
                      <a:avLst/>
                    </a:prstGeom>
                    <a:ln/>
                  </pic:spPr>
                </pic:pic>
              </a:graphicData>
            </a:graphic>
          </wp:inline>
        </w:drawing>
      </w:r>
    </w:p>
    <w:p w:rsidR="00343426" w:rsidRDefault="000A549B">
      <w:pPr>
        <w:jc w:val="both"/>
      </w:pPr>
      <w:r>
        <w:rPr>
          <w:b/>
        </w:rPr>
        <w:t>Figure S4.</w:t>
      </w:r>
      <w:r>
        <w:t xml:space="preserve"> Scatterplots and Spearman’s ρ tests for correlation between PTA values (500-4000 Hz) in both ears separately and levels of tCho/tCr in four ROIs. The analysis was performed on data points conforming with the quality criteria. </w:t>
      </w:r>
      <w:r>
        <w:rPr>
          <w:color w:val="000000"/>
        </w:rPr>
        <w:t>Ipsi – side ipsilateral to the perceive</w:t>
      </w:r>
      <w:r w:rsidR="00473DF2">
        <w:rPr>
          <w:color w:val="000000"/>
        </w:rPr>
        <w:t>d unilateral tinnitus, Contra – </w:t>
      </w:r>
      <w:r>
        <w:rPr>
          <w:color w:val="000000"/>
        </w:rPr>
        <w:t>side contralateral to the perceived unilateral tinnitus.</w:t>
      </w:r>
    </w:p>
    <w:p w:rsidR="00343426" w:rsidRDefault="00343426">
      <w:pPr>
        <w:jc w:val="both"/>
        <w:sectPr w:rsidR="00343426">
          <w:pgSz w:w="11906" w:h="16838"/>
          <w:pgMar w:top="1417" w:right="1417" w:bottom="1417" w:left="1417" w:header="708" w:footer="708" w:gutter="0"/>
          <w:cols w:space="708"/>
        </w:sectPr>
      </w:pPr>
    </w:p>
    <w:p w:rsidR="00343426" w:rsidRDefault="00343426"/>
    <w:p w:rsidR="00343426" w:rsidRDefault="000A549B">
      <w:r>
        <w:rPr>
          <w:b/>
        </w:rPr>
        <w:t>Supplementary File 1.</w:t>
      </w:r>
      <w:r>
        <w:t xml:space="preserve"> (File_1_LF.nii) Group coverage mask for left frontal ROI.</w:t>
      </w:r>
    </w:p>
    <w:p w:rsidR="00343426" w:rsidRDefault="000A549B">
      <w:r>
        <w:rPr>
          <w:b/>
        </w:rPr>
        <w:t>Supplementary File 2.</w:t>
      </w:r>
      <w:r>
        <w:t xml:space="preserve"> (File_2_RF.nii) Group coverage mask for right frontal ROI.</w:t>
      </w:r>
    </w:p>
    <w:p w:rsidR="00343426" w:rsidRDefault="000A549B">
      <w:r>
        <w:rPr>
          <w:b/>
        </w:rPr>
        <w:t>Supplementary File 3.</w:t>
      </w:r>
      <w:r>
        <w:t xml:space="preserve"> (File_3_LT.nii) Group coverage mask for left temporal ROI.</w:t>
      </w:r>
    </w:p>
    <w:p w:rsidR="00343426" w:rsidRDefault="000A549B">
      <w:r>
        <w:rPr>
          <w:b/>
        </w:rPr>
        <w:t>Supplementary File 4.</w:t>
      </w:r>
      <w:r>
        <w:t xml:space="preserve"> (File_4_RT.nii) Group coverage mask for right temporal ROI.</w:t>
      </w:r>
    </w:p>
    <w:sectPr w:rsidR="0034342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92A" w:rsidRDefault="0043492A" w:rsidP="000A549B">
      <w:pPr>
        <w:spacing w:after="0" w:line="240" w:lineRule="auto"/>
      </w:pPr>
      <w:r>
        <w:separator/>
      </w:r>
    </w:p>
  </w:endnote>
  <w:endnote w:type="continuationSeparator" w:id="0">
    <w:p w:rsidR="0043492A" w:rsidRDefault="0043492A" w:rsidP="000A5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747110"/>
      <w:docPartObj>
        <w:docPartGallery w:val="Page Numbers (Bottom of Page)"/>
        <w:docPartUnique/>
      </w:docPartObj>
    </w:sdtPr>
    <w:sdtContent>
      <w:p w:rsidR="00E023A5" w:rsidRDefault="00E023A5">
        <w:pPr>
          <w:pStyle w:val="Stopka"/>
          <w:jc w:val="center"/>
        </w:pPr>
        <w:r>
          <w:fldChar w:fldCharType="begin"/>
        </w:r>
        <w:r>
          <w:instrText>PAGE   \* MERGEFORMAT</w:instrText>
        </w:r>
        <w:r>
          <w:fldChar w:fldCharType="separate"/>
        </w:r>
        <w:r w:rsidR="0049126C" w:rsidRPr="0049126C">
          <w:rPr>
            <w:noProof/>
            <w:lang w:val="pl-PL"/>
          </w:rPr>
          <w:t>12</w:t>
        </w:r>
        <w:r>
          <w:fldChar w:fldCharType="end"/>
        </w:r>
      </w:p>
    </w:sdtContent>
  </w:sdt>
  <w:p w:rsidR="000A549B" w:rsidRDefault="000A549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92A" w:rsidRDefault="0043492A" w:rsidP="000A549B">
      <w:pPr>
        <w:spacing w:after="0" w:line="240" w:lineRule="auto"/>
      </w:pPr>
      <w:r>
        <w:separator/>
      </w:r>
    </w:p>
  </w:footnote>
  <w:footnote w:type="continuationSeparator" w:id="0">
    <w:p w:rsidR="0043492A" w:rsidRDefault="0043492A" w:rsidP="000A54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426"/>
    <w:rsid w:val="000A549B"/>
    <w:rsid w:val="002B662E"/>
    <w:rsid w:val="002F115B"/>
    <w:rsid w:val="00343426"/>
    <w:rsid w:val="003E5C21"/>
    <w:rsid w:val="0043492A"/>
    <w:rsid w:val="00473DF2"/>
    <w:rsid w:val="0049126C"/>
    <w:rsid w:val="00A91CF7"/>
    <w:rsid w:val="00E023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Akapitzlist">
    <w:name w:val="List Paragraph"/>
    <w:basedOn w:val="Normalny"/>
    <w:uiPriority w:val="34"/>
    <w:qFormat/>
    <w:rsid w:val="00E404D0"/>
    <w:pPr>
      <w:ind w:left="720"/>
      <w:contextualSpacing/>
    </w:pPr>
  </w:style>
  <w:style w:type="character" w:styleId="Hipercze">
    <w:name w:val="Hyperlink"/>
    <w:basedOn w:val="Domylnaczcionkaakapitu"/>
    <w:uiPriority w:val="99"/>
    <w:unhideWhenUsed/>
    <w:rsid w:val="00E404D0"/>
    <w:rPr>
      <w:color w:val="0563C1" w:themeColor="hyperlink"/>
      <w:u w:val="single"/>
    </w:rPr>
  </w:style>
  <w:style w:type="character" w:styleId="Odwoaniedokomentarza">
    <w:name w:val="annotation reference"/>
    <w:basedOn w:val="Domylnaczcionkaakapitu"/>
    <w:uiPriority w:val="99"/>
    <w:semiHidden/>
    <w:unhideWhenUsed/>
    <w:rsid w:val="00EB1F49"/>
    <w:rPr>
      <w:sz w:val="16"/>
      <w:szCs w:val="16"/>
    </w:rPr>
  </w:style>
  <w:style w:type="paragraph" w:styleId="Tekstkomentarza">
    <w:name w:val="annotation text"/>
    <w:basedOn w:val="Normalny"/>
    <w:link w:val="TekstkomentarzaZnak"/>
    <w:uiPriority w:val="99"/>
    <w:semiHidden/>
    <w:unhideWhenUsed/>
    <w:rsid w:val="00EB1F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B1F49"/>
    <w:rPr>
      <w:sz w:val="20"/>
      <w:szCs w:val="20"/>
    </w:rPr>
  </w:style>
  <w:style w:type="paragraph" w:styleId="Tematkomentarza">
    <w:name w:val="annotation subject"/>
    <w:basedOn w:val="Tekstkomentarza"/>
    <w:next w:val="Tekstkomentarza"/>
    <w:link w:val="TematkomentarzaZnak"/>
    <w:uiPriority w:val="99"/>
    <w:semiHidden/>
    <w:unhideWhenUsed/>
    <w:rsid w:val="00EB1F49"/>
    <w:rPr>
      <w:b/>
      <w:bCs/>
    </w:rPr>
  </w:style>
  <w:style w:type="character" w:customStyle="1" w:styleId="TematkomentarzaZnak">
    <w:name w:val="Temat komentarza Znak"/>
    <w:basedOn w:val="TekstkomentarzaZnak"/>
    <w:link w:val="Tematkomentarza"/>
    <w:uiPriority w:val="99"/>
    <w:semiHidden/>
    <w:rsid w:val="00EB1F49"/>
    <w:rPr>
      <w:b/>
      <w:bCs/>
      <w:sz w:val="20"/>
      <w:szCs w:val="20"/>
    </w:rPr>
  </w:style>
  <w:style w:type="paragraph" w:styleId="Tekstdymka">
    <w:name w:val="Balloon Text"/>
    <w:basedOn w:val="Normalny"/>
    <w:link w:val="TekstdymkaZnak"/>
    <w:uiPriority w:val="99"/>
    <w:semiHidden/>
    <w:unhideWhenUsed/>
    <w:rsid w:val="00EB1F4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B1F49"/>
    <w:rPr>
      <w:rFonts w:ascii="Segoe UI" w:hAnsi="Segoe UI" w:cs="Segoe UI"/>
      <w:sz w:val="18"/>
      <w:szCs w:val="18"/>
    </w:rPr>
  </w:style>
  <w:style w:type="character" w:styleId="Numerwiersza">
    <w:name w:val="line number"/>
    <w:basedOn w:val="Domylnaczcionkaakapitu"/>
    <w:uiPriority w:val="99"/>
    <w:semiHidden/>
    <w:unhideWhenUsed/>
    <w:rsid w:val="001B5718"/>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Nagwek">
    <w:name w:val="header"/>
    <w:basedOn w:val="Normalny"/>
    <w:link w:val="NagwekZnak"/>
    <w:uiPriority w:val="99"/>
    <w:unhideWhenUsed/>
    <w:rsid w:val="000A54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549B"/>
  </w:style>
  <w:style w:type="paragraph" w:styleId="Stopka">
    <w:name w:val="footer"/>
    <w:basedOn w:val="Normalny"/>
    <w:link w:val="StopkaZnak"/>
    <w:uiPriority w:val="99"/>
    <w:unhideWhenUsed/>
    <w:rsid w:val="000A54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5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sia.j.ciesla@gmail.com"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2rMAMx8kN8Nrx1GGEAG6J+1m3zg==">AMUW2mVOUaomfwtk5i+49eCE7jv803zMcZhxUYZUfLbjKVLhdRNHohLbTAI3wBVthSNtL9Ui6MOTv0730ZtrX+pzLF6PiKVI6/X52kqovkIO34ZoQsUwYQLKPhYsSaccG9KIx+gpICN8g5lLDVUxada1Ho0vmzXVlU1NqMDjaOg4bm6XPsAmy7oa7BAjw7z8GKWjMKolH1GCr9oQMvrb7FsE+aX2q6gDk/mbK8KrJUPw87DUxeLk+G88cK/MM027yp/CWtXBUQQG7zsKqJED9/bJ2cgYy4gkL9ObZ/wdbGELXWxc7ebDehHxUUHXwzZR9yFf3FFEkTWYFxv0/+BPe/9A9d2HY0IZ55Wl7R6YqFbbT5eOvaRVjOYVphSLOM6x/VachABp6v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2155</Words>
  <Characters>12935</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2023-02-15T10:27:00Z</dcterms:created>
  <dcterms:modified xsi:type="dcterms:W3CDTF">2023-02-15T12:14:00Z</dcterms:modified>
</cp:coreProperties>
</file>