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52CDA8" w14:textId="77777777" w:rsidR="00E87902" w:rsidRPr="006342C9" w:rsidRDefault="00E87902" w:rsidP="00E87902">
      <w:pPr>
        <w:spacing w:after="200"/>
        <w:rPr>
          <w:rFonts w:ascii="Times New Roman" w:hAnsi="Times New Roman" w:cs="Times New Roman"/>
          <w:color w:val="000000" w:themeColor="text1"/>
          <w:szCs w:val="21"/>
        </w:rPr>
      </w:pPr>
      <w:bookmarkStart w:id="0" w:name="_Hlk122700748"/>
      <w:r w:rsidRPr="006342C9">
        <w:rPr>
          <w:rFonts w:ascii="Times New Roman" w:hAnsi="Times New Roman" w:cs="Times New Roman"/>
          <w:b/>
          <w:bCs/>
          <w:color w:val="000000" w:themeColor="text1"/>
          <w:szCs w:val="21"/>
        </w:rPr>
        <w:t>Extended Data Fig. 1</w:t>
      </w:r>
      <w:bookmarkEnd w:id="0"/>
      <w:r w:rsidRPr="006342C9">
        <w:rPr>
          <w:rFonts w:ascii="Times New Roman" w:hAnsi="Times New Roman" w:cs="Times New Roman"/>
          <w:b/>
          <w:bCs/>
          <w:color w:val="000000" w:themeColor="text1"/>
          <w:szCs w:val="21"/>
        </w:rPr>
        <w:t xml:space="preserve"> Characterization of the mechanical fingerprint of the hairpin unfolding in the cRGD-S module using AFM. (a) </w:t>
      </w:r>
      <w:r w:rsidRPr="006342C9">
        <w:rPr>
          <w:rFonts w:ascii="Times New Roman" w:hAnsi="Times New Roman" w:cs="Times New Roman"/>
          <w:color w:val="000000" w:themeColor="text1"/>
          <w:szCs w:val="21"/>
        </w:rPr>
        <w:t>Typical force-extension (FE) curves between integrin-functionalized tip with surface modified with no cRGD conjugated S (nRGD-S), cRGD-S and cRGD-S with absent hairpin structure (cRGD-S-h</w:t>
      </w:r>
      <w:r w:rsidRPr="006342C9">
        <w:rPr>
          <w:rFonts w:ascii="Times New Roman" w:hAnsi="Times New Roman" w:cs="Times New Roman"/>
          <w:color w:val="000000" w:themeColor="text1"/>
          <w:szCs w:val="21"/>
          <w:vertAlign w:val="superscript"/>
        </w:rPr>
        <w:t>-</w:t>
      </w:r>
      <w:r w:rsidRPr="006342C9">
        <w:rPr>
          <w:rFonts w:ascii="Times New Roman" w:hAnsi="Times New Roman" w:cs="Times New Roman"/>
          <w:color w:val="000000" w:themeColor="text1"/>
          <w:szCs w:val="21"/>
        </w:rPr>
        <w:t>). For multiple pulling experiments, the hairpin was allowed to refold after one pulling cycle for 5 min, followed by the next pulling cycle. Red and blue peaks represent hairpin unfolding and cantilever unbinding, respectively.</w:t>
      </w:r>
      <w:r w:rsidRPr="006342C9">
        <w:rPr>
          <w:rFonts w:ascii="Times New Roman" w:hAnsi="Times New Roman" w:cs="Times New Roman"/>
          <w:b/>
          <w:bCs/>
          <w:color w:val="000000" w:themeColor="text1"/>
          <w:szCs w:val="21"/>
        </w:rPr>
        <w:t xml:space="preserve"> (b)</w:t>
      </w:r>
      <w:r w:rsidRPr="006342C9">
        <w:rPr>
          <w:rFonts w:ascii="Times New Roman" w:hAnsi="Times New Roman" w:cs="Times New Roman"/>
          <w:color w:val="000000" w:themeColor="text1"/>
          <w:szCs w:val="21"/>
        </w:rPr>
        <w:t xml:space="preserve"> </w:t>
      </w:r>
      <w:r w:rsidRPr="006342C9">
        <w:rPr>
          <w:rFonts w:ascii="Times New Roman" w:hAnsi="Times New Roman" w:cs="Times New Roman"/>
          <w:i/>
          <w:iCs/>
          <w:color w:val="000000" w:themeColor="text1"/>
          <w:szCs w:val="21"/>
        </w:rPr>
        <w:t>Left:</w:t>
      </w:r>
      <w:r w:rsidRPr="006342C9">
        <w:rPr>
          <w:rFonts w:ascii="Times New Roman" w:hAnsi="Times New Roman" w:cs="Times New Roman"/>
          <w:color w:val="000000" w:themeColor="text1"/>
          <w:szCs w:val="21"/>
        </w:rPr>
        <w:t xml:space="preserve"> quantitative analysis for cantilever unbinding probabilities. </w:t>
      </w:r>
      <w:r w:rsidRPr="006342C9">
        <w:rPr>
          <w:rFonts w:ascii="Times New Roman" w:hAnsi="Times New Roman" w:cs="Times New Roman"/>
          <w:i/>
          <w:iCs/>
          <w:color w:val="000000" w:themeColor="text1"/>
          <w:szCs w:val="21"/>
        </w:rPr>
        <w:t>Right</w:t>
      </w:r>
      <w:r w:rsidRPr="006342C9">
        <w:rPr>
          <w:rFonts w:ascii="Times New Roman" w:hAnsi="Times New Roman" w:cs="Times New Roman"/>
          <w:color w:val="000000" w:themeColor="text1"/>
          <w:szCs w:val="21"/>
        </w:rPr>
        <w:t>: quantitative analysis for hairpin unfolding probabilities relative to FE curves with the specific unbinding peak. Data were measured from ≥ 126 curves.</w:t>
      </w:r>
    </w:p>
    <w:p w14:paraId="7EA87022" w14:textId="77777777" w:rsidR="00E87902" w:rsidRPr="006342C9" w:rsidRDefault="00E87902" w:rsidP="00E87902">
      <w:pPr>
        <w:widowControl/>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2ED22D08" wp14:editId="50165A35">
            <wp:extent cx="6120000" cy="366107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4"/>
                    <a:srcRect l="1623" t="11164" r="2064" b="15665"/>
                    <a:stretch/>
                  </pic:blipFill>
                  <pic:spPr bwMode="auto">
                    <a:xfrm>
                      <a:off x="0" y="0"/>
                      <a:ext cx="6120000" cy="3661071"/>
                    </a:xfrm>
                    <a:prstGeom prst="rect">
                      <a:avLst/>
                    </a:prstGeom>
                    <a:ln>
                      <a:noFill/>
                    </a:ln>
                    <a:extLst>
                      <a:ext uri="{53640926-AAD7-44D8-BBD7-CCE9431645EC}">
                        <a14:shadowObscured xmlns:a14="http://schemas.microsoft.com/office/drawing/2010/main"/>
                      </a:ext>
                    </a:extLst>
                  </pic:spPr>
                </pic:pic>
              </a:graphicData>
            </a:graphic>
          </wp:inline>
        </w:drawing>
      </w:r>
      <w:r w:rsidRPr="006342C9">
        <w:rPr>
          <w:rFonts w:ascii="Times New Roman" w:hAnsi="Times New Roman" w:cs="Times New Roman"/>
          <w:color w:val="000000" w:themeColor="text1"/>
          <w:szCs w:val="21"/>
        </w:rPr>
        <w:br w:type="page"/>
      </w:r>
    </w:p>
    <w:p w14:paraId="1EE2BAD8"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2 Worm-like chain (WLC) model analysis. (a)</w:t>
      </w:r>
      <w:r w:rsidRPr="006342C9">
        <w:rPr>
          <w:rFonts w:ascii="Times New Roman" w:hAnsi="Times New Roman" w:cs="Times New Roman"/>
          <w:color w:val="000000" w:themeColor="text1"/>
          <w:szCs w:val="21"/>
        </w:rPr>
        <w:t xml:space="preserve"> A typical FE curve (</w:t>
      </w:r>
      <w:r w:rsidRPr="006342C9">
        <w:rPr>
          <w:rFonts w:ascii="Times New Roman" w:hAnsi="Times New Roman" w:cs="Times New Roman"/>
          <w:i/>
          <w:color w:val="000000" w:themeColor="text1"/>
          <w:szCs w:val="21"/>
        </w:rPr>
        <w:t>blue</w:t>
      </w:r>
      <w:r w:rsidRPr="006342C9">
        <w:rPr>
          <w:rFonts w:ascii="Times New Roman" w:hAnsi="Times New Roman" w:cs="Times New Roman"/>
          <w:color w:val="000000" w:themeColor="text1"/>
          <w:szCs w:val="21"/>
        </w:rPr>
        <w:t>) and its theoretical fitting curve (</w:t>
      </w:r>
      <w:r w:rsidRPr="006342C9">
        <w:rPr>
          <w:rFonts w:ascii="Times New Roman" w:hAnsi="Times New Roman" w:cs="Times New Roman"/>
          <w:i/>
          <w:color w:val="000000" w:themeColor="text1"/>
          <w:szCs w:val="21"/>
        </w:rPr>
        <w:t>red</w:t>
      </w:r>
      <w:r w:rsidRPr="006342C9">
        <w:rPr>
          <w:rFonts w:ascii="Times New Roman" w:hAnsi="Times New Roman" w:cs="Times New Roman"/>
          <w:color w:val="000000" w:themeColor="text1"/>
          <w:szCs w:val="21"/>
        </w:rPr>
        <w:t xml:space="preserve">) based on the WLC model.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Table of the values of the fitted persistence length </w:t>
      </w:r>
      <w:r w:rsidRPr="006342C9">
        <w:rPr>
          <w:rFonts w:ascii="Times New Roman" w:hAnsi="Times New Roman" w:cs="Times New Roman"/>
          <w:i/>
          <w:color w:val="000000" w:themeColor="text1"/>
          <w:szCs w:val="21"/>
        </w:rPr>
        <w:t>L</w:t>
      </w:r>
      <w:r w:rsidRPr="006342C9">
        <w:rPr>
          <w:rFonts w:ascii="Times New Roman" w:hAnsi="Times New Roman" w:cs="Times New Roman"/>
          <w:color w:val="000000" w:themeColor="text1"/>
          <w:szCs w:val="21"/>
          <w:vertAlign w:val="subscript"/>
        </w:rPr>
        <w:t>p</w:t>
      </w:r>
      <w:r w:rsidRPr="006342C9">
        <w:rPr>
          <w:rFonts w:ascii="Times New Roman" w:hAnsi="Times New Roman" w:cs="Times New Roman"/>
          <w:color w:val="000000" w:themeColor="text1"/>
          <w:szCs w:val="21"/>
        </w:rPr>
        <w:t xml:space="preserve"> and calculated total free energy (</w:t>
      </w:r>
      <w:r w:rsidRPr="006342C9">
        <w:rPr>
          <w:rFonts w:ascii="Times New Roman" w:hAnsi="Times New Roman" w:cs="Times New Roman"/>
          <w:i/>
          <w:color w:val="000000" w:themeColor="text1"/>
          <w:szCs w:val="21"/>
        </w:rPr>
        <w:t>ΔG</w:t>
      </w:r>
      <w:r w:rsidRPr="006342C9">
        <w:rPr>
          <w:rFonts w:ascii="Times New Roman" w:hAnsi="Times New Roman" w:cs="Times New Roman"/>
          <w:color w:val="000000" w:themeColor="text1"/>
          <w:szCs w:val="21"/>
        </w:rPr>
        <w:t>). The persistence length p was fitted using WLC model from ≥ 60 curves and presented as mean ± s.e.m. for 3 independent experiments.</w:t>
      </w:r>
    </w:p>
    <w:p w14:paraId="7B26B8EC" w14:textId="77777777" w:rsidR="00E87902" w:rsidRPr="006342C9" w:rsidRDefault="00E87902" w:rsidP="00E87902">
      <w:pPr>
        <w:spacing w:after="200"/>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048F75FB" wp14:editId="0EADBFAE">
            <wp:extent cx="5760000" cy="3076910"/>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rotWithShape="1">
                    <a:blip r:embed="rId5">
                      <a:extLst>
                        <a:ext uri="{28A0092B-C50C-407E-A947-70E740481C1C}">
                          <a14:useLocalDpi xmlns:a14="http://schemas.microsoft.com/office/drawing/2010/main"/>
                        </a:ext>
                      </a:extLst>
                    </a:blip>
                    <a:srcRect/>
                    <a:stretch/>
                  </pic:blipFill>
                  <pic:spPr bwMode="auto">
                    <a:xfrm>
                      <a:off x="0" y="0"/>
                      <a:ext cx="5760000" cy="3076910"/>
                    </a:xfrm>
                    <a:prstGeom prst="rect">
                      <a:avLst/>
                    </a:prstGeom>
                    <a:ln>
                      <a:noFill/>
                    </a:ln>
                    <a:extLst>
                      <a:ext uri="{53640926-AAD7-44D8-BBD7-CCE9431645EC}">
                        <a14:shadowObscured xmlns:a14="http://schemas.microsoft.com/office/drawing/2010/main"/>
                      </a:ext>
                    </a:extLst>
                  </pic:spPr>
                </pic:pic>
              </a:graphicData>
            </a:graphic>
          </wp:inline>
        </w:drawing>
      </w:r>
    </w:p>
    <w:p w14:paraId="17912861"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36C6C16B"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3 Characterization of force-triggered toehold-mediated strand displacement reaction (</w:t>
      </w:r>
      <w:bookmarkStart w:id="1" w:name="OLE_LINK9"/>
      <w:r w:rsidRPr="006342C9">
        <w:rPr>
          <w:rFonts w:ascii="Times New Roman" w:hAnsi="Times New Roman" w:cs="Times New Roman"/>
          <w:b/>
          <w:bCs/>
          <w:color w:val="000000" w:themeColor="text1"/>
          <w:szCs w:val="21"/>
        </w:rPr>
        <w:t>F-TSDR</w:t>
      </w:r>
      <w:bookmarkEnd w:id="1"/>
      <w:r w:rsidRPr="006342C9">
        <w:rPr>
          <w:rFonts w:ascii="Times New Roman" w:hAnsi="Times New Roman" w:cs="Times New Roman"/>
          <w:b/>
          <w:bCs/>
          <w:color w:val="000000" w:themeColor="text1"/>
          <w:szCs w:val="21"/>
        </w:rPr>
        <w:t>) by AFM.</w:t>
      </w:r>
      <w:r w:rsidRPr="006342C9">
        <w:rPr>
          <w:rFonts w:ascii="Times New Roman" w:hAnsi="Times New Roman" w:cs="Times New Roman"/>
          <w:color w:val="000000" w:themeColor="text1"/>
          <w:szCs w:val="21"/>
        </w:rPr>
        <w:t xml:space="preserve"> </w:t>
      </w:r>
      <w:r w:rsidRPr="006342C9">
        <w:rPr>
          <w:rFonts w:ascii="Times New Roman" w:hAnsi="Times New Roman" w:cs="Times New Roman"/>
          <w:b/>
          <w:bCs/>
          <w:color w:val="000000" w:themeColor="text1"/>
          <w:szCs w:val="21"/>
        </w:rPr>
        <w:t>(a)</w:t>
      </w:r>
      <w:r w:rsidRPr="006342C9">
        <w:rPr>
          <w:rFonts w:ascii="Times New Roman" w:hAnsi="Times New Roman" w:cs="Times New Roman"/>
          <w:color w:val="000000" w:themeColor="text1"/>
          <w:szCs w:val="21"/>
        </w:rPr>
        <w:t xml:space="preserve"> Typical FE curves between the integrin-functionalized tip and cRGD-S modified surface in the presence of excess soluble free T modules or the control T modules with mutated engaging sequence (mTe). The contact between the integrin-functionalized tip and Sh/Te duplex-modified surface, the expected product of F-TSDR, was set as a positive control event. </w:t>
      </w:r>
      <w:r w:rsidRPr="006342C9">
        <w:rPr>
          <w:rFonts w:ascii="Times New Roman" w:hAnsi="Times New Roman" w:cs="Times New Roman"/>
          <w:b/>
          <w:bCs/>
          <w:color w:val="000000" w:themeColor="text1"/>
          <w:szCs w:val="21"/>
        </w:rPr>
        <w:t xml:space="preserve">(b) </w:t>
      </w:r>
      <w:r w:rsidRPr="006342C9">
        <w:rPr>
          <w:rFonts w:ascii="Times New Roman" w:hAnsi="Times New Roman" w:cs="Times New Roman"/>
          <w:color w:val="000000" w:themeColor="text1"/>
          <w:szCs w:val="21"/>
        </w:rPr>
        <w:t xml:space="preserve">Quantitative analysis for hairpin unfolding probabilities relative to FE curves with the specific unbinding peak. </w:t>
      </w:r>
      <w:r w:rsidRPr="006342C9">
        <w:rPr>
          <w:rFonts w:ascii="Times New Roman" w:hAnsi="Times New Roman" w:cs="Times New Roman"/>
          <w:i/>
          <w:iCs/>
          <w:color w:val="000000" w:themeColor="text1"/>
          <w:szCs w:val="21"/>
        </w:rPr>
        <w:t>Blue bars</w:t>
      </w:r>
      <w:r w:rsidRPr="006342C9">
        <w:rPr>
          <w:rFonts w:ascii="Times New Roman" w:hAnsi="Times New Roman" w:cs="Times New Roman"/>
          <w:color w:val="000000" w:themeColor="text1"/>
          <w:szCs w:val="21"/>
        </w:rPr>
        <w:t xml:space="preserve"> represent the hairpin unfolding probabilities for the cRGD-S-modified surface. </w:t>
      </w:r>
      <w:r w:rsidRPr="006342C9">
        <w:rPr>
          <w:rFonts w:ascii="Times New Roman" w:hAnsi="Times New Roman" w:cs="Times New Roman"/>
          <w:i/>
          <w:iCs/>
          <w:color w:val="000000" w:themeColor="text1"/>
          <w:szCs w:val="21"/>
        </w:rPr>
        <w:t>Fuchsia bars</w:t>
      </w:r>
      <w:r w:rsidRPr="006342C9">
        <w:rPr>
          <w:rFonts w:ascii="Times New Roman" w:hAnsi="Times New Roman" w:cs="Times New Roman"/>
          <w:color w:val="000000" w:themeColor="text1"/>
          <w:szCs w:val="21"/>
        </w:rPr>
        <w:t xml:space="preserve"> represent the hairpin unfolding probabilities of the cRGD-S-modified surface in the presence or absence of T and mTe modules. At least 10 curves from three independent experiments were analysed in each situation.</w:t>
      </w:r>
    </w:p>
    <w:p w14:paraId="01F6F7D9"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3A9F311B" wp14:editId="082BA9CF">
            <wp:extent cx="6216650" cy="4641815"/>
            <wp:effectExtent l="0" t="0" r="0" b="698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rotWithShape="1">
                    <a:blip r:embed="rId6">
                      <a:extLst>
                        <a:ext uri="{28A0092B-C50C-407E-A947-70E740481C1C}">
                          <a14:useLocalDpi xmlns:a14="http://schemas.microsoft.com/office/drawing/2010/main"/>
                        </a:ext>
                      </a:extLst>
                    </a:blip>
                    <a:srcRect/>
                    <a:stretch/>
                  </pic:blipFill>
                  <pic:spPr bwMode="auto">
                    <a:xfrm>
                      <a:off x="0" y="0"/>
                      <a:ext cx="6217701" cy="4642600"/>
                    </a:xfrm>
                    <a:prstGeom prst="rect">
                      <a:avLst/>
                    </a:prstGeom>
                    <a:ln>
                      <a:noFill/>
                    </a:ln>
                    <a:extLst>
                      <a:ext uri="{53640926-AAD7-44D8-BBD7-CCE9431645EC}">
                        <a14:shadowObscured xmlns:a14="http://schemas.microsoft.com/office/drawing/2010/main"/>
                      </a:ext>
                    </a:extLst>
                  </pic:spPr>
                </pic:pic>
              </a:graphicData>
            </a:graphic>
          </wp:inline>
        </w:drawing>
      </w:r>
    </w:p>
    <w:p w14:paraId="7A8EE85D"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57754241" w14:textId="77777777" w:rsidR="00E87902" w:rsidRPr="006342C9" w:rsidRDefault="00E87902" w:rsidP="00E87902">
      <w:pPr>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 xml:space="preserve">Extended Data Fig. 4 Schematic and </w:t>
      </w:r>
      <w:r w:rsidRPr="006342C9">
        <w:rPr>
          <w:rFonts w:ascii="Times New Roman" w:hAnsi="Times New Roman" w:cs="Times New Roman"/>
          <w:b/>
          <w:bCs/>
          <w:i/>
          <w:color w:val="000000" w:themeColor="text1"/>
          <w:szCs w:val="21"/>
        </w:rPr>
        <w:t>in vitro</w:t>
      </w:r>
      <w:r w:rsidRPr="006342C9">
        <w:rPr>
          <w:rFonts w:ascii="Times New Roman" w:hAnsi="Times New Roman" w:cs="Times New Roman"/>
          <w:b/>
          <w:bCs/>
          <w:color w:val="000000" w:themeColor="text1"/>
          <w:szCs w:val="21"/>
        </w:rPr>
        <w:t xml:space="preserve"> fluorescence test of F-TSDR. (a)</w:t>
      </w:r>
      <w:r w:rsidRPr="006342C9">
        <w:rPr>
          <w:rFonts w:ascii="Times New Roman" w:hAnsi="Times New Roman" w:cs="Times New Roman"/>
          <w:color w:val="000000" w:themeColor="text1"/>
          <w:szCs w:val="21"/>
        </w:rPr>
        <w:t xml:space="preserve"> Schematic illustration of the cascaded F-TSDR. The transition of the hairpin structure </w:t>
      </w:r>
      <w:r w:rsidRPr="006342C9">
        <w:rPr>
          <w:rFonts w:ascii="Times New Roman" w:hAnsi="Times New Roman" w:cs="Times New Roman"/>
          <w:i/>
          <w:color w:val="000000" w:themeColor="text1"/>
          <w:szCs w:val="21"/>
        </w:rPr>
        <w:t>S</w:t>
      </w:r>
      <w:r w:rsidRPr="006342C9">
        <w:rPr>
          <w:rFonts w:ascii="Times New Roman" w:hAnsi="Times New Roman" w:cs="Times New Roman"/>
          <w:color w:val="000000" w:themeColor="text1"/>
          <w:szCs w:val="21"/>
        </w:rPr>
        <w:t xml:space="preserve"> from the folded state (state </w:t>
      </w:r>
      <w:r w:rsidRPr="006342C9">
        <w:rPr>
          <w:rFonts w:ascii="Times New Roman" w:hAnsi="Times New Roman" w:cs="Times New Roman"/>
          <w:i/>
          <w:color w:val="000000" w:themeColor="text1"/>
          <w:szCs w:val="21"/>
        </w:rPr>
        <w:t>A</w:t>
      </w:r>
      <w:r w:rsidRPr="006342C9">
        <w:rPr>
          <w:rFonts w:ascii="Times New Roman" w:hAnsi="Times New Roman" w:cs="Times New Roman"/>
          <w:color w:val="000000" w:themeColor="text1"/>
          <w:szCs w:val="21"/>
        </w:rPr>
        <w:t xml:space="preserve">) to unfolded state (state </w:t>
      </w:r>
      <w:r w:rsidRPr="006342C9">
        <w:rPr>
          <w:rFonts w:ascii="Times New Roman" w:hAnsi="Times New Roman" w:cs="Times New Roman"/>
          <w:i/>
          <w:color w:val="000000" w:themeColor="text1"/>
          <w:szCs w:val="21"/>
        </w:rPr>
        <w:t>B</w:t>
      </w:r>
      <w:r w:rsidRPr="006342C9">
        <w:rPr>
          <w:rFonts w:ascii="Times New Roman" w:hAnsi="Times New Roman" w:cs="Times New Roman"/>
          <w:color w:val="000000" w:themeColor="text1"/>
          <w:szCs w:val="21"/>
        </w:rPr>
        <w:t xml:space="preserve">) is separated by an energy barrier. This energy barrier is contributed by the free energy of base-pair stacking and hydrogen bonding in the stem and the free energy for stretching the ssDNA released by unzipping. Without the application of forces, the unfolding state is kinetically and thermodynamically unfavourable due to the high activation barrier (ΔG). The application of force dampens the energy landscape by changing the free energy between folded and unfolded states, thus affording mechanoselectivity. Initial binding of Te to opened Sh incurs a free energy penalty due to the reduction in the entropy caused by lost translational and orientational degrees of freedom. For the subsequent states, Te progressively base-pairs (zips-up) with the toehold bases of Sh such that the system's free energy decreases until all toehold bases are paired (state </w:t>
      </w:r>
      <w:r w:rsidRPr="006342C9">
        <w:rPr>
          <w:rFonts w:ascii="Times New Roman" w:hAnsi="Times New Roman" w:cs="Times New Roman"/>
          <w:i/>
          <w:color w:val="000000" w:themeColor="text1"/>
          <w:szCs w:val="21"/>
        </w:rPr>
        <w:t>C</w:t>
      </w:r>
      <w:r w:rsidRPr="006342C9">
        <w:rPr>
          <w:rFonts w:ascii="Times New Roman" w:hAnsi="Times New Roman" w:cs="Times New Roman"/>
          <w:color w:val="000000" w:themeColor="text1"/>
          <w:szCs w:val="21"/>
        </w:rPr>
        <w:t xml:space="preserve">). Beyond the toehold domain, subsequent strand displacement (branch migration) displaces the incumbent Sb and Tb. The initiation of the displacement process requires an additional free-energetic penalty due to the formation of an additional ssDNA overhang. Te-Sh base pairs can only be formed by breaking both the Sh-Sb and Te-Tb base pairs such that no net free energy change occurs. The final state </w:t>
      </w:r>
      <w:r w:rsidRPr="006342C9">
        <w:rPr>
          <w:rFonts w:ascii="Times New Roman" w:hAnsi="Times New Roman" w:cs="Times New Roman"/>
          <w:i/>
          <w:color w:val="000000" w:themeColor="text1"/>
          <w:szCs w:val="21"/>
        </w:rPr>
        <w:t>D</w:t>
      </w:r>
      <w:r w:rsidRPr="006342C9">
        <w:rPr>
          <w:rFonts w:ascii="Times New Roman" w:hAnsi="Times New Roman" w:cs="Times New Roman"/>
          <w:color w:val="000000" w:themeColor="text1"/>
          <w:szCs w:val="21"/>
        </w:rPr>
        <w:t xml:space="preserve"> involves the dissociation of the Sb and Tb followed by the formation of the final base pair between Sh and Te. Dissociation provides a free-energy gain in which the initial costs of the Te association are liberated.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w:t>
      </w:r>
      <w:bookmarkStart w:id="2" w:name="OLE_LINK20"/>
      <w:bookmarkStart w:id="3" w:name="_Hlk122354651"/>
      <w:r w:rsidRPr="006342C9">
        <w:rPr>
          <w:rFonts w:ascii="Times New Roman" w:hAnsi="Times New Roman" w:cs="Times New Roman"/>
          <w:i/>
          <w:color w:val="000000" w:themeColor="text1"/>
          <w:szCs w:val="21"/>
        </w:rPr>
        <w:t>In vitro</w:t>
      </w:r>
      <w:r w:rsidRPr="006342C9">
        <w:rPr>
          <w:rFonts w:ascii="Times New Roman" w:hAnsi="Times New Roman" w:cs="Times New Roman"/>
          <w:color w:val="000000" w:themeColor="text1"/>
          <w:szCs w:val="21"/>
        </w:rPr>
        <w:t xml:space="preserve"> fluorescence assay to explore the mechano-sensitive reaction between the </w:t>
      </w:r>
      <w:r w:rsidRPr="006342C9">
        <w:rPr>
          <w:rFonts w:ascii="Times New Roman" w:hAnsi="Times New Roman" w:cs="Times New Roman"/>
          <w:i/>
          <w:color w:val="000000" w:themeColor="text1"/>
          <w:szCs w:val="21"/>
        </w:rPr>
        <w:t>S</w:t>
      </w:r>
      <w:r w:rsidRPr="006342C9">
        <w:rPr>
          <w:rFonts w:ascii="Times New Roman" w:hAnsi="Times New Roman" w:cs="Times New Roman"/>
          <w:color w:val="000000" w:themeColor="text1"/>
          <w:szCs w:val="21"/>
        </w:rPr>
        <w:t xml:space="preserve"> module and </w:t>
      </w:r>
      <w:r w:rsidRPr="006342C9">
        <w:rPr>
          <w:rFonts w:ascii="Times New Roman" w:hAnsi="Times New Roman" w:cs="Times New Roman"/>
          <w:i/>
          <w:color w:val="000000" w:themeColor="text1"/>
          <w:szCs w:val="21"/>
        </w:rPr>
        <w:t>T</w:t>
      </w:r>
      <w:r w:rsidRPr="006342C9">
        <w:rPr>
          <w:rFonts w:ascii="Times New Roman" w:hAnsi="Times New Roman" w:cs="Times New Roman"/>
          <w:color w:val="000000" w:themeColor="text1"/>
          <w:szCs w:val="21"/>
        </w:rPr>
        <w:t xml:space="preserve"> module. The mechanical selectivity of the toehold sequence binding to unfolded hairpins over folded ones was characterized by comparing the differential hybridization of </w:t>
      </w:r>
      <w:r w:rsidRPr="006342C9">
        <w:rPr>
          <w:rFonts w:ascii="Times New Roman" w:hAnsi="Times New Roman" w:cs="Times New Roman"/>
          <w:i/>
          <w:color w:val="000000" w:themeColor="text1"/>
          <w:szCs w:val="21"/>
        </w:rPr>
        <w:t>T</w:t>
      </w:r>
      <w:r w:rsidRPr="006342C9">
        <w:rPr>
          <w:rFonts w:ascii="Times New Roman" w:hAnsi="Times New Roman" w:cs="Times New Roman"/>
          <w:color w:val="000000" w:themeColor="text1"/>
          <w:szCs w:val="21"/>
        </w:rPr>
        <w:t xml:space="preserve"> to folded </w:t>
      </w:r>
      <w:r w:rsidRPr="006342C9">
        <w:rPr>
          <w:rFonts w:ascii="Times New Roman" w:hAnsi="Times New Roman" w:cs="Times New Roman"/>
          <w:i/>
          <w:color w:val="000000" w:themeColor="text1"/>
          <w:szCs w:val="21"/>
        </w:rPr>
        <w:t>S</w:t>
      </w:r>
      <w:r w:rsidRPr="006342C9">
        <w:rPr>
          <w:rFonts w:ascii="Times New Roman" w:hAnsi="Times New Roman" w:cs="Times New Roman"/>
          <w:color w:val="000000" w:themeColor="text1"/>
          <w:szCs w:val="21"/>
        </w:rPr>
        <w:t xml:space="preserve"> at rest to that of an unstructured sequence. The unstructured sequence provides a model for the unfolded hairpin structure. Hybridization was monitored using the TAMRA fluorescence released from the displacement between S and T/Tb. The hybridization of T to the unstructured sequence saturated within 20 minutes, while the hybridization to the folded hairpin structure did not saturate after 2-hour incubation. We assumed that the dynamic hybridization reactions followed pseudo-first-order binding kinetics and fitted the data by the equation:</w:t>
      </w:r>
    </w:p>
    <w:bookmarkEnd w:id="2"/>
    <w:p w14:paraId="487B9BF1" w14:textId="77777777" w:rsidR="00E87902" w:rsidRPr="006342C9" w:rsidRDefault="00E87902" w:rsidP="00E87902">
      <w:pPr>
        <w:rPr>
          <w:rFonts w:ascii="Times New Roman" w:hAnsi="Times New Roman" w:cs="Times New Roman"/>
          <w:color w:val="000000" w:themeColor="text1"/>
          <w:szCs w:val="21"/>
        </w:rPr>
      </w:pPr>
      <m:oMathPara>
        <m:oMath>
          <m:eqArr>
            <m:eqArrPr>
              <m:maxDist m:val="1"/>
              <m:ctrlPr>
                <w:rPr>
                  <w:rFonts w:ascii="Cambria Math" w:hAnsi="Cambria Math" w:cs="Times New Roman"/>
                  <w:i/>
                  <w:color w:val="000000" w:themeColor="text1"/>
                  <w:szCs w:val="21"/>
                </w:rPr>
              </m:ctrlPr>
            </m:eqArrPr>
            <m:e>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H</m:t>
                  </m:r>
                </m:e>
                <m:sub>
                  <m:r>
                    <w:rPr>
                      <w:rFonts w:ascii="Cambria Math" w:hAnsi="Cambria Math" w:cs="Times New Roman"/>
                      <w:color w:val="000000" w:themeColor="text1"/>
                      <w:szCs w:val="21"/>
                    </w:rPr>
                    <m:t>t</m:t>
                  </m:r>
                </m:sub>
              </m:sSub>
              <m:r>
                <w:rPr>
                  <w:rFonts w:ascii="Cambria Math" w:hAnsi="Cambria Math" w:cs="Times New Roman"/>
                  <w:color w:val="000000" w:themeColor="text1"/>
                  <w:szCs w:val="21"/>
                </w:rPr>
                <m:t>=</m:t>
              </m:r>
              <m:sSub>
                <m:sSubPr>
                  <m:ctrlPr>
                    <w:rPr>
                      <w:rFonts w:ascii="Cambria Math" w:hAnsi="Cambria Math" w:cs="Times New Roman"/>
                      <w:i/>
                      <w:color w:val="000000" w:themeColor="text1"/>
                      <w:szCs w:val="21"/>
                    </w:rPr>
                  </m:ctrlPr>
                </m:sSubPr>
                <m:e>
                  <m:r>
                    <w:rPr>
                      <w:rFonts w:ascii="Cambria Math" w:hAnsi="Cambria Math" w:cs="Times New Roman"/>
                      <w:color w:val="000000" w:themeColor="text1"/>
                      <w:szCs w:val="21"/>
                    </w:rPr>
                    <m:t>H</m:t>
                  </m:r>
                </m:e>
                <m:sub>
                  <m:r>
                    <w:rPr>
                      <w:rFonts w:ascii="Cambria Math" w:hAnsi="Cambria Math" w:cs="Times New Roman"/>
                      <w:color w:val="000000" w:themeColor="text1"/>
                      <w:szCs w:val="21"/>
                    </w:rPr>
                    <m:t>e</m:t>
                  </m:r>
                </m:sub>
              </m:sSub>
              <m:d>
                <m:dPr>
                  <m:ctrlPr>
                    <w:rPr>
                      <w:rFonts w:ascii="Cambria Math" w:hAnsi="Cambria Math" w:cs="Times New Roman"/>
                      <w:i/>
                      <w:color w:val="000000" w:themeColor="text1"/>
                      <w:szCs w:val="21"/>
                    </w:rPr>
                  </m:ctrlPr>
                </m:dPr>
                <m:e>
                  <m:r>
                    <w:rPr>
                      <w:rFonts w:ascii="Cambria Math" w:hAnsi="Cambria Math" w:cs="Times New Roman"/>
                      <w:color w:val="000000" w:themeColor="text1"/>
                      <w:szCs w:val="21"/>
                    </w:rPr>
                    <m:t>1-exp</m:t>
                  </m:r>
                  <m:d>
                    <m:dPr>
                      <m:ctrlPr>
                        <w:rPr>
                          <w:rFonts w:ascii="Cambria Math" w:hAnsi="Cambria Math" w:cs="Times New Roman"/>
                          <w:i/>
                          <w:color w:val="000000" w:themeColor="text1"/>
                          <w:szCs w:val="21"/>
                        </w:rPr>
                      </m:ctrlPr>
                    </m:dPr>
                    <m:e>
                      <m:r>
                        <w:rPr>
                          <w:rFonts w:ascii="Cambria Math" w:hAnsi="Cambria Math" w:cs="Times New Roman"/>
                          <w:color w:val="000000" w:themeColor="text1"/>
                          <w:szCs w:val="21"/>
                        </w:rPr>
                        <m:t>-kt</m:t>
                      </m:r>
                    </m:e>
                  </m:d>
                </m:e>
              </m:d>
              <m:r>
                <w:rPr>
                  <w:rFonts w:ascii="Cambria Math" w:hAnsi="Cambria Math" w:cs="Times New Roman"/>
                  <w:color w:val="000000" w:themeColor="text1"/>
                  <w:szCs w:val="21"/>
                </w:rPr>
                <m:t>#(1)</m:t>
              </m:r>
            </m:e>
          </m:eqArr>
        </m:oMath>
      </m:oMathPara>
    </w:p>
    <w:p w14:paraId="491A4EB5" w14:textId="77777777" w:rsidR="00E87902" w:rsidRPr="006342C9" w:rsidRDefault="00E87902" w:rsidP="00E87902">
      <w:pPr>
        <w:spacing w:after="200"/>
        <w:rPr>
          <w:rFonts w:ascii="Times New Roman" w:hAnsi="Times New Roman" w:cs="Times New Roman"/>
          <w:color w:val="000000" w:themeColor="text1"/>
          <w:szCs w:val="21"/>
        </w:rPr>
      </w:pPr>
      <w:bookmarkStart w:id="4" w:name="OLE_LINK14"/>
      <w:r w:rsidRPr="006342C9">
        <w:rPr>
          <w:rFonts w:ascii="Times New Roman" w:hAnsi="Times New Roman" w:cs="Times New Roman"/>
          <w:color w:val="000000" w:themeColor="text1"/>
          <w:szCs w:val="21"/>
        </w:rPr>
        <w:t xml:space="preserve">where </w:t>
      </w:r>
      <w:r w:rsidRPr="006342C9">
        <w:rPr>
          <w:rFonts w:ascii="Times New Roman" w:hAnsi="Times New Roman" w:cs="Times New Roman"/>
          <w:i/>
          <w:color w:val="000000" w:themeColor="text1"/>
          <w:szCs w:val="21"/>
        </w:rPr>
        <w:t>H</w:t>
      </w:r>
      <w:r w:rsidRPr="006342C9">
        <w:rPr>
          <w:rFonts w:ascii="Times New Roman" w:hAnsi="Times New Roman" w:cs="Times New Roman"/>
          <w:color w:val="000000" w:themeColor="text1"/>
          <w:szCs w:val="21"/>
          <w:vertAlign w:val="subscript"/>
        </w:rPr>
        <w:t>t</w:t>
      </w:r>
      <w:r w:rsidRPr="006342C9">
        <w:rPr>
          <w:rFonts w:ascii="Times New Roman" w:hAnsi="Times New Roman" w:cs="Times New Roman"/>
          <w:color w:val="000000" w:themeColor="text1"/>
          <w:szCs w:val="21"/>
        </w:rPr>
        <w:t xml:space="preserve"> is the amount of </w:t>
      </w:r>
      <w:bookmarkStart w:id="5" w:name="OLE_LINK15"/>
      <w:r w:rsidRPr="006342C9">
        <w:rPr>
          <w:rFonts w:ascii="Times New Roman" w:hAnsi="Times New Roman" w:cs="Times New Roman"/>
          <w:color w:val="000000" w:themeColor="text1"/>
          <w:szCs w:val="21"/>
        </w:rPr>
        <w:t>hybridization yield</w:t>
      </w:r>
      <w:bookmarkEnd w:id="5"/>
      <w:r w:rsidRPr="006342C9">
        <w:rPr>
          <w:rFonts w:ascii="Times New Roman" w:hAnsi="Times New Roman" w:cs="Times New Roman"/>
          <w:color w:val="000000" w:themeColor="text1"/>
          <w:szCs w:val="21"/>
        </w:rPr>
        <w:t xml:space="preserve"> at time </w:t>
      </w:r>
      <w:r w:rsidRPr="006342C9">
        <w:rPr>
          <w:rFonts w:ascii="Times New Roman" w:hAnsi="Times New Roman" w:cs="Times New Roman"/>
          <w:i/>
          <w:color w:val="000000" w:themeColor="text1"/>
          <w:szCs w:val="21"/>
        </w:rPr>
        <w:t>t</w:t>
      </w:r>
      <w:r w:rsidRPr="006342C9">
        <w:rPr>
          <w:rFonts w:ascii="Times New Roman" w:hAnsi="Times New Roman" w:cs="Times New Roman"/>
          <w:color w:val="000000" w:themeColor="text1"/>
          <w:szCs w:val="21"/>
        </w:rPr>
        <w:t xml:space="preserve">, </w:t>
      </w:r>
      <w:r w:rsidRPr="006342C9">
        <w:rPr>
          <w:rFonts w:ascii="Times New Roman" w:hAnsi="Times New Roman" w:cs="Times New Roman"/>
          <w:i/>
          <w:color w:val="000000" w:themeColor="text1"/>
          <w:szCs w:val="21"/>
        </w:rPr>
        <w:t>H</w:t>
      </w:r>
      <w:r w:rsidRPr="006342C9">
        <w:rPr>
          <w:rFonts w:ascii="Times New Roman" w:hAnsi="Times New Roman" w:cs="Times New Roman"/>
          <w:color w:val="000000" w:themeColor="text1"/>
          <w:szCs w:val="21"/>
          <w:vertAlign w:val="subscript"/>
        </w:rPr>
        <w:t>e</w:t>
      </w:r>
      <w:r w:rsidRPr="006342C9">
        <w:rPr>
          <w:rFonts w:ascii="Times New Roman" w:hAnsi="Times New Roman" w:cs="Times New Roman"/>
          <w:color w:val="000000" w:themeColor="text1"/>
          <w:szCs w:val="21"/>
        </w:rPr>
        <w:t xml:space="preserve"> is the hybridization yield at equilibrium and </w:t>
      </w:r>
      <w:r w:rsidRPr="006342C9">
        <w:rPr>
          <w:rFonts w:ascii="Times New Roman" w:hAnsi="Times New Roman" w:cs="Times New Roman"/>
          <w:i/>
          <w:color w:val="000000" w:themeColor="text1"/>
          <w:szCs w:val="21"/>
        </w:rPr>
        <w:t>k</w:t>
      </w:r>
      <w:r w:rsidRPr="006342C9">
        <w:rPr>
          <w:rFonts w:ascii="Times New Roman" w:hAnsi="Times New Roman" w:cs="Times New Roman"/>
          <w:color w:val="000000" w:themeColor="text1"/>
          <w:szCs w:val="21"/>
        </w:rPr>
        <w:t xml:space="preserve"> is the pseudo-first-order rate constant.</w:t>
      </w:r>
      <w:bookmarkEnd w:id="4"/>
      <w:r w:rsidRPr="006342C9">
        <w:rPr>
          <w:rFonts w:ascii="Times New Roman" w:hAnsi="Times New Roman" w:cs="Times New Roman"/>
          <w:color w:val="000000" w:themeColor="text1"/>
          <w:szCs w:val="21"/>
        </w:rPr>
        <w:t xml:space="preserve"> The rate constants were estimated to be </w:t>
      </w:r>
      <w:r w:rsidRPr="006342C9">
        <w:rPr>
          <w:rFonts w:ascii="Times New Roman" w:hAnsi="Times New Roman" w:cs="Times New Roman"/>
          <w:i/>
          <w:color w:val="000000" w:themeColor="text1"/>
          <w:szCs w:val="21"/>
        </w:rPr>
        <w:t>k</w:t>
      </w:r>
      <w:r w:rsidRPr="006342C9">
        <w:rPr>
          <w:rFonts w:ascii="Times New Roman" w:hAnsi="Times New Roman" w:cs="Times New Roman"/>
          <w:color w:val="000000" w:themeColor="text1"/>
          <w:szCs w:val="21"/>
        </w:rPr>
        <w:t xml:space="preserve"> = 1.36×10</w:t>
      </w:r>
      <w:r w:rsidRPr="006342C9">
        <w:rPr>
          <w:rFonts w:ascii="Times New Roman" w:hAnsi="Times New Roman" w:cs="Times New Roman"/>
          <w:color w:val="000000" w:themeColor="text1"/>
          <w:szCs w:val="21"/>
          <w:vertAlign w:val="superscript"/>
        </w:rPr>
        <w:t>-1</w:t>
      </w:r>
      <w:r w:rsidRPr="006342C9">
        <w:rPr>
          <w:rFonts w:ascii="Times New Roman" w:hAnsi="Times New Roman" w:cs="Times New Roman"/>
          <w:color w:val="000000" w:themeColor="text1"/>
          <w:szCs w:val="21"/>
        </w:rPr>
        <w:t xml:space="preserve"> ± 3.24×10</w:t>
      </w:r>
      <w:r w:rsidRPr="006342C9">
        <w:rPr>
          <w:rFonts w:ascii="Times New Roman" w:hAnsi="Times New Roman" w:cs="Times New Roman"/>
          <w:color w:val="000000" w:themeColor="text1"/>
          <w:szCs w:val="21"/>
          <w:vertAlign w:val="superscript"/>
        </w:rPr>
        <w:t xml:space="preserve">-3 </w:t>
      </w:r>
      <w:r w:rsidRPr="006342C9">
        <w:rPr>
          <w:rFonts w:ascii="Times New Roman" w:hAnsi="Times New Roman" w:cs="Times New Roman"/>
          <w:color w:val="000000" w:themeColor="text1"/>
          <w:szCs w:val="21"/>
        </w:rPr>
        <w:t>s</w:t>
      </w:r>
      <w:r w:rsidRPr="006342C9">
        <w:rPr>
          <w:rFonts w:ascii="Times New Roman" w:hAnsi="Times New Roman" w:cs="Times New Roman"/>
          <w:color w:val="000000" w:themeColor="text1"/>
          <w:szCs w:val="21"/>
          <w:vertAlign w:val="superscript"/>
        </w:rPr>
        <w:t>-1</w:t>
      </w:r>
      <w:r w:rsidRPr="006342C9">
        <w:rPr>
          <w:rFonts w:ascii="Times New Roman" w:hAnsi="Times New Roman" w:cs="Times New Roman"/>
          <w:color w:val="000000" w:themeColor="text1"/>
          <w:szCs w:val="21"/>
        </w:rPr>
        <w:t xml:space="preserve"> and 7.32×10</w:t>
      </w:r>
      <w:r w:rsidRPr="006342C9">
        <w:rPr>
          <w:rFonts w:ascii="Times New Roman" w:hAnsi="Times New Roman" w:cs="Times New Roman"/>
          <w:color w:val="000000" w:themeColor="text1"/>
          <w:szCs w:val="21"/>
          <w:vertAlign w:val="superscript"/>
        </w:rPr>
        <w:t>-2</w:t>
      </w:r>
      <w:r w:rsidRPr="006342C9">
        <w:rPr>
          <w:rFonts w:ascii="Times New Roman" w:hAnsi="Times New Roman" w:cs="Times New Roman"/>
          <w:color w:val="000000" w:themeColor="text1"/>
          <w:szCs w:val="21"/>
        </w:rPr>
        <w:t xml:space="preserve"> ± 1.94×10</w:t>
      </w:r>
      <w:r w:rsidRPr="006342C9">
        <w:rPr>
          <w:rFonts w:ascii="Times New Roman" w:hAnsi="Times New Roman" w:cs="Times New Roman"/>
          <w:color w:val="000000" w:themeColor="text1"/>
          <w:szCs w:val="21"/>
          <w:vertAlign w:val="superscript"/>
        </w:rPr>
        <w:t>-3</w:t>
      </w:r>
      <w:r w:rsidRPr="006342C9">
        <w:rPr>
          <w:rFonts w:ascii="Times New Roman" w:hAnsi="Times New Roman" w:cs="Times New Roman"/>
          <w:color w:val="000000" w:themeColor="text1"/>
          <w:szCs w:val="21"/>
        </w:rPr>
        <w:t xml:space="preserve"> s</w:t>
      </w:r>
      <w:r w:rsidRPr="006342C9">
        <w:rPr>
          <w:rFonts w:ascii="Times New Roman" w:hAnsi="Times New Roman" w:cs="Times New Roman"/>
          <w:color w:val="000000" w:themeColor="text1"/>
          <w:szCs w:val="21"/>
          <w:vertAlign w:val="superscript"/>
        </w:rPr>
        <w:t>-1</w:t>
      </w:r>
      <w:r w:rsidRPr="006342C9">
        <w:rPr>
          <w:rFonts w:ascii="Times New Roman" w:hAnsi="Times New Roman" w:cs="Times New Roman"/>
          <w:color w:val="000000" w:themeColor="text1"/>
          <w:szCs w:val="21"/>
        </w:rPr>
        <w:t xml:space="preserve"> (mean ± SD) for the unstructured and hairpin probes, respectively. </w:t>
      </w:r>
      <w:bookmarkStart w:id="6" w:name="OLE_LINK16"/>
      <w:r w:rsidRPr="006342C9">
        <w:rPr>
          <w:rFonts w:ascii="Times New Roman" w:hAnsi="Times New Roman" w:cs="Times New Roman"/>
          <w:color w:val="000000" w:themeColor="text1"/>
          <w:szCs w:val="21"/>
        </w:rPr>
        <w:t>This represents at least one order of magnitude difference in reaction rates, thus providing an estimate of selectively toehold binding between unfolded and folded hairpin structures.</w:t>
      </w:r>
      <w:bookmarkEnd w:id="6"/>
      <w:r w:rsidRPr="006342C9">
        <w:rPr>
          <w:rFonts w:ascii="Times New Roman" w:hAnsi="Times New Roman" w:cs="Times New Roman"/>
          <w:color w:val="000000" w:themeColor="text1"/>
        </w:rPr>
        <w:t xml:space="preserve"> Data represent mean ± s.e.m. for 3 independent experiments.</w:t>
      </w:r>
    </w:p>
    <w:p w14:paraId="114A4DA6" w14:textId="77777777" w:rsidR="00E87902" w:rsidRPr="006342C9" w:rsidRDefault="00E87902" w:rsidP="00E87902">
      <w:pPr>
        <w:jc w:val="center"/>
        <w:rPr>
          <w:rFonts w:ascii="Times New Roman" w:hAnsi="Times New Roman" w:cs="Times New Roman"/>
          <w:b/>
          <w:bCs/>
          <w:color w:val="000000" w:themeColor="text1"/>
          <w:szCs w:val="21"/>
        </w:rPr>
      </w:pPr>
      <w:r w:rsidRPr="006342C9">
        <w:rPr>
          <w:rFonts w:ascii="Times New Roman" w:hAnsi="Times New Roman" w:cs="Times New Roman"/>
          <w:b/>
          <w:bCs/>
          <w:noProof/>
          <w:color w:val="000000" w:themeColor="text1"/>
          <w:szCs w:val="21"/>
        </w:rPr>
        <w:lastRenderedPageBreak/>
        <w:drawing>
          <wp:inline distT="0" distB="0" distL="0" distR="0" wp14:anchorId="0E1E2B3E" wp14:editId="366D901D">
            <wp:extent cx="3960000" cy="3270843"/>
            <wp:effectExtent l="0" t="0" r="2540" b="63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rotWithShape="1">
                    <a:blip r:embed="rId7">
                      <a:extLst>
                        <a:ext uri="{28A0092B-C50C-407E-A947-70E740481C1C}">
                          <a14:useLocalDpi xmlns:a14="http://schemas.microsoft.com/office/drawing/2010/main"/>
                        </a:ext>
                      </a:extLst>
                    </a:blip>
                    <a:srcRect/>
                    <a:stretch/>
                  </pic:blipFill>
                  <pic:spPr bwMode="auto">
                    <a:xfrm>
                      <a:off x="0" y="0"/>
                      <a:ext cx="3960000" cy="3270843"/>
                    </a:xfrm>
                    <a:prstGeom prst="rect">
                      <a:avLst/>
                    </a:prstGeom>
                    <a:ln>
                      <a:noFill/>
                    </a:ln>
                    <a:extLst>
                      <a:ext uri="{53640926-AAD7-44D8-BBD7-CCE9431645EC}">
                        <a14:shadowObscured xmlns:a14="http://schemas.microsoft.com/office/drawing/2010/main"/>
                      </a:ext>
                    </a:extLst>
                  </pic:spPr>
                </pic:pic>
              </a:graphicData>
            </a:graphic>
          </wp:inline>
        </w:drawing>
      </w:r>
    </w:p>
    <w:bookmarkEnd w:id="3"/>
    <w:p w14:paraId="6A918F40"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6D31820F" w14:textId="77777777" w:rsidR="00E87902" w:rsidRPr="006342C9" w:rsidRDefault="00E87902" w:rsidP="00E87902">
      <w:pPr>
        <w:spacing w:after="200"/>
        <w:rPr>
          <w:rFonts w:ascii="Times New Roman" w:hAnsi="Times New Roman" w:cs="Times New Roman"/>
          <w:color w:val="000000" w:themeColor="text1"/>
          <w:szCs w:val="21"/>
        </w:rPr>
      </w:pPr>
      <w:bookmarkStart w:id="7" w:name="_Hlk124629812"/>
      <w:r w:rsidRPr="006342C9">
        <w:rPr>
          <w:rFonts w:ascii="Times New Roman" w:hAnsi="Times New Roman" w:cs="Times New Roman"/>
          <w:b/>
          <w:bCs/>
          <w:color w:val="000000" w:themeColor="text1"/>
          <w:szCs w:val="21"/>
        </w:rPr>
        <w:lastRenderedPageBreak/>
        <w:t xml:space="preserve">Extended Data Fig. 5 </w:t>
      </w:r>
      <w:bookmarkEnd w:id="7"/>
      <w:r w:rsidRPr="006342C9">
        <w:rPr>
          <w:rFonts w:ascii="Times New Roman" w:hAnsi="Times New Roman" w:cs="Times New Roman"/>
          <w:b/>
          <w:bCs/>
          <w:color w:val="000000" w:themeColor="text1"/>
          <w:szCs w:val="21"/>
        </w:rPr>
        <w:t xml:space="preserve">Time-lapsed imaging of intercellular force signal with competition with excess free cRGD peptide or integrin αvβ3 protein. (a) </w:t>
      </w:r>
      <w:r w:rsidRPr="006342C9">
        <w:rPr>
          <w:rFonts w:ascii="Times New Roman" w:hAnsi="Times New Roman" w:cs="Times New Roman"/>
          <w:color w:val="000000" w:themeColor="text1"/>
          <w:szCs w:val="21"/>
        </w:rPr>
        <w:t xml:space="preserve">NIH3T3 cells were incubated with 1 µM cholesterol-conjugated cRGD-S and T modules for 30 min followed by treatments with 100 µM soluble cRGDfk peptide or 1 µM </w:t>
      </w:r>
      <w:bookmarkStart w:id="8" w:name="_Hlk124629693"/>
      <w:r w:rsidRPr="006342C9">
        <w:rPr>
          <w:rFonts w:ascii="Times New Roman" w:hAnsi="Times New Roman" w:cs="Times New Roman"/>
          <w:color w:val="000000" w:themeColor="text1"/>
          <w:szCs w:val="21"/>
        </w:rPr>
        <w:t xml:space="preserve">integrin </w:t>
      </w:r>
      <w:r w:rsidRPr="006342C9">
        <w:rPr>
          <w:rFonts w:ascii="Symbol" w:hAnsi="Symbol" w:cs="Times New Roman"/>
          <w:color w:val="000000" w:themeColor="text1"/>
          <w:szCs w:val="21"/>
        </w:rPr>
        <w:t>a</w:t>
      </w:r>
      <w:r w:rsidRPr="006342C9">
        <w:rPr>
          <w:rFonts w:ascii="Times New Roman" w:hAnsi="Times New Roman" w:cs="Times New Roman"/>
          <w:color w:val="000000" w:themeColor="text1"/>
          <w:szCs w:val="21"/>
        </w:rPr>
        <w:t>vβ3 protein</w:t>
      </w:r>
      <w:bookmarkEnd w:id="8"/>
      <w:r w:rsidRPr="006342C9">
        <w:rPr>
          <w:rFonts w:ascii="Times New Roman" w:hAnsi="Times New Roman" w:cs="Times New Roman"/>
          <w:color w:val="000000" w:themeColor="text1"/>
          <w:szCs w:val="21"/>
        </w:rPr>
        <w:t xml:space="preserve">. Fluorescence images were collected at 0, 4, 10 and 16 min under CLSM. Scale bar, 10 µm.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Quantitative analysis for fluorescent intensities between cell-cell junctions at different durations. The intercellular force-sensing signal was greatly inhibited under the competition with cRGDfk peptide or integrin protein, confirming that the tensile force is mediated by integrins. Three distinct cell-cell junctions were imaged for each time point, and the mean intensity was plotted with time. </w:t>
      </w:r>
      <w:r w:rsidRPr="006342C9">
        <w:rPr>
          <w:rFonts w:ascii="Times New Roman" w:hAnsi="Times New Roman" w:cs="Times New Roman"/>
          <w:color w:val="000000" w:themeColor="text1"/>
        </w:rPr>
        <w:t>Data represent mean ± s.e.m. for 3 independent experiments.</w:t>
      </w:r>
    </w:p>
    <w:p w14:paraId="1F57644D"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243E70EB" wp14:editId="0A7EACAF">
            <wp:extent cx="5505450" cy="227266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rotWithShape="1">
                    <a:blip r:embed="rId8">
                      <a:extLst>
                        <a:ext uri="{28A0092B-C50C-407E-A947-70E740481C1C}">
                          <a14:useLocalDpi xmlns:a14="http://schemas.microsoft.com/office/drawing/2010/main"/>
                        </a:ext>
                      </a:extLst>
                    </a:blip>
                    <a:srcRect/>
                    <a:stretch/>
                  </pic:blipFill>
                  <pic:spPr bwMode="auto">
                    <a:xfrm>
                      <a:off x="0" y="0"/>
                      <a:ext cx="5508057" cy="2273741"/>
                    </a:xfrm>
                    <a:prstGeom prst="rect">
                      <a:avLst/>
                    </a:prstGeom>
                    <a:ln>
                      <a:noFill/>
                    </a:ln>
                    <a:extLst>
                      <a:ext uri="{53640926-AAD7-44D8-BBD7-CCE9431645EC}">
                        <a14:shadowObscured xmlns:a14="http://schemas.microsoft.com/office/drawing/2010/main"/>
                      </a:ext>
                    </a:extLst>
                  </pic:spPr>
                </pic:pic>
              </a:graphicData>
            </a:graphic>
          </wp:inline>
        </w:drawing>
      </w:r>
    </w:p>
    <w:p w14:paraId="76AF9258"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488E38E6"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6 Visualization of cRGD-AMR-c-Met system upon sensing and transmitting integrin-mediated intercellular force on Hela cells. (a)</w:t>
      </w:r>
      <w:r w:rsidRPr="006342C9">
        <w:rPr>
          <w:rFonts w:ascii="Times New Roman" w:hAnsi="Times New Roman" w:cs="Times New Roman"/>
          <w:color w:val="000000" w:themeColor="text1"/>
          <w:szCs w:val="21"/>
        </w:rPr>
        <w:t xml:space="preserve"> Representative images of brightfield, FAM and TAMRA channels for the Hela cells treated with no cRGD conjugated AMR (nRGD-AMR) and cRGD-AMR (400 nM). For the </w:t>
      </w:r>
      <w:r w:rsidRPr="006342C9">
        <w:rPr>
          <w:rFonts w:ascii="Times New Roman" w:hAnsi="Times New Roman" w:cs="Times New Roman" w:hint="eastAsia"/>
          <w:color w:val="000000" w:themeColor="text1"/>
          <w:szCs w:val="21"/>
        </w:rPr>
        <w:t>a</w:t>
      </w:r>
      <w:r w:rsidRPr="006342C9">
        <w:rPr>
          <w:rFonts w:ascii="Times New Roman" w:hAnsi="Times New Roman" w:cs="Times New Roman"/>
          <w:color w:val="000000" w:themeColor="text1"/>
          <w:szCs w:val="21"/>
        </w:rPr>
        <w:t xml:space="preserve">ctomyosin inhibition, Hela cells were pre-treated with blebbistatin (15 µM) for 10 min before the addition of cRGD-AMR-c-Met. Scale bar, 10 µm.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Quantification of junctional fluorescence in TAMRA channels to characterize the F-TSDR at cell-cell junctions. Data represent mean ± S.D. (n = 10). </w:t>
      </w:r>
      <w:r w:rsidRPr="006342C9">
        <w:rPr>
          <w:rFonts w:ascii="Times New Roman" w:hAnsi="Times New Roman" w:cs="Times New Roman"/>
          <w:color w:val="000000" w:themeColor="text1"/>
          <w:vertAlign w:val="superscript"/>
        </w:rPr>
        <w:t>***</w:t>
      </w:r>
      <w:r w:rsidRPr="006342C9">
        <w:rPr>
          <w:rFonts w:ascii="Times New Roman" w:hAnsi="Times New Roman" w:cs="Times New Roman"/>
          <w:i/>
          <w:color w:val="000000" w:themeColor="text1"/>
        </w:rPr>
        <w:t>P</w:t>
      </w:r>
      <w:r w:rsidRPr="006342C9">
        <w:rPr>
          <w:rFonts w:ascii="Times New Roman" w:hAnsi="Times New Roman" w:cs="Times New Roman"/>
          <w:color w:val="000000" w:themeColor="text1"/>
        </w:rPr>
        <w:t> &lt; 0.001 (unpaired two-tailed Student’s t-test).</w:t>
      </w:r>
    </w:p>
    <w:p w14:paraId="13299E02"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38B369BA" wp14:editId="55EBC83B">
            <wp:extent cx="4680000" cy="2410847"/>
            <wp:effectExtent l="0" t="0" r="635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rotWithShape="1">
                    <a:blip r:embed="rId9">
                      <a:extLst>
                        <a:ext uri="{28A0092B-C50C-407E-A947-70E740481C1C}">
                          <a14:useLocalDpi xmlns:a14="http://schemas.microsoft.com/office/drawing/2010/main"/>
                        </a:ext>
                      </a:extLst>
                    </a:blip>
                    <a:srcRect/>
                    <a:stretch/>
                  </pic:blipFill>
                  <pic:spPr bwMode="auto">
                    <a:xfrm>
                      <a:off x="0" y="0"/>
                      <a:ext cx="4680000" cy="2410847"/>
                    </a:xfrm>
                    <a:prstGeom prst="rect">
                      <a:avLst/>
                    </a:prstGeom>
                    <a:ln>
                      <a:noFill/>
                    </a:ln>
                    <a:extLst>
                      <a:ext uri="{53640926-AAD7-44D8-BBD7-CCE9431645EC}">
                        <a14:shadowObscured xmlns:a14="http://schemas.microsoft.com/office/drawing/2010/main"/>
                      </a:ext>
                    </a:extLst>
                  </pic:spPr>
                </pic:pic>
              </a:graphicData>
            </a:graphic>
          </wp:inline>
        </w:drawing>
      </w:r>
    </w:p>
    <w:p w14:paraId="3E9F6D05"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05263ECC"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7 Visualization of F-TSDR and ERK response activity of living cells.</w:t>
      </w:r>
      <w:r w:rsidRPr="006342C9">
        <w:rPr>
          <w:rFonts w:ascii="Times New Roman" w:hAnsi="Times New Roman" w:cs="Times New Roman"/>
          <w:color w:val="000000" w:themeColor="text1"/>
          <w:szCs w:val="21"/>
        </w:rPr>
        <w:t xml:space="preserve"> Hela cells were transfected with ERK-KTR for 24 h, followed by treatment of cRGD-AMR-c-Met (400 nM) or HGF (2 nM). Cells were pre-treated with 100 nM foretinib for 2 h to inhibit the kinase activity of c-Met. Time-lapsed images were collected to track the ERK-KTR translocation and TAMRA fluorescence change. The </w:t>
      </w:r>
      <w:r w:rsidRPr="006342C9">
        <w:rPr>
          <w:rFonts w:ascii="Times New Roman" w:hAnsi="Times New Roman" w:cs="Times New Roman"/>
          <w:i/>
          <w:color w:val="000000" w:themeColor="text1"/>
          <w:szCs w:val="21"/>
        </w:rPr>
        <w:t>white arrows</w:t>
      </w:r>
      <w:r w:rsidRPr="006342C9">
        <w:rPr>
          <w:rFonts w:ascii="Times New Roman" w:hAnsi="Times New Roman" w:cs="Times New Roman"/>
          <w:color w:val="000000" w:themeColor="text1"/>
          <w:szCs w:val="21"/>
        </w:rPr>
        <w:t xml:space="preserve"> indicate the cells experiencing nucleus-to-cytosol translocation of ERK-KTR. Scale bar, 10 µm.</w:t>
      </w:r>
    </w:p>
    <w:p w14:paraId="2743D3C1"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516D5A19" wp14:editId="6B2642AD">
            <wp:extent cx="2857500" cy="2717165"/>
            <wp:effectExtent l="0" t="0" r="0"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rotWithShape="1">
                    <a:blip r:embed="rId10">
                      <a:extLst>
                        <a:ext uri="{28A0092B-C50C-407E-A947-70E740481C1C}">
                          <a14:useLocalDpi xmlns:a14="http://schemas.microsoft.com/office/drawing/2010/main"/>
                        </a:ext>
                      </a:extLst>
                    </a:blip>
                    <a:srcRect/>
                    <a:stretch/>
                  </pic:blipFill>
                  <pic:spPr bwMode="auto">
                    <a:xfrm>
                      <a:off x="0" y="0"/>
                      <a:ext cx="2858687" cy="2718294"/>
                    </a:xfrm>
                    <a:prstGeom prst="rect">
                      <a:avLst/>
                    </a:prstGeom>
                    <a:ln>
                      <a:noFill/>
                    </a:ln>
                    <a:extLst>
                      <a:ext uri="{53640926-AAD7-44D8-BBD7-CCE9431645EC}">
                        <a14:shadowObscured xmlns:a14="http://schemas.microsoft.com/office/drawing/2010/main"/>
                      </a:ext>
                    </a:extLst>
                  </pic:spPr>
                </pic:pic>
              </a:graphicData>
            </a:graphic>
          </wp:inline>
        </w:drawing>
      </w:r>
    </w:p>
    <w:p w14:paraId="701F5D11"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r w:rsidRPr="006342C9">
        <w:rPr>
          <w:rFonts w:ascii="Times New Roman" w:hAnsi="Times New Roman" w:cs="Times New Roman"/>
          <w:b/>
          <w:bCs/>
          <w:color w:val="000000" w:themeColor="text1"/>
          <w:szCs w:val="21"/>
        </w:rPr>
        <w:lastRenderedPageBreak/>
        <w:t>Extended Data Fig. 8</w:t>
      </w:r>
      <w:r w:rsidRPr="006342C9">
        <w:rPr>
          <w:rFonts w:ascii="Times New Roman" w:hAnsi="Times New Roman" w:cs="Times New Roman"/>
          <w:color w:val="000000" w:themeColor="text1"/>
          <w:szCs w:val="21"/>
        </w:rPr>
        <w:t xml:space="preserve"> </w:t>
      </w:r>
      <w:r w:rsidRPr="006342C9">
        <w:rPr>
          <w:rFonts w:ascii="Times New Roman" w:hAnsi="Times New Roman" w:cs="Times New Roman"/>
          <w:b/>
          <w:bCs/>
          <w:color w:val="000000" w:themeColor="text1"/>
          <w:szCs w:val="21"/>
        </w:rPr>
        <w:t xml:space="preserve">Customized AMR with responsiveness to the E-cadherin-mediated force input. </w:t>
      </w:r>
      <w:r w:rsidRPr="006342C9">
        <w:rPr>
          <w:rFonts w:ascii="Times New Roman" w:hAnsi="Times New Roman" w:cs="Times New Roman"/>
          <w:color w:val="000000" w:themeColor="text1"/>
          <w:szCs w:val="21"/>
        </w:rPr>
        <w:t>Western blotting showed the</w:t>
      </w:r>
      <w:r w:rsidRPr="006342C9">
        <w:rPr>
          <w:color w:val="000000" w:themeColor="text1"/>
        </w:rPr>
        <w:t xml:space="preserve"> </w:t>
      </w:r>
      <w:r w:rsidRPr="006342C9">
        <w:rPr>
          <w:rFonts w:ascii="Times New Roman" w:hAnsi="Times New Roman" w:cs="Times New Roman"/>
          <w:color w:val="000000" w:themeColor="text1"/>
          <w:szCs w:val="21"/>
        </w:rPr>
        <w:t>c-Met phosphorylation (Tyr1234/Tyr1235) and ERK phosphorylation (Thr202/Tyr204) in the lysates of Hela cells with indicated treatments. The α-tubulin was used as an internal reference. E-cad-AMR-S represent the control in the absence of AMR-T.</w:t>
      </w:r>
    </w:p>
    <w:p w14:paraId="7E4239BA"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35D8DFA2" wp14:editId="5C081C32">
            <wp:extent cx="5400000" cy="150944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1">
                      <a:extLst>
                        <a:ext uri="{28A0092B-C50C-407E-A947-70E740481C1C}">
                          <a14:useLocalDpi xmlns:a14="http://schemas.microsoft.com/office/drawing/2010/main"/>
                        </a:ext>
                      </a:extLst>
                    </a:blip>
                    <a:srcRect/>
                    <a:stretch/>
                  </pic:blipFill>
                  <pic:spPr bwMode="auto">
                    <a:xfrm>
                      <a:off x="0" y="0"/>
                      <a:ext cx="5400000" cy="1509449"/>
                    </a:xfrm>
                    <a:prstGeom prst="rect">
                      <a:avLst/>
                    </a:prstGeom>
                    <a:ln>
                      <a:noFill/>
                    </a:ln>
                    <a:extLst>
                      <a:ext uri="{53640926-AAD7-44D8-BBD7-CCE9431645EC}">
                        <a14:shadowObscured xmlns:a14="http://schemas.microsoft.com/office/drawing/2010/main"/>
                      </a:ext>
                    </a:extLst>
                  </pic:spPr>
                </pic:pic>
              </a:graphicData>
            </a:graphic>
          </wp:inline>
        </w:drawing>
      </w:r>
    </w:p>
    <w:p w14:paraId="4DAD8BC8"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15D85133"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9 Customized AMR responding to CI-M6PR endocytosis force input. (a)</w:t>
      </w:r>
      <w:r w:rsidRPr="006342C9">
        <w:rPr>
          <w:rFonts w:ascii="Times New Roman" w:hAnsi="Times New Roman" w:cs="Times New Roman"/>
          <w:color w:val="000000" w:themeColor="text1"/>
          <w:szCs w:val="21"/>
        </w:rPr>
        <w:t xml:space="preserve"> Representative images for the Hela cells engineered with nCI-M6PR-AMR-c-Met (nC-AMR), random sequence-AMR-c-Met (C-AMR with random ligand), and CI-M6PR-AMR-c-Met (C-AMR, 400 nM) are shown in brightfield, FAM and TAMRA channels. For the</w:t>
      </w:r>
      <w:r w:rsidRPr="006342C9">
        <w:rPr>
          <w:color w:val="000000" w:themeColor="text1"/>
        </w:rPr>
        <w:t xml:space="preserve"> </w:t>
      </w:r>
      <w:r w:rsidRPr="006342C9">
        <w:rPr>
          <w:rFonts w:ascii="Times New Roman" w:hAnsi="Times New Roman" w:cs="Times New Roman"/>
          <w:color w:val="000000" w:themeColor="text1"/>
          <w:szCs w:val="21"/>
        </w:rPr>
        <w:t>endocytosis inhibition, cells were pre-treated with Pitstop (30 µM) for 10 min</w:t>
      </w:r>
      <w:r w:rsidRPr="006342C9">
        <w:rPr>
          <w:rFonts w:ascii="Times New Roman" w:hAnsi="Times New Roman" w:cs="Times New Roman"/>
          <w:color w:val="000000" w:themeColor="text1"/>
        </w:rPr>
        <w:t xml:space="preserve"> </w:t>
      </w:r>
      <w:r w:rsidRPr="006342C9">
        <w:rPr>
          <w:rFonts w:ascii="Times New Roman" w:hAnsi="Times New Roman" w:cs="Times New Roman"/>
          <w:color w:val="000000" w:themeColor="text1"/>
          <w:szCs w:val="21"/>
        </w:rPr>
        <w:t xml:space="preserve">before CI-M6PR-AMR-c-Met functionalization (C-AMR + Pitstop). For the ligand competition control, cells were pre-treated with CI-M6PR aptamers (2 µM) for 30 min before CI-M6PR-AMR-c-Met functionalization (C-AMR with ligand competition). Scale bar, 10 µm.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Western blotting showed the c-Met phosphorylation (Tyr1234/Tyr1235) and ERK phosphorylation (Thr202/Tyr204) in the lysates of Hela cells with indicated treatments. The α-tubulin was used as an internal reference. C-AMR-S represent the control in the absence of AMR-T.</w:t>
      </w:r>
    </w:p>
    <w:p w14:paraId="26AFC754"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3E2E9BE8" wp14:editId="1D1FE2C8">
            <wp:extent cx="4464050" cy="36576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12">
                      <a:extLst>
                        <a:ext uri="{28A0092B-C50C-407E-A947-70E740481C1C}">
                          <a14:useLocalDpi xmlns:a14="http://schemas.microsoft.com/office/drawing/2010/main"/>
                        </a:ext>
                      </a:extLst>
                    </a:blip>
                    <a:srcRect/>
                    <a:stretch/>
                  </pic:blipFill>
                  <pic:spPr bwMode="auto">
                    <a:xfrm>
                      <a:off x="0" y="0"/>
                      <a:ext cx="4464050" cy="3657600"/>
                    </a:xfrm>
                    <a:prstGeom prst="rect">
                      <a:avLst/>
                    </a:prstGeom>
                    <a:ln>
                      <a:noFill/>
                    </a:ln>
                    <a:extLst>
                      <a:ext uri="{53640926-AAD7-44D8-BBD7-CCE9431645EC}">
                        <a14:shadowObscured xmlns:a14="http://schemas.microsoft.com/office/drawing/2010/main"/>
                      </a:ext>
                    </a:extLst>
                  </pic:spPr>
                </pic:pic>
              </a:graphicData>
            </a:graphic>
          </wp:inline>
        </w:drawing>
      </w:r>
    </w:p>
    <w:p w14:paraId="407EA507" w14:textId="77777777" w:rsidR="00E87902" w:rsidRPr="006342C9" w:rsidRDefault="00E87902" w:rsidP="00E87902">
      <w:pPr>
        <w:widowControl/>
        <w:rPr>
          <w:rFonts w:ascii="Times New Roman" w:hAnsi="Times New Roman" w:cs="Times New Roman"/>
          <w:color w:val="000000" w:themeColor="text1"/>
          <w:szCs w:val="21"/>
        </w:rPr>
      </w:pPr>
      <w:r w:rsidRPr="006342C9">
        <w:rPr>
          <w:rFonts w:ascii="Times New Roman" w:hAnsi="Times New Roman" w:cs="Times New Roman"/>
          <w:color w:val="000000" w:themeColor="text1"/>
          <w:szCs w:val="21"/>
        </w:rPr>
        <w:br w:type="page"/>
      </w:r>
    </w:p>
    <w:p w14:paraId="558DCA45" w14:textId="77777777" w:rsidR="00E87902" w:rsidRPr="006342C9" w:rsidRDefault="00E87902" w:rsidP="00E87902">
      <w:pPr>
        <w:spacing w:after="200"/>
        <w:rPr>
          <w:rFonts w:ascii="Times New Roman" w:hAnsi="Times New Roman" w:cs="Times New Roman"/>
          <w:color w:val="000000" w:themeColor="text1"/>
          <w:szCs w:val="21"/>
        </w:rPr>
      </w:pPr>
      <w:r w:rsidRPr="006342C9">
        <w:rPr>
          <w:rFonts w:ascii="Times New Roman" w:hAnsi="Times New Roman" w:cs="Times New Roman"/>
          <w:b/>
          <w:bCs/>
          <w:color w:val="000000" w:themeColor="text1"/>
          <w:szCs w:val="21"/>
        </w:rPr>
        <w:lastRenderedPageBreak/>
        <w:t>Extended Data Fig. 10 The versatility of AMR for FGFR1 signalling output. (a)</w:t>
      </w:r>
      <w:r w:rsidRPr="006342C9">
        <w:rPr>
          <w:rFonts w:ascii="Times New Roman" w:hAnsi="Times New Roman" w:cs="Times New Roman"/>
          <w:color w:val="000000" w:themeColor="text1"/>
          <w:szCs w:val="21"/>
        </w:rPr>
        <w:t xml:space="preserve"> Representative images for the NIH3T3 cells engineered with nRGD-AMR-FGFR1 and cRGD-AMR-FGFR1 (400 nM) are shown in brightfield, FAM and TAMRA channels. For </w:t>
      </w:r>
      <w:r w:rsidRPr="006342C9">
        <w:rPr>
          <w:rFonts w:ascii="Times New Roman" w:hAnsi="Times New Roman" w:cs="Times New Roman" w:hint="eastAsia"/>
          <w:color w:val="000000" w:themeColor="text1"/>
          <w:szCs w:val="21"/>
        </w:rPr>
        <w:t>actomyosin</w:t>
      </w:r>
      <w:r w:rsidRPr="006342C9">
        <w:rPr>
          <w:rFonts w:ascii="Times New Roman" w:hAnsi="Times New Roman" w:cs="Times New Roman"/>
          <w:color w:val="000000" w:themeColor="text1"/>
          <w:szCs w:val="21"/>
        </w:rPr>
        <w:t xml:space="preserve"> inhibition, cells were pre-treated with blebbistatin (10 µM) for 10 min before cRGD-AMR-FGFR1 functionalization. Scale bar, 10 µm. </w:t>
      </w:r>
      <w:r w:rsidRPr="006342C9">
        <w:rPr>
          <w:rFonts w:ascii="Times New Roman" w:hAnsi="Times New Roman" w:cs="Times New Roman"/>
          <w:b/>
          <w:bCs/>
          <w:color w:val="000000" w:themeColor="text1"/>
          <w:szCs w:val="21"/>
        </w:rPr>
        <w:t>(b)</w:t>
      </w:r>
      <w:r w:rsidRPr="006342C9">
        <w:rPr>
          <w:rFonts w:ascii="Times New Roman" w:hAnsi="Times New Roman" w:cs="Times New Roman"/>
          <w:color w:val="000000" w:themeColor="text1"/>
          <w:szCs w:val="21"/>
        </w:rPr>
        <w:t xml:space="preserve"> Western blotting of FGFR1 phosphorylation (Tyr653/Tyr654) and ERK phosphorylation (Thr202/Tyr204) in the cell lysates of A549 cells with indicated treatments. The α-tubulin was used as an internal reference. cRGD-AMR-F-S represent the control in the absence of AMR-T.</w:t>
      </w:r>
    </w:p>
    <w:p w14:paraId="3B9592E8" w14:textId="77777777" w:rsidR="00E87902" w:rsidRPr="006342C9" w:rsidRDefault="00E87902" w:rsidP="00E87902">
      <w:pPr>
        <w:jc w:val="center"/>
        <w:rPr>
          <w:rFonts w:ascii="Times New Roman" w:hAnsi="Times New Roman" w:cs="Times New Roman"/>
          <w:color w:val="000000" w:themeColor="text1"/>
          <w:szCs w:val="21"/>
        </w:rPr>
      </w:pPr>
      <w:r w:rsidRPr="006342C9">
        <w:rPr>
          <w:rFonts w:ascii="Times New Roman" w:hAnsi="Times New Roman" w:cs="Times New Roman"/>
          <w:noProof/>
          <w:color w:val="000000" w:themeColor="text1"/>
          <w:szCs w:val="21"/>
        </w:rPr>
        <w:drawing>
          <wp:inline distT="0" distB="0" distL="0" distR="0" wp14:anchorId="6B4BE1C7" wp14:editId="5921884D">
            <wp:extent cx="5175250" cy="229235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3">
                      <a:extLst>
                        <a:ext uri="{28A0092B-C50C-407E-A947-70E740481C1C}">
                          <a14:useLocalDpi xmlns:a14="http://schemas.microsoft.com/office/drawing/2010/main"/>
                        </a:ext>
                      </a:extLst>
                    </a:blip>
                    <a:srcRect/>
                    <a:stretch/>
                  </pic:blipFill>
                  <pic:spPr bwMode="auto">
                    <a:xfrm>
                      <a:off x="0" y="0"/>
                      <a:ext cx="5175250" cy="2292350"/>
                    </a:xfrm>
                    <a:prstGeom prst="rect">
                      <a:avLst/>
                    </a:prstGeom>
                    <a:ln>
                      <a:noFill/>
                    </a:ln>
                    <a:extLst>
                      <a:ext uri="{53640926-AAD7-44D8-BBD7-CCE9431645EC}">
                        <a14:shadowObscured xmlns:a14="http://schemas.microsoft.com/office/drawing/2010/main"/>
                      </a:ext>
                    </a:extLst>
                  </pic:spPr>
                </pic:pic>
              </a:graphicData>
            </a:graphic>
          </wp:inline>
        </w:drawing>
      </w:r>
    </w:p>
    <w:p w14:paraId="74319FF3" w14:textId="77777777" w:rsidR="00E87902" w:rsidRPr="006342C9" w:rsidRDefault="00E87902" w:rsidP="00E87902">
      <w:pPr>
        <w:rPr>
          <w:rFonts w:ascii="Times New Roman" w:hAnsi="Times New Roman" w:cs="Times New Roman"/>
          <w:color w:val="000000" w:themeColor="text1"/>
        </w:rPr>
      </w:pPr>
    </w:p>
    <w:p w14:paraId="0E4A3DC5" w14:textId="77777777" w:rsidR="00755780" w:rsidRDefault="00755780"/>
    <w:sectPr w:rsidR="00755780" w:rsidSect="009C2C12">
      <w:footerReference w:type="default" r:id="rId14"/>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973056"/>
      <w:docPartObj>
        <w:docPartGallery w:val="Page Numbers (Bottom of Page)"/>
        <w:docPartUnique/>
      </w:docPartObj>
    </w:sdtPr>
    <w:sdtEndPr/>
    <w:sdtContent>
      <w:p w14:paraId="7676D94C" w14:textId="77777777" w:rsidR="00E609BD" w:rsidRDefault="00E87902">
        <w:pPr>
          <w:pStyle w:val="Footer"/>
          <w:jc w:val="center"/>
        </w:pPr>
        <w:r>
          <w:fldChar w:fldCharType="begin"/>
        </w:r>
        <w:r>
          <w:instrText>PAGE   \* MERGEFORMAT</w:instrText>
        </w:r>
        <w:r>
          <w:fldChar w:fldCharType="separate"/>
        </w:r>
        <w:r w:rsidRPr="00E609BD">
          <w:rPr>
            <w:noProof/>
            <w:lang w:val="zh-CN"/>
          </w:rPr>
          <w:t>12</w:t>
        </w:r>
        <w:r>
          <w:fldChar w:fldCharType="end"/>
        </w:r>
      </w:p>
    </w:sdtContent>
  </w:sdt>
  <w:p w14:paraId="487B24F5" w14:textId="77777777" w:rsidR="00E609BD" w:rsidRDefault="00E8790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902"/>
    <w:rsid w:val="00755780"/>
    <w:rsid w:val="00E87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4286E"/>
  <w15:chartTrackingRefBased/>
  <w15:docId w15:val="{3090443B-FDCB-4A5C-8277-7E5FEF5A9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902"/>
    <w:pPr>
      <w:widowControl w:val="0"/>
      <w:spacing w:after="0" w:line="240" w:lineRule="auto"/>
      <w:jc w:val="both"/>
    </w:pPr>
    <w:rPr>
      <w:rFonts w:eastAsiaTheme="minorEastAsia"/>
      <w:kern w:val="2"/>
      <w:sz w:val="21"/>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790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E87902"/>
    <w:rPr>
      <w:rFonts w:eastAsiaTheme="minorEastAsia"/>
      <w:kern w:val="2"/>
      <w:sz w:val="18"/>
      <w:szCs w:val="18"/>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1378</Words>
  <Characters>7857</Characters>
  <Application>Microsoft Office Word</Application>
  <DocSecurity>0</DocSecurity>
  <Lines>65</Lines>
  <Paragraphs>18</Paragraphs>
  <ScaleCrop>false</ScaleCrop>
  <Company>Springer Nature</Company>
  <LinksUpToDate>false</LinksUpToDate>
  <CharactersWithSpaces>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2023-03-01T04:35:00Z</dcterms:created>
  <dcterms:modified xsi:type="dcterms:W3CDTF">2023-03-01T04:35:00Z</dcterms:modified>
</cp:coreProperties>
</file>