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27394" w14:textId="6804E90E" w:rsidR="00E65A8A" w:rsidRPr="00265E0A" w:rsidRDefault="00E65A8A" w:rsidP="00E65A8A">
      <w:pPr>
        <w:spacing w:beforeLines="0" w:before="0" w:afterLines="0" w:after="0" w:line="480" w:lineRule="auto"/>
        <w:ind w:firstLineChars="0" w:firstLine="0"/>
        <w:jc w:val="left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 w:hint="eastAsia"/>
          <w:sz w:val="22"/>
          <w:szCs w:val="24"/>
        </w:rPr>
        <w:t>Supplementary</w:t>
      </w:r>
      <w:r>
        <w:rPr>
          <w:rFonts w:ascii="Calibri" w:hAnsi="Calibri" w:cs="Calibri"/>
          <w:sz w:val="22"/>
          <w:szCs w:val="24"/>
        </w:rPr>
        <w:t xml:space="preserve"> </w:t>
      </w:r>
      <w:r>
        <w:rPr>
          <w:rFonts w:ascii="Calibri" w:hAnsi="Calibri" w:cs="Calibri" w:hint="eastAsia"/>
          <w:sz w:val="22"/>
          <w:szCs w:val="24"/>
        </w:rPr>
        <w:t>t</w:t>
      </w:r>
      <w:r w:rsidRPr="00265E0A">
        <w:rPr>
          <w:rFonts w:ascii="Calibri" w:hAnsi="Calibri" w:cs="Calibri"/>
          <w:sz w:val="22"/>
          <w:szCs w:val="24"/>
        </w:rPr>
        <w:t xml:space="preserve">ables </w:t>
      </w:r>
      <w:r>
        <w:rPr>
          <w:rFonts w:ascii="Calibri" w:hAnsi="Calibri" w:cs="Calibri"/>
          <w:sz w:val="22"/>
          <w:szCs w:val="24"/>
        </w:rPr>
        <w:t>1</w:t>
      </w:r>
      <w:r w:rsidRPr="00265E0A">
        <w:rPr>
          <w:rFonts w:ascii="Calibri" w:hAnsi="Calibri" w:cs="Calibri"/>
          <w:sz w:val="22"/>
          <w:szCs w:val="24"/>
        </w:rPr>
        <w:t xml:space="preserve">. </w:t>
      </w:r>
      <w:r>
        <w:rPr>
          <w:rFonts w:ascii="Calibri" w:hAnsi="Calibri" w:cs="Calibri" w:hint="eastAsia"/>
          <w:sz w:val="22"/>
          <w:szCs w:val="24"/>
        </w:rPr>
        <w:t>P</w:t>
      </w:r>
      <w:r w:rsidRPr="00265E0A">
        <w:rPr>
          <w:rFonts w:ascii="Calibri" w:hAnsi="Calibri" w:cs="Calibri"/>
          <w:sz w:val="22"/>
          <w:szCs w:val="24"/>
        </w:rPr>
        <w:t>rediction error</w:t>
      </w:r>
      <w:r>
        <w:rPr>
          <w:rFonts w:ascii="Calibri" w:hAnsi="Calibri" w:cs="Calibri"/>
          <w:sz w:val="22"/>
          <w:szCs w:val="24"/>
        </w:rPr>
        <w:t xml:space="preserve"> </w:t>
      </w:r>
      <w:r>
        <w:rPr>
          <w:rFonts w:ascii="Calibri" w:hAnsi="Calibri" w:cs="Calibri" w:hint="eastAsia"/>
          <w:sz w:val="22"/>
          <w:szCs w:val="24"/>
        </w:rPr>
        <w:t>of</w:t>
      </w:r>
      <w:r>
        <w:rPr>
          <w:rFonts w:ascii="Calibri" w:hAnsi="Calibri" w:cs="Calibri"/>
          <w:sz w:val="22"/>
          <w:szCs w:val="24"/>
        </w:rPr>
        <w:t xml:space="preserve"> </w:t>
      </w:r>
      <w:r>
        <w:rPr>
          <w:rFonts w:ascii="Calibri" w:hAnsi="Calibri" w:cs="Calibri" w:hint="eastAsia"/>
          <w:sz w:val="22"/>
          <w:szCs w:val="24"/>
        </w:rPr>
        <w:t>spherical</w:t>
      </w:r>
      <w:r>
        <w:rPr>
          <w:rFonts w:ascii="Calibri" w:hAnsi="Calibri" w:cs="Calibri"/>
          <w:sz w:val="22"/>
          <w:szCs w:val="24"/>
        </w:rPr>
        <w:t xml:space="preserve"> equivalence (SE) </w:t>
      </w:r>
      <w:r w:rsidRPr="00265E0A">
        <w:rPr>
          <w:rFonts w:ascii="Calibri" w:hAnsi="Calibri" w:cs="Calibri"/>
          <w:sz w:val="22"/>
          <w:szCs w:val="24"/>
        </w:rPr>
        <w:t>using predicted PCA and measured PCA obtained by IOL Master 700.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9"/>
        <w:gridCol w:w="2009"/>
        <w:gridCol w:w="2009"/>
        <w:gridCol w:w="2013"/>
      </w:tblGrid>
      <w:tr w:rsidR="00E65A8A" w:rsidRPr="006C0E1C" w14:paraId="1E0102AC" w14:textId="77777777" w:rsidTr="00C73724">
        <w:trPr>
          <w:trHeight w:val="345"/>
        </w:trPr>
        <w:tc>
          <w:tcPr>
            <w:tcW w:w="2009" w:type="dxa"/>
            <w:vMerge w:val="restart"/>
            <w:tcBorders>
              <w:top w:val="single" w:sz="18" w:space="0" w:color="auto"/>
            </w:tcBorders>
            <w:vAlign w:val="center"/>
          </w:tcPr>
          <w:p w14:paraId="12A8D773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b/>
                <w:bCs/>
                <w:sz w:val="22"/>
                <w:szCs w:val="24"/>
              </w:rPr>
              <w:t>Calculation</w:t>
            </w:r>
            <w:r w:rsidRPr="006C0E1C">
              <w:rPr>
                <w:b/>
                <w:bCs/>
                <w:sz w:val="22"/>
                <w:szCs w:val="24"/>
              </w:rPr>
              <w:t xml:space="preserve"> Methods</w:t>
            </w:r>
          </w:p>
        </w:tc>
        <w:tc>
          <w:tcPr>
            <w:tcW w:w="6031" w:type="dxa"/>
            <w:gridSpan w:val="3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25E12B8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b/>
                <w:bCs/>
                <w:sz w:val="22"/>
                <w:szCs w:val="24"/>
              </w:rPr>
            </w:pPr>
            <w:r w:rsidRPr="006C0E1C">
              <w:rPr>
                <w:b/>
                <w:bCs/>
                <w:sz w:val="22"/>
                <w:szCs w:val="24"/>
              </w:rPr>
              <w:t xml:space="preserve">Prediction error of SE </w:t>
            </w:r>
            <w:r w:rsidRPr="006C0E1C">
              <w:rPr>
                <w:sz w:val="22"/>
                <w:szCs w:val="24"/>
              </w:rPr>
              <w:t>(D</w:t>
            </w:r>
            <w:r w:rsidRPr="006C0E1C">
              <w:rPr>
                <w:rFonts w:hint="eastAsia"/>
                <w:sz w:val="22"/>
                <w:szCs w:val="24"/>
              </w:rPr>
              <w:t>,</w:t>
            </w:r>
            <w:r w:rsidRPr="006C0E1C">
              <w:rPr>
                <w:sz w:val="22"/>
                <w:szCs w:val="24"/>
              </w:rPr>
              <w:t xml:space="preserve"> mean</w:t>
            </w:r>
            <w:r w:rsidRPr="006C0E1C">
              <w:rPr>
                <w:rFonts w:hint="eastAsia"/>
                <w:sz w:val="22"/>
                <w:szCs w:val="24"/>
              </w:rPr>
              <w:t>±</w:t>
            </w:r>
            <w:r w:rsidRPr="006C0E1C">
              <w:rPr>
                <w:sz w:val="22"/>
                <w:szCs w:val="24"/>
              </w:rPr>
              <w:t>SD)</w:t>
            </w:r>
          </w:p>
        </w:tc>
      </w:tr>
      <w:tr w:rsidR="00E65A8A" w:rsidRPr="006C0E1C" w14:paraId="39E8614A" w14:textId="77777777" w:rsidTr="00C73724">
        <w:trPr>
          <w:trHeight w:val="706"/>
        </w:trPr>
        <w:tc>
          <w:tcPr>
            <w:tcW w:w="2009" w:type="dxa"/>
            <w:vMerge/>
            <w:tcBorders>
              <w:bottom w:val="single" w:sz="12" w:space="0" w:color="auto"/>
            </w:tcBorders>
            <w:vAlign w:val="center"/>
          </w:tcPr>
          <w:p w14:paraId="27D054A1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</w:p>
        </w:tc>
        <w:tc>
          <w:tcPr>
            <w:tcW w:w="200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E4B7DA6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Total</w:t>
            </w:r>
          </w:p>
        </w:tc>
        <w:tc>
          <w:tcPr>
            <w:tcW w:w="200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1204F5A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sz w:val="22"/>
                <w:szCs w:val="24"/>
              </w:rPr>
              <w:t xml:space="preserve">WTR </w:t>
            </w:r>
            <w:r w:rsidRPr="006C0E1C">
              <w:rPr>
                <w:rFonts w:hint="eastAsia"/>
                <w:sz w:val="22"/>
                <w:szCs w:val="24"/>
              </w:rPr>
              <w:t>eyes</w:t>
            </w:r>
          </w:p>
        </w:tc>
        <w:tc>
          <w:tcPr>
            <w:tcW w:w="201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F9107E3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sz w:val="22"/>
                <w:szCs w:val="24"/>
              </w:rPr>
              <w:t xml:space="preserve">ATR </w:t>
            </w:r>
            <w:r w:rsidRPr="006C0E1C">
              <w:rPr>
                <w:rFonts w:hint="eastAsia"/>
                <w:sz w:val="22"/>
                <w:szCs w:val="24"/>
              </w:rPr>
              <w:t>eyes</w:t>
            </w:r>
          </w:p>
        </w:tc>
      </w:tr>
      <w:tr w:rsidR="00E65A8A" w:rsidRPr="006C0E1C" w14:paraId="4520C33A" w14:textId="77777777" w:rsidTr="00C73724">
        <w:trPr>
          <w:trHeight w:val="345"/>
        </w:trPr>
        <w:tc>
          <w:tcPr>
            <w:tcW w:w="2009" w:type="dxa"/>
            <w:tcBorders>
              <w:top w:val="single" w:sz="12" w:space="0" w:color="auto"/>
            </w:tcBorders>
            <w:vAlign w:val="center"/>
          </w:tcPr>
          <w:p w14:paraId="22E914D9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b/>
                <w:bCs/>
                <w:sz w:val="22"/>
                <w:szCs w:val="24"/>
              </w:rPr>
              <w:t>P</w:t>
            </w:r>
            <w:r w:rsidRPr="006C0E1C">
              <w:rPr>
                <w:rFonts w:hint="eastAsia"/>
                <w:b/>
                <w:bCs/>
                <w:sz w:val="22"/>
                <w:szCs w:val="24"/>
              </w:rPr>
              <w:t xml:space="preserve">redicted PCA </w:t>
            </w:r>
          </w:p>
        </w:tc>
        <w:tc>
          <w:tcPr>
            <w:tcW w:w="2009" w:type="dxa"/>
            <w:tcBorders>
              <w:top w:val="single" w:sz="12" w:space="0" w:color="auto"/>
            </w:tcBorders>
            <w:vAlign w:val="center"/>
          </w:tcPr>
          <w:p w14:paraId="62D18ED0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0.</w:t>
            </w:r>
            <w:r w:rsidRPr="006C0E1C">
              <w:rPr>
                <w:sz w:val="22"/>
                <w:szCs w:val="24"/>
              </w:rPr>
              <w:t>18</w:t>
            </w:r>
            <w:r w:rsidRPr="006C0E1C">
              <w:rPr>
                <w:rFonts w:hint="eastAsia"/>
                <w:sz w:val="22"/>
                <w:szCs w:val="24"/>
              </w:rPr>
              <w:t>±0.6</w:t>
            </w:r>
            <w:r w:rsidRPr="006C0E1C">
              <w:rPr>
                <w:sz w:val="22"/>
                <w:szCs w:val="24"/>
              </w:rPr>
              <w:t>2</w:t>
            </w:r>
          </w:p>
        </w:tc>
        <w:tc>
          <w:tcPr>
            <w:tcW w:w="2009" w:type="dxa"/>
            <w:tcBorders>
              <w:top w:val="single" w:sz="12" w:space="0" w:color="auto"/>
            </w:tcBorders>
            <w:vAlign w:val="center"/>
          </w:tcPr>
          <w:p w14:paraId="1C60B46E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sz w:val="22"/>
                <w:szCs w:val="24"/>
              </w:rPr>
              <w:t>0.51</w:t>
            </w:r>
            <w:r w:rsidRPr="006C0E1C">
              <w:rPr>
                <w:rFonts w:hint="eastAsia"/>
                <w:sz w:val="22"/>
                <w:szCs w:val="24"/>
              </w:rPr>
              <w:t>±</w:t>
            </w:r>
            <w:r w:rsidRPr="006C0E1C">
              <w:rPr>
                <w:sz w:val="22"/>
                <w:szCs w:val="24"/>
              </w:rPr>
              <w:t>0.41</w:t>
            </w:r>
          </w:p>
        </w:tc>
        <w:tc>
          <w:tcPr>
            <w:tcW w:w="2013" w:type="dxa"/>
            <w:tcBorders>
              <w:top w:val="single" w:sz="12" w:space="0" w:color="auto"/>
            </w:tcBorders>
            <w:vAlign w:val="center"/>
          </w:tcPr>
          <w:p w14:paraId="44F6A4E5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0.</w:t>
            </w:r>
            <w:r w:rsidRPr="006C0E1C">
              <w:rPr>
                <w:sz w:val="22"/>
                <w:szCs w:val="24"/>
              </w:rPr>
              <w:t>11</w:t>
            </w:r>
            <w:r w:rsidRPr="006C0E1C">
              <w:rPr>
                <w:rFonts w:hint="eastAsia"/>
                <w:sz w:val="22"/>
                <w:szCs w:val="24"/>
              </w:rPr>
              <w:t>±0.6</w:t>
            </w:r>
            <w:r w:rsidRPr="006C0E1C">
              <w:rPr>
                <w:sz w:val="22"/>
                <w:szCs w:val="24"/>
              </w:rPr>
              <w:t>3</w:t>
            </w:r>
          </w:p>
        </w:tc>
      </w:tr>
      <w:tr w:rsidR="00E65A8A" w:rsidRPr="006C0E1C" w14:paraId="1EC5522D" w14:textId="77777777" w:rsidTr="00C73724">
        <w:trPr>
          <w:trHeight w:val="348"/>
        </w:trPr>
        <w:tc>
          <w:tcPr>
            <w:tcW w:w="2009" w:type="dxa"/>
            <w:vAlign w:val="center"/>
          </w:tcPr>
          <w:p w14:paraId="14EE6057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b/>
                <w:bCs/>
                <w:sz w:val="22"/>
                <w:szCs w:val="24"/>
              </w:rPr>
              <w:t>M</w:t>
            </w:r>
            <w:r w:rsidRPr="006C0E1C">
              <w:rPr>
                <w:rFonts w:hint="eastAsia"/>
                <w:b/>
                <w:bCs/>
                <w:sz w:val="22"/>
                <w:szCs w:val="24"/>
              </w:rPr>
              <w:t>easured PCA</w:t>
            </w:r>
          </w:p>
        </w:tc>
        <w:tc>
          <w:tcPr>
            <w:tcW w:w="2009" w:type="dxa"/>
            <w:vAlign w:val="center"/>
          </w:tcPr>
          <w:p w14:paraId="17F29C09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0.</w:t>
            </w:r>
            <w:r w:rsidRPr="006C0E1C">
              <w:rPr>
                <w:sz w:val="22"/>
                <w:szCs w:val="24"/>
              </w:rPr>
              <w:t>18</w:t>
            </w:r>
            <w:r w:rsidRPr="006C0E1C">
              <w:rPr>
                <w:rFonts w:hint="eastAsia"/>
                <w:sz w:val="22"/>
                <w:szCs w:val="24"/>
              </w:rPr>
              <w:t>±0.6</w:t>
            </w:r>
            <w:r w:rsidRPr="006C0E1C">
              <w:rPr>
                <w:sz w:val="22"/>
                <w:szCs w:val="24"/>
              </w:rPr>
              <w:t>2</w:t>
            </w:r>
          </w:p>
        </w:tc>
        <w:tc>
          <w:tcPr>
            <w:tcW w:w="2009" w:type="dxa"/>
            <w:vAlign w:val="center"/>
          </w:tcPr>
          <w:p w14:paraId="5158C21C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0</w:t>
            </w:r>
            <w:r w:rsidRPr="006C0E1C">
              <w:rPr>
                <w:sz w:val="22"/>
                <w:szCs w:val="24"/>
              </w:rPr>
              <w:t>.53</w:t>
            </w:r>
            <w:r w:rsidRPr="006C0E1C">
              <w:rPr>
                <w:rFonts w:hint="eastAsia"/>
                <w:sz w:val="22"/>
                <w:szCs w:val="24"/>
              </w:rPr>
              <w:t>±</w:t>
            </w:r>
            <w:r w:rsidRPr="006C0E1C">
              <w:rPr>
                <w:sz w:val="22"/>
                <w:szCs w:val="24"/>
              </w:rPr>
              <w:t>0.45</w:t>
            </w:r>
          </w:p>
        </w:tc>
        <w:tc>
          <w:tcPr>
            <w:tcW w:w="2013" w:type="dxa"/>
            <w:vAlign w:val="center"/>
          </w:tcPr>
          <w:p w14:paraId="551B98E4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0.</w:t>
            </w:r>
            <w:r w:rsidRPr="006C0E1C">
              <w:rPr>
                <w:sz w:val="22"/>
                <w:szCs w:val="24"/>
              </w:rPr>
              <w:t>09</w:t>
            </w:r>
            <w:r w:rsidRPr="006C0E1C">
              <w:rPr>
                <w:rFonts w:hint="eastAsia"/>
                <w:sz w:val="22"/>
                <w:szCs w:val="24"/>
              </w:rPr>
              <w:t>±0.6</w:t>
            </w:r>
            <w:r w:rsidRPr="006C0E1C">
              <w:rPr>
                <w:sz w:val="22"/>
                <w:szCs w:val="24"/>
              </w:rPr>
              <w:t>4</w:t>
            </w:r>
          </w:p>
        </w:tc>
      </w:tr>
      <w:tr w:rsidR="00E65A8A" w:rsidRPr="006C0E1C" w14:paraId="0461B577" w14:textId="77777777" w:rsidTr="00C73724">
        <w:trPr>
          <w:trHeight w:val="345"/>
        </w:trPr>
        <w:tc>
          <w:tcPr>
            <w:tcW w:w="2009" w:type="dxa"/>
            <w:vAlign w:val="center"/>
          </w:tcPr>
          <w:p w14:paraId="12EE38AE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mean di</w:t>
            </w:r>
            <w:r>
              <w:rPr>
                <w:sz w:val="22"/>
                <w:szCs w:val="24"/>
              </w:rPr>
              <w:t>f</w:t>
            </w:r>
            <w:r w:rsidRPr="006C0E1C">
              <w:rPr>
                <w:rFonts w:hint="eastAsia"/>
                <w:sz w:val="22"/>
                <w:szCs w:val="24"/>
              </w:rPr>
              <w:t>ference</w:t>
            </w:r>
          </w:p>
        </w:tc>
        <w:tc>
          <w:tcPr>
            <w:tcW w:w="2009" w:type="dxa"/>
            <w:vAlign w:val="center"/>
          </w:tcPr>
          <w:p w14:paraId="580124C1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0.0</w:t>
            </w:r>
            <w:r w:rsidRPr="006C0E1C">
              <w:rPr>
                <w:sz w:val="22"/>
                <w:szCs w:val="24"/>
              </w:rPr>
              <w:t>0</w:t>
            </w:r>
            <w:r w:rsidRPr="006C0E1C">
              <w:rPr>
                <w:rFonts w:hint="eastAsia"/>
                <w:sz w:val="22"/>
                <w:szCs w:val="24"/>
              </w:rPr>
              <w:t>±0.1</w:t>
            </w:r>
            <w:r w:rsidRPr="006C0E1C">
              <w:rPr>
                <w:sz w:val="22"/>
                <w:szCs w:val="24"/>
              </w:rPr>
              <w:t>2</w:t>
            </w:r>
          </w:p>
        </w:tc>
        <w:tc>
          <w:tcPr>
            <w:tcW w:w="2009" w:type="dxa"/>
            <w:vAlign w:val="center"/>
          </w:tcPr>
          <w:p w14:paraId="3EEBED22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-</w:t>
            </w:r>
            <w:r w:rsidRPr="006C0E1C">
              <w:rPr>
                <w:sz w:val="22"/>
                <w:szCs w:val="24"/>
              </w:rPr>
              <w:t>0.02</w:t>
            </w:r>
            <w:r w:rsidRPr="006C0E1C">
              <w:rPr>
                <w:rFonts w:hint="eastAsia"/>
                <w:sz w:val="22"/>
                <w:szCs w:val="24"/>
              </w:rPr>
              <w:t>±</w:t>
            </w:r>
            <w:r w:rsidRPr="006C0E1C">
              <w:rPr>
                <w:sz w:val="22"/>
                <w:szCs w:val="24"/>
              </w:rPr>
              <w:t>0.14</w:t>
            </w:r>
          </w:p>
        </w:tc>
        <w:tc>
          <w:tcPr>
            <w:tcW w:w="2013" w:type="dxa"/>
            <w:vAlign w:val="center"/>
          </w:tcPr>
          <w:p w14:paraId="7BF51634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0.0</w:t>
            </w:r>
            <w:r w:rsidRPr="006C0E1C">
              <w:rPr>
                <w:sz w:val="22"/>
                <w:szCs w:val="24"/>
              </w:rPr>
              <w:t>2</w:t>
            </w:r>
            <w:r w:rsidRPr="006C0E1C">
              <w:rPr>
                <w:rFonts w:hint="eastAsia"/>
                <w:sz w:val="22"/>
                <w:szCs w:val="24"/>
              </w:rPr>
              <w:t>±0.1</w:t>
            </w:r>
            <w:r w:rsidRPr="006C0E1C">
              <w:rPr>
                <w:sz w:val="22"/>
                <w:szCs w:val="24"/>
              </w:rPr>
              <w:t>1</w:t>
            </w:r>
          </w:p>
        </w:tc>
      </w:tr>
      <w:tr w:rsidR="00E65A8A" w:rsidRPr="006C0E1C" w14:paraId="6FD91E1A" w14:textId="77777777" w:rsidTr="00C73724">
        <w:trPr>
          <w:trHeight w:val="348"/>
        </w:trPr>
        <w:tc>
          <w:tcPr>
            <w:tcW w:w="2009" w:type="dxa"/>
            <w:vAlign w:val="center"/>
          </w:tcPr>
          <w:p w14:paraId="337B515A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t</w:t>
            </w:r>
          </w:p>
        </w:tc>
        <w:tc>
          <w:tcPr>
            <w:tcW w:w="2009" w:type="dxa"/>
            <w:vAlign w:val="center"/>
          </w:tcPr>
          <w:p w14:paraId="1CECA93D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sz w:val="22"/>
                <w:szCs w:val="24"/>
              </w:rPr>
              <w:t>0.101</w:t>
            </w:r>
          </w:p>
        </w:tc>
        <w:tc>
          <w:tcPr>
            <w:tcW w:w="2009" w:type="dxa"/>
            <w:vAlign w:val="center"/>
          </w:tcPr>
          <w:p w14:paraId="3E253DD6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sz w:val="22"/>
                <w:szCs w:val="24"/>
              </w:rPr>
              <w:t>-0.431</w:t>
            </w:r>
          </w:p>
        </w:tc>
        <w:tc>
          <w:tcPr>
            <w:tcW w:w="2013" w:type="dxa"/>
            <w:vAlign w:val="center"/>
          </w:tcPr>
          <w:p w14:paraId="35C208D2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sz w:val="22"/>
                <w:szCs w:val="24"/>
              </w:rPr>
              <w:t>0.993</w:t>
            </w:r>
          </w:p>
        </w:tc>
      </w:tr>
      <w:tr w:rsidR="00E65A8A" w:rsidRPr="006C0E1C" w14:paraId="7C788C4E" w14:textId="77777777" w:rsidTr="00C73724">
        <w:trPr>
          <w:trHeight w:val="345"/>
        </w:trPr>
        <w:tc>
          <w:tcPr>
            <w:tcW w:w="2009" w:type="dxa"/>
            <w:tcBorders>
              <w:bottom w:val="single" w:sz="18" w:space="0" w:color="auto"/>
            </w:tcBorders>
            <w:vAlign w:val="center"/>
          </w:tcPr>
          <w:p w14:paraId="7764C606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P</w:t>
            </w:r>
          </w:p>
        </w:tc>
        <w:tc>
          <w:tcPr>
            <w:tcW w:w="2009" w:type="dxa"/>
            <w:tcBorders>
              <w:bottom w:val="single" w:sz="18" w:space="0" w:color="auto"/>
            </w:tcBorders>
            <w:vAlign w:val="center"/>
          </w:tcPr>
          <w:p w14:paraId="700DDAAC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0.</w:t>
            </w:r>
            <w:r w:rsidRPr="006C0E1C">
              <w:rPr>
                <w:sz w:val="22"/>
                <w:szCs w:val="24"/>
              </w:rPr>
              <w:t>920</w:t>
            </w:r>
          </w:p>
        </w:tc>
        <w:tc>
          <w:tcPr>
            <w:tcW w:w="2009" w:type="dxa"/>
            <w:tcBorders>
              <w:bottom w:val="single" w:sz="18" w:space="0" w:color="auto"/>
            </w:tcBorders>
            <w:vAlign w:val="center"/>
          </w:tcPr>
          <w:p w14:paraId="5E8AFA7C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sz w:val="22"/>
                <w:szCs w:val="24"/>
              </w:rPr>
              <w:t>0.674</w:t>
            </w:r>
          </w:p>
        </w:tc>
        <w:tc>
          <w:tcPr>
            <w:tcW w:w="2013" w:type="dxa"/>
            <w:tcBorders>
              <w:bottom w:val="single" w:sz="18" w:space="0" w:color="auto"/>
            </w:tcBorders>
            <w:vAlign w:val="center"/>
          </w:tcPr>
          <w:p w14:paraId="14B84695" w14:textId="77777777" w:rsidR="00E65A8A" w:rsidRPr="006C0E1C" w:rsidRDefault="00E65A8A" w:rsidP="00C73724">
            <w:pPr>
              <w:spacing w:beforeLines="0" w:afterLines="0" w:line="480" w:lineRule="auto"/>
              <w:ind w:firstLineChars="0" w:firstLine="0"/>
              <w:jc w:val="left"/>
              <w:rPr>
                <w:sz w:val="22"/>
                <w:szCs w:val="24"/>
              </w:rPr>
            </w:pPr>
            <w:r w:rsidRPr="006C0E1C">
              <w:rPr>
                <w:rFonts w:hint="eastAsia"/>
                <w:sz w:val="22"/>
                <w:szCs w:val="24"/>
              </w:rPr>
              <w:t>0.</w:t>
            </w:r>
            <w:r w:rsidRPr="006C0E1C">
              <w:rPr>
                <w:sz w:val="22"/>
                <w:szCs w:val="24"/>
              </w:rPr>
              <w:t>327</w:t>
            </w:r>
          </w:p>
        </w:tc>
      </w:tr>
    </w:tbl>
    <w:p w14:paraId="37AB85CC" w14:textId="77777777" w:rsidR="00E65A8A" w:rsidRPr="006B7BAC" w:rsidRDefault="00E65A8A" w:rsidP="00E65A8A">
      <w:pPr>
        <w:spacing w:beforeLines="0" w:before="0" w:afterLines="0" w:after="0" w:line="480" w:lineRule="auto"/>
        <w:ind w:firstLineChars="0" w:firstLine="0"/>
        <w:jc w:val="left"/>
      </w:pPr>
      <w:r w:rsidRPr="006B7BAC">
        <w:t xml:space="preserve">Note: SE = </w:t>
      </w:r>
      <w:r w:rsidRPr="006B7BAC">
        <w:rPr>
          <w:rFonts w:hint="eastAsia"/>
        </w:rPr>
        <w:t>spherical</w:t>
      </w:r>
      <w:r w:rsidRPr="006B7BAC">
        <w:t xml:space="preserve"> </w:t>
      </w:r>
      <w:r w:rsidRPr="006B7BAC">
        <w:rPr>
          <w:rFonts w:hint="eastAsia"/>
        </w:rPr>
        <w:t>equivalent</w:t>
      </w:r>
      <w:r w:rsidRPr="006B7BAC">
        <w:t xml:space="preserve">, PCA = posterior corneal astigmatism, WTR = within-the-rule, ATR = against-the-rule, D = diopter, SD = standard deviation. </w:t>
      </w:r>
    </w:p>
    <w:p w14:paraId="30B8F43B" w14:textId="77777777" w:rsidR="00FD7F82" w:rsidRPr="00E65A8A" w:rsidRDefault="00FD7F82" w:rsidP="00E65A8A">
      <w:pPr>
        <w:spacing w:before="156" w:after="156"/>
        <w:ind w:firstLineChars="0" w:firstLine="0"/>
        <w:rPr>
          <w:rFonts w:hint="eastAsia"/>
        </w:rPr>
      </w:pPr>
    </w:p>
    <w:sectPr w:rsidR="00FD7F82" w:rsidRPr="00E65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8A"/>
    <w:rsid w:val="006B7BAC"/>
    <w:rsid w:val="00E65A8A"/>
    <w:rsid w:val="00FD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5EBA7"/>
  <w15:chartTrackingRefBased/>
  <w15:docId w15:val="{9DF00F2A-0D0B-439E-8C60-49438AC9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before="50" w:afterLines="50" w:after="50" w:line="288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A8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 Shao Chong</dc:creator>
  <cp:keywords/>
  <dc:description/>
  <cp:lastModifiedBy>Bu Shao Chong</cp:lastModifiedBy>
  <cp:revision>2</cp:revision>
  <dcterms:created xsi:type="dcterms:W3CDTF">2023-02-01T00:09:00Z</dcterms:created>
  <dcterms:modified xsi:type="dcterms:W3CDTF">2023-02-01T00:35:00Z</dcterms:modified>
</cp:coreProperties>
</file>