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Supplementary materials</w:t>
      </w:r>
    </w:p>
    <w:p/>
    <w:p/>
    <w:p/>
    <w:p>
      <w:r>
        <w:rPr>
          <w:rFonts w:hint="eastAsia" w:eastAsiaTheme="minorEastAsia"/>
          <w:lang w:eastAsia="zh-CN"/>
        </w:rPr>
        <w:drawing>
          <wp:inline distT="0" distB="0" distL="114300" distR="114300">
            <wp:extent cx="5088890" cy="1656080"/>
            <wp:effectExtent l="0" t="0" r="16510" b="1270"/>
            <wp:docPr id="3" name="图片 3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8890" cy="165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 Figure 1. The crystal structure of TCR α/β constant domain (PDB: 3ARB).</w:t>
      </w:r>
      <w:r>
        <w:rPr>
          <w:rFonts w:hint="default" w:ascii="Times New Roman" w:hAnsi="Times New Roman" w:cs="Times New Roman"/>
          <w:sz w:val="24"/>
          <w:szCs w:val="24"/>
        </w:rPr>
        <w:t xml:space="preserve"> A and B are electrostatic potential of α constant domain and β constant domain, respectively. C is a sphere showing two big hydrophobic domains in the interface of TCR α/β constant domain. Red and yellow are the hydrophobic amino acids of β  and α constant domain, respectively. 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sz w:val="24"/>
          <w:szCs w:val="24"/>
        </w:rPr>
      </w:pPr>
      <w:bookmarkStart w:id="0" w:name="_GoBack"/>
      <w:bookmarkEnd w:id="0"/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jc w:val="center"/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1663065" cy="2195830"/>
            <wp:effectExtent l="0" t="0" r="0" b="13970"/>
            <wp:docPr id="4" name="图片 4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63065" cy="219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Supplement Figure 2. Possible pairing expression. Lanes 1 and 2 are two different possible pairs.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 SDS-PAGE confirms that mutated CH1 could not pair with wild-type CL and CL could not pair with wild-type CH1 as well. </w:t>
      </w:r>
    </w:p>
    <w:p>
      <w:pPr>
        <w:jc w:val="both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/>
    <w:p/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862455" cy="2484120"/>
            <wp:effectExtent l="0" t="0" r="4445" b="11430"/>
            <wp:docPr id="5" name="图片 5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62455" cy="248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Supplement Figure 3. Purification of an antibody with a non-native disulfide bond. </w:t>
      </w:r>
      <w:r>
        <w:rPr>
          <w:rFonts w:hint="default" w:ascii="Times New Roman" w:hAnsi="Times New Roman" w:cs="Times New Roman"/>
          <w:sz w:val="24"/>
          <w:szCs w:val="24"/>
        </w:rPr>
        <w:t xml:space="preserve">SDS-PAGE of purified antibodies by protein A chromatography. Lane 1 is the antibody obtained using the design without non-native disulfide bond. Lane 2 is the second antibody that has additional mutations and a non-native disulfide bond. 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/>
    <w:p>
      <w:pP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1"/>
          <w:szCs w:val="21"/>
          <w:lang w:eastAsia="zh-CN"/>
        </w:rPr>
        <w:t>Supplement Table 1. EC50 and the maximum response (Top) of PD-1xLAG3 TiMab and the corresponding parental antibodies.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408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PD-1</w:t>
            </w:r>
          </w:p>
        </w:tc>
        <w:tc>
          <w:tcPr>
            <w:tcW w:w="3410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LAG3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94" w:hRule="atLeast"/>
        </w:trPr>
        <w:tc>
          <w:tcPr>
            <w:tcW w:w="1704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EC50 (nM)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Top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EC50 (nM)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Top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TiMab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2.756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4501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3.366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PD-1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2.545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4704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LAG3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05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3.086</w:t>
            </w:r>
          </w:p>
        </w:tc>
        <w:tc>
          <w:tcPr>
            <w:tcW w:w="1705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4232</w:t>
            </w:r>
          </w:p>
        </w:tc>
      </w:tr>
    </w:tbl>
    <w:p>
      <w:pPr>
        <w:jc w:val="center"/>
        <w:rPr>
          <w:rFonts w:hint="default" w:ascii="Times New Roman" w:hAnsi="Times New Roman" w:cs="Times New Roman" w:eastAsiaTheme="minorEastAsia"/>
          <w:sz w:val="21"/>
          <w:szCs w:val="21"/>
          <w:lang w:eastAsia="zh-CN"/>
        </w:rPr>
      </w:pPr>
    </w:p>
    <w:p>
      <w:pPr>
        <w:jc w:val="center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jc w:val="center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rPr>
          <w:rFonts w:hint="default" w:ascii="Times New Roman" w:hAnsi="Times New Roman" w:cs="Times New Roman" w:eastAsiaTheme="minorEastAsia"/>
          <w:b/>
          <w:bCs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lang w:eastAsia="zh-CN"/>
        </w:rPr>
        <w:t>Table 2. Equilibrium binding of PD-1xLAG3 TiMab and parental IgGs to various Fc receptors.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818" w:type="dxa"/>
            <w:gridSpan w:val="4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Antibody KD (nM)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704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FcγRI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HuFcRn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FcγRIIb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HuFcRn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TiMab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ind w:firstLine="420" w:firstLineChars="200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3.8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x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superscript"/>
              </w:rPr>
              <w:t>-9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1.1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x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superscript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  <w:t>6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2.3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x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superscript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  <w:t>7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4.2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x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superscript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PD-1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3.2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x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superscript"/>
              </w:rPr>
              <w:t>-9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9.7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x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superscript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  <w:t>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2.8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x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superscript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  <w:t>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5.9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x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superscript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LAG3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 xml:space="preserve"> 4.4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x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superscript"/>
              </w:rPr>
              <w:t>-9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 xml:space="preserve">8.8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x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superscript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  <w:t>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2.6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x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superscript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  <w:t>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6.8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x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superscript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Isotype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 xml:space="preserve"> 3.7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x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superscript"/>
              </w:rPr>
              <w:t>-9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 xml:space="preserve">1.4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x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superscript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  <w:t>6</w:t>
            </w:r>
          </w:p>
        </w:tc>
        <w:tc>
          <w:tcPr>
            <w:tcW w:w="1705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3.1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x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superscript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  <w:t>7</w:t>
            </w:r>
          </w:p>
        </w:tc>
        <w:tc>
          <w:tcPr>
            <w:tcW w:w="1705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6.2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x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10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superscript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  <w:t>6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4421505"/>
            <wp:effectExtent l="0" t="0" r="8890" b="17145"/>
            <wp:docPr id="7" name="图片 7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42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4"/>
          <w:szCs w:val="24"/>
          <w:lang w:eastAsia="zh-CN"/>
        </w:rPr>
      </w:pP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Supplement Figure 4. Thermostability analysis of PD-1xLAG3 TiMab.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 A and B, binding results with PD-1 and LAG3 after 21-day treatment at 40°C. There was no significant change in the antibody binding ability after treatment. C, The Tm1 of protein was quantitatively detected by DSF. The red arrow indicates a Tm1 value of 62.45°C.</w:t>
      </w:r>
    </w:p>
    <w:p>
      <w:pPr>
        <w:rPr>
          <w:rFonts w:hint="default" w:ascii="Times New Roman" w:hAnsi="Times New Roman" w:cs="Times New Roman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default" w:ascii="Times New Roman" w:hAnsi="Times New Roman" w:cs="Times New Roman" w:eastAsiaTheme="minorEastAsia"/>
          <w:b/>
          <w:bCs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lang w:eastAsia="zh-CN"/>
        </w:rPr>
        <w:t xml:space="preserve">Supplement Table 3. Thermostability of PD-1xLAG3 TiMab at 40ºC. The concentration and </w:t>
      </w:r>
    </w:p>
    <w:p>
      <w:pPr>
        <w:rPr>
          <w:rFonts w:hint="default" w:ascii="Times New Roman" w:hAnsi="Times New Roman" w:cs="Times New Roman" w:eastAsiaTheme="minorEastAsia"/>
          <w:b/>
          <w:bCs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lang w:eastAsia="zh-CN"/>
        </w:rPr>
        <w:t>purity of the antibodies at different time points were measured, respectively. Conc., concentration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IgG4 S228P isotype</w:t>
            </w:r>
          </w:p>
        </w:tc>
        <w:tc>
          <w:tcPr>
            <w:tcW w:w="2131" w:type="dxa"/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PD-1xLAG-3 TiMab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  <w:vMerge w:val="restar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Conc. (mg/mL)</w:t>
            </w:r>
          </w:p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Day 0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1.12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Day 1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1.13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Day 7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1.15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Day 14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1.17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</w:p>
        </w:tc>
        <w:tc>
          <w:tcPr>
            <w:tcW w:w="213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Day 21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1.19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Merge w:val="restar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SEC-HPLC</w:t>
            </w:r>
          </w:p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</w:p>
        </w:tc>
        <w:tc>
          <w:tcPr>
            <w:tcW w:w="213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Day 0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98.18%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95.65%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</w:p>
        </w:tc>
        <w:tc>
          <w:tcPr>
            <w:tcW w:w="213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Day 1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97.40%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94.48%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</w:p>
        </w:tc>
        <w:tc>
          <w:tcPr>
            <w:tcW w:w="213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Day 7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96.87%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93.67%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</w:p>
        </w:tc>
        <w:tc>
          <w:tcPr>
            <w:tcW w:w="213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Day 14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96.36%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92.85%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</w:p>
        </w:tc>
        <w:tc>
          <w:tcPr>
            <w:tcW w:w="213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Day 21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95.34%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92.19%</w:t>
            </w:r>
          </w:p>
        </w:tc>
      </w:tr>
    </w:tbl>
    <w:p>
      <w:pPr>
        <w:rPr>
          <w:rFonts w:hint="default" w:ascii="Times New Roman" w:hAnsi="Times New Roman" w:cs="Times New Roman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1617345"/>
            <wp:effectExtent l="0" t="0" r="10160" b="1905"/>
            <wp:docPr id="9" name="图片 9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1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Supplement Figure 5. Free combination of light and heavy chains in single cell transfection.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 A, The form of correct pair. B, Possible forms of mispair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1550670"/>
            <wp:effectExtent l="0" t="0" r="8255" b="11430"/>
            <wp:docPr id="10" name="图片 10" descr="图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55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Supplement Figure 6. Schematic diagram of 4 tetrevalent (2+2) IgG-like bispecific antibodies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. A, Adding Fab to N-terminal. B, Adding chimeric Fab to N-terminal. C, Adding Fab to C-terminal. D, Adding chimeric Fab to C-terminal.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F81726"/>
    <w:rsid w:val="3A65151B"/>
    <w:rsid w:val="56911C1C"/>
    <w:rsid w:val="76F71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2021-02-18T03:31:19Z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