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87713" w14:textId="77777777" w:rsidR="00C54F24" w:rsidRDefault="00C54F24" w:rsidP="00C54F24">
      <w:pPr>
        <w:pStyle w:val="Heading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Extended Data Figures and Tables</w:t>
      </w:r>
    </w:p>
    <w:p w14:paraId="3B4CE0DB" w14:textId="77777777" w:rsidR="00C54F24" w:rsidRPr="00D34F66" w:rsidRDefault="00C54F24" w:rsidP="00C54F24">
      <w:pPr>
        <w:pStyle w:val="Heading3"/>
        <w:jc w:val="both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Extended Data Table 1. Hazard ratios, 95% confidence intervals, and -log10(P-Values) for having at least one Post-acute Sequelae of SARS-CoV-2 Infection (PASC</w:t>
      </w:r>
      <w:r w:rsidRPr="00530033">
        <w:rPr>
          <w:b/>
          <w:bCs/>
          <w:color w:val="000000" w:themeColor="text1"/>
          <w:sz w:val="22"/>
          <w:szCs w:val="22"/>
        </w:rPr>
        <w:t>), INSIGHT cohort, March 2020 to November 2021.</w:t>
      </w:r>
    </w:p>
    <w:tbl>
      <w:tblPr>
        <w:tblW w:w="9098" w:type="dxa"/>
        <w:tblLook w:val="04A0" w:firstRow="1" w:lastRow="0" w:firstColumn="1" w:lastColumn="0" w:noHBand="0" w:noVBand="1"/>
      </w:tblPr>
      <w:tblGrid>
        <w:gridCol w:w="3603"/>
        <w:gridCol w:w="1612"/>
        <w:gridCol w:w="1173"/>
        <w:gridCol w:w="1612"/>
        <w:gridCol w:w="1098"/>
      </w:tblGrid>
      <w:tr w:rsidR="00C54F24" w:rsidRPr="00A86C27" w14:paraId="31458562" w14:textId="77777777" w:rsidTr="003A69B7">
        <w:trPr>
          <w:trHeight w:val="1280"/>
        </w:trPr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AF9F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Covariate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357D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Univariate HR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bookmarkStart w:id="0" w:name="OLE_LINK40"/>
            <w:bookmarkStart w:id="1" w:name="OLE_LINK41"/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(95% CI)</w:t>
            </w:r>
            <w:bookmarkEnd w:id="0"/>
            <w:bookmarkEnd w:id="1"/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E6D7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Univariate -log10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(P-Value)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9255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Fully adjusted HR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(95% CI)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AA1F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Fully adjusted -log10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(P-Value)</w:t>
            </w:r>
          </w:p>
        </w:tc>
      </w:tr>
      <w:tr w:rsidR="00C54F24" w:rsidRPr="00A86C27" w14:paraId="129836DA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531AE109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The s</w:t>
            </w: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everity of acute infection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4937E757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00B2E2F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69BA59A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2D0E246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54F24" w:rsidRPr="00A86C27" w14:paraId="28A13E54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747D071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Not hospitalized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7B85B22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53116AC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5E3AF71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1726052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2C9FF59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CE0F21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Hospitalized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CB3FA1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1.48 (1.43-1.52)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F8E958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141.6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C0C47D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1.29 (1.24-1.33)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E2C17F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46.4</w:t>
            </w:r>
          </w:p>
        </w:tc>
      </w:tr>
      <w:tr w:rsidR="00C54F24" w:rsidRPr="00A86C27" w14:paraId="6738676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F9D3E6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ICU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E6FD72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1.46 (1.38-1.56)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39CBB1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EC1703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1.40 (1.32-1.49)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DFABD2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25.9</w:t>
            </w:r>
          </w:p>
        </w:tc>
      </w:tr>
      <w:tr w:rsidR="00C54F24" w:rsidRPr="00A86C27" w14:paraId="49DB84FC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9E39E26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Age group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C371FCD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9CBC90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9EBC4F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4EF429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0602BEEE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5898C5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20-39 years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8DABD4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0.78 (0.75-0.81)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A9D13E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31.8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7126CF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0.88 (0.84-0.92)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8EA77C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7.0</w:t>
            </w:r>
          </w:p>
        </w:tc>
      </w:tr>
      <w:tr w:rsidR="00C54F24" w:rsidRPr="00A86C27" w14:paraId="23E9F768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263609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40-54 years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97C65A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0.93 (0.90-0.97)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455973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297962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(0.95-1.03)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C689A0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</w:tr>
      <w:tr w:rsidR="00C54F24" w:rsidRPr="00A86C27" w14:paraId="080140B4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1C51AB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55-64 years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619F26E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1A344A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5F8E90D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B585D5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292A642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31BDD2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65-74 years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EFF2D7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1.12 (1.07-1.17)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E80902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526815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1.06 (1.01-1.11)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13D567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1.8</w:t>
            </w:r>
          </w:p>
        </w:tc>
      </w:tr>
      <w:tr w:rsidR="00C54F24" w:rsidRPr="00A86C27" w14:paraId="66B06FD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A51E97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≥ 75 years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3774F4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1.28 (1.22-1.34)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328C69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E581F8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1.14 (1.09-1.20)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5BE0AC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6.7</w:t>
            </w:r>
          </w:p>
        </w:tc>
      </w:tr>
      <w:tr w:rsidR="00C54F24" w:rsidRPr="00A86C27" w14:paraId="5936E2D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9BFC5D4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Sex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D15225D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ED44D8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1AE5AA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8D89E1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2AF4D6EF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9A9AC0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Male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6D38379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0B89F0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65B9920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B230EA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1E92EA2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DE65B4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Female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9478A9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0.97 (0.94-1.00)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89C31E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B3402A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1.04 (1.01-1.07)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555906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1.9</w:t>
            </w:r>
          </w:p>
        </w:tc>
      </w:tr>
      <w:tr w:rsidR="00C54F24" w:rsidRPr="00A86C27" w14:paraId="4849562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52D0534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Race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B2D501E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467598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BE2669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7865A7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6E608C73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07A141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White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2661A9F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BC2735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3DCFF88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E7DE25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0E3DB0B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8F9133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Asian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661D23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0.91 (0.85-0.98)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1CA16D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0DA286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0.95 (0.89-1.02)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C4D583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C54F24" w:rsidRPr="00A86C27" w14:paraId="6EFAAFD2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FB2011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Black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AE01B8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(1.05-1.13)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28C096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1511FE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1.05 (1.01-1.09)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0412A2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1.6</w:t>
            </w:r>
          </w:p>
        </w:tc>
      </w:tr>
      <w:tr w:rsidR="00C54F24" w:rsidRPr="00A86C27" w14:paraId="41DD6FE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237F81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Other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83533F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1.11 (1.07-1.15)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C16772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4E4C08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1.01 (0.97-1.05)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6BB7DF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</w:tr>
      <w:tr w:rsidR="00C54F24" w:rsidRPr="00A86C27" w14:paraId="5728F16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71A1F8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Missing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0390DA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0.90 (0.86-0.95)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7CDD10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DD8E21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(0.95-1.06)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4658EE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</w:tr>
      <w:tr w:rsidR="00C54F24" w:rsidRPr="00A86C27" w14:paraId="17F4556F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8C15441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Ethnic group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BCA3408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73AD86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78C6B1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0F5276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7D41B36D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37E48B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Not Hispanic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6EB8293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A12C8B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2DAA561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AB4983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15C8EB1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C8D574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Hispanic: Yes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5593FC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1.11 (1.08-1.15)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BF106C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10.8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89E6E7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(1.05-1.14)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1019BF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4.4</w:t>
            </w:r>
          </w:p>
        </w:tc>
      </w:tr>
      <w:tr w:rsidR="00C54F24" w:rsidRPr="00A86C27" w14:paraId="0BB0FB8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7EF5FB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Other or missing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538D11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0.76 (0.73-0.81)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FB9593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4A1276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0.86 (0.81-0.91)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57103F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6.9</w:t>
            </w:r>
          </w:p>
        </w:tc>
      </w:tr>
      <w:tr w:rsidR="00C54F24" w:rsidRPr="00A86C27" w14:paraId="75BBCBFE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FAD84AB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No. of hospital visits in the past 3 yrs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EC750D0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F741A5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423998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4C6B28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237D5E96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08DBF2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Inpatient 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18EAA94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D6C395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3BE1B6A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D29B12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39D184D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BA2764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Inpatient 1-2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2A0A78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1.16 (1.12-1.20)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848048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DE21C4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0.96 (0.92-1.00)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664F32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</w:t>
            </w:r>
          </w:p>
        </w:tc>
      </w:tr>
      <w:tr w:rsidR="00C54F24" w:rsidRPr="00A86C27" w14:paraId="36D799A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5E1621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Inpatient ≥ 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27C616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1.17 (1.11-1.23)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8B2430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9C13DE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0.87 (0.82-0.93)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56FA34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4.1</w:t>
            </w:r>
          </w:p>
        </w:tc>
      </w:tr>
      <w:tr w:rsidR="00C54F24" w:rsidRPr="00A86C27" w14:paraId="265AE0C0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82EAB1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Outpatient 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0166116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3B789C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732D181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4031C2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703E4C60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76CF98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Outpatient 1-2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AAD400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0.71 (0.66-0.76)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37D344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54BD12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0.80 (0.74-0.86)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8A2951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9.0</w:t>
            </w:r>
          </w:p>
        </w:tc>
      </w:tr>
      <w:tr w:rsidR="00C54F24" w:rsidRPr="00A86C27" w14:paraId="581D9CDC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104E17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Outpatient ≥ 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34B070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0.62 (0.58-0.66)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05934C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57.7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94A16E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0.64 (0.60-0.68)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A5D4B4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47.1</w:t>
            </w:r>
          </w:p>
        </w:tc>
      </w:tr>
      <w:tr w:rsidR="00C54F24" w:rsidRPr="00A86C27" w14:paraId="6C3ACF02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3179B5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Emergency 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3BAFE06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541A4C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225BDF8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99A36F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63D9CD07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7246B8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Emergency 1-2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B3EC26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1.17 (1.13-1.21)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1B4125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430DDF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1.05 (1.01-1.08)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1C0FDE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1.9</w:t>
            </w:r>
          </w:p>
        </w:tc>
      </w:tr>
      <w:tr w:rsidR="00C54F24" w:rsidRPr="00A86C27" w14:paraId="167800D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59B694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Emergency ≥ 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6228A3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1.17 (1.12-1.22)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61CDCB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C4AFFB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1.02 (0.97-1.07)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440D6A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4CF4109B" w14:textId="77777777" w:rsidTr="003A69B7">
        <w:trPr>
          <w:trHeight w:val="300"/>
        </w:trPr>
        <w:tc>
          <w:tcPr>
            <w:tcW w:w="5215" w:type="dxa"/>
            <w:gridSpan w:val="2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4C4093A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Median Area Deprivation Index (rank)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FA2AB7F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E99EE2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252C8F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178D0266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A2DED9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ADI1-19 (least deprived)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5F00872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24EDAE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1631D9E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180DC3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3D42C4D2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7A1C36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ADI20-39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3D2BAD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(0.96-1.03)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6566AD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C4DEF2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0.97 (0.93-1.00)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4DBBF3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</w:t>
            </w:r>
          </w:p>
        </w:tc>
      </w:tr>
      <w:tr w:rsidR="00C54F24" w:rsidRPr="00A86C27" w14:paraId="4E6B6F94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585761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ADI40-59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C104D5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0.97 (0.89-1.05)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873B53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9FA96D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0.96 (0.89-1.05)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D7A0DA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64141F3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AA4506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ADI80-100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CADCF9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(0.96-1.22)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300DE7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3627D0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(0.87-1.10)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4643A0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C54F24" w:rsidRPr="00A86C27" w14:paraId="625C899A" w14:textId="77777777" w:rsidTr="003A69B7">
        <w:trPr>
          <w:trHeight w:val="34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2FEBC60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Body Mass Index (kg/m</w:t>
            </w: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val="en-US"/>
              </w:rPr>
              <w:t>2</w:t>
            </w: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18D9394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F63736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54EF9B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1CE4C9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2D15C312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317CFD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BMI: 18.5-&lt;25 normal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138DFF8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990479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3F164CA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586BD3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3126016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6E9461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BMI: &lt;18.5 underweight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E32647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1.18 (1.13-1.24)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E4575C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9C4753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1.17 (1.12-1.23)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0D1869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10.8</w:t>
            </w:r>
          </w:p>
        </w:tc>
      </w:tr>
      <w:tr w:rsidR="00C54F24" w:rsidRPr="00A86C27" w14:paraId="4B160D1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A10106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 xml:space="preserve">BMI: 25-&lt;30 overweight 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552064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0.97 (0.93-1.01)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6C88B5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697756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0.97 (0.93-1.01)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B80E67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</w:t>
            </w:r>
          </w:p>
        </w:tc>
      </w:tr>
      <w:tr w:rsidR="00C54F24" w:rsidRPr="00A86C27" w14:paraId="27C3E8F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802000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 xml:space="preserve">BMI: ≥30 obese 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FC8EFD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(0.94-1.02)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AA6651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C804C8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(0.93-1.02)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10429C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C54F24" w:rsidRPr="00A86C27" w14:paraId="6D81899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1CC7F7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BMI: missing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D42626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0.69 (0.65-0.73)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6C6CEE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3FC75E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0.82 (0.77-0.87)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74497D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11.1</w:t>
            </w:r>
          </w:p>
        </w:tc>
      </w:tr>
      <w:tr w:rsidR="00C54F24" w:rsidRPr="00A86C27" w14:paraId="5A467F1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D883D13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Smoking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E9BC5DE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9027F7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FE092F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5737B1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60643FF9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D859B3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Smoker: never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69A0B0B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4A7987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vAlign w:val="center"/>
            <w:hideMark/>
          </w:tcPr>
          <w:p w14:paraId="3C9029F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1A635A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2CD4D2B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0F70F2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Smoker: current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10DD68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1.02 (0.91-1.14)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AEB3D0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D9107E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0.90 (0.80-1.01)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FE9F12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</w:t>
            </w:r>
          </w:p>
        </w:tc>
      </w:tr>
      <w:tr w:rsidR="00C54F24" w:rsidRPr="00A86C27" w14:paraId="094FFEE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BA3EC4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Smoker: former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AAD268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(0.88-1.10)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FACF4A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933313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0.90 (0.81-1.01)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BF3F6C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</w:t>
            </w:r>
          </w:p>
        </w:tc>
      </w:tr>
      <w:tr w:rsidR="00C54F24" w:rsidRPr="00A86C27" w14:paraId="730D63F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CF385A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Smoker: missing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55BB41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1.02 (0.96-1.09)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A19587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9645D5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0.96 (0.90-1.03)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A5ED49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C54F24" w:rsidRPr="00A86C27" w14:paraId="5F74D83B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3C1CC48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Infection Period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CC6CB3D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16F97E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1239AB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DF231F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58033B08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098378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03/20-06/20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0A965B8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5423A1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18BA407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C4902F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011276C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EFC8D6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07/20-10/20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9CA818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0.95 (0.89-1.01)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8D8570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E8FCE2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(0.92-1.05)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DE5B9B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</w:tr>
      <w:tr w:rsidR="00C54F24" w:rsidRPr="00A86C27" w14:paraId="591AB8B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C62725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11/20-02/21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7C9AEE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0.95 (0.92-0.98)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F48A34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0AD755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(0.96-1.03)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97BAFF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C54F24" w:rsidRPr="00A86C27" w14:paraId="1C0DE54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12D862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03/21-06/21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A810E3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1.07 (1.02-1.11)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40B31B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C7F1C4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1.07 (1.02-1.12)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36DF2F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</w:tr>
      <w:tr w:rsidR="00C54F24" w:rsidRPr="00A86C27" w14:paraId="797A530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C22044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07/21-11/21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00ADAB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1.42 (1.30-1.54)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B750D1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14.8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4844C8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1.55 (1.42-1.69)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278A5B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21.5</w:t>
            </w:r>
          </w:p>
        </w:tc>
      </w:tr>
      <w:tr w:rsidR="00C54F24" w:rsidRPr="00A86C27" w14:paraId="4F4CC867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4D0A69C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No. of pre-existing conditions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39491CE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5AA4B3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114BD2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3AA174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31CABE54" w14:textId="77777777" w:rsidTr="003A69B7">
        <w:trPr>
          <w:trHeight w:val="32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FB0F2A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No comorbidity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525AE03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3578F9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vAlign w:val="center"/>
            <w:hideMark/>
          </w:tcPr>
          <w:p w14:paraId="512D75B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(ref)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80ACF9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C54F24" w:rsidRPr="00A86C27" w14:paraId="073740EC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9F47AA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1 comorbidity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3112B5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1.15 (1.10-1.20)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4B93D1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1697EE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1.07 (1.02-1.12)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737800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2.1</w:t>
            </w:r>
          </w:p>
        </w:tc>
      </w:tr>
      <w:tr w:rsidR="00C54F24" w:rsidRPr="00A86C27" w14:paraId="4B1AAAC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DC24FE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2 comorbidities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281787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1.19 (1.13-1.25)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BF8263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10.2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9DE8E1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1.04 (0.98-1.10)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9FD726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C54F24" w:rsidRPr="00A86C27" w14:paraId="1835585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916EB4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3 comorbidities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F4C480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1.24 (1.17-1.31)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C74E4F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B8124E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1.03 (0.97-1.10)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470D8A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</w:t>
            </w:r>
          </w:p>
        </w:tc>
      </w:tr>
      <w:tr w:rsidR="00C54F24" w:rsidRPr="00A86C27" w14:paraId="0B1DDC4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189CB6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4 comorbidities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E4C2BA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1.34 (1.26-1.42)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B341A6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8E5049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1.08 (1.01-1.16)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4ED9FF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1.6</w:t>
            </w:r>
          </w:p>
        </w:tc>
      </w:tr>
      <w:tr w:rsidR="00C54F24" w:rsidRPr="00A86C27" w14:paraId="3FC2C1D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397A58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≥5 comorbidities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BB6AFF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1.43 (1.38-1.48)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A899B3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78.6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C13F92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1.05 (0.97-1.13)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549154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C54F24" w:rsidRPr="00A86C27" w14:paraId="23ED4A42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D92A4DA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Pre-existing conditions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DCB19EE" w14:textId="77777777" w:rsidR="00C54F24" w:rsidRPr="00A86C27" w:rsidRDefault="00C54F24" w:rsidP="003A69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3AEBE6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1CAD0C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CB842F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</w:p>
        </w:tc>
      </w:tr>
      <w:tr w:rsidR="00C54F24" w:rsidRPr="00A86C27" w14:paraId="4216B85E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146989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Alcohol Abuse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C59F30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1.18 (1.09-1.28)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1CC9F7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20E8F4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0.96 (0.88-1.05)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39BFBC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5C26AA4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CABB51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Anemia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24FA72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1.21 (1.16-1.26)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4CD1F3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C33982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1.00 (0.95-1.05)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262320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</w:tr>
      <w:tr w:rsidR="00C54F24" w:rsidRPr="00A86C27" w14:paraId="3C44DEF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25F87A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Arrythmia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5E35F3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1.28 (1.23-1.33)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EC99DF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33.7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7BF1C9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(0.93-1.02)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9B9E9A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0.5</w:t>
            </w:r>
          </w:p>
        </w:tc>
      </w:tr>
      <w:tr w:rsidR="00C54F24" w:rsidRPr="00A86C27" w14:paraId="36701A95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9299D6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Asthma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C87D70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1.16 (1.11-1.21)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24FF46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05F6E8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1.05 (0.98-1.12)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821095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C54F24" w:rsidRPr="00A86C27" w14:paraId="06DEBECF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5B8A70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Cancer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7EBF29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1.25 (1.19-1.31)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1C7205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F2F8E8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1.13 (1.07-1.18)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E7AC4D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6.0</w:t>
            </w:r>
          </w:p>
        </w:tc>
      </w:tr>
      <w:tr w:rsidR="00C54F24" w:rsidRPr="00A86C27" w14:paraId="20D53605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A4AB5F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Chronic Kidney Disease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F34538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1.31 (1.26-1.36)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575006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39.6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49CC57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1.05 (1.00-1.10)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D4FFE2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</w:t>
            </w:r>
          </w:p>
        </w:tc>
      </w:tr>
      <w:tr w:rsidR="00C54F24" w:rsidRPr="00A86C27" w14:paraId="58AEFA7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E86253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Chronic Pulmonary Disorders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B4ED98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1.23 (1.18-1.27)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AFB86A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26.7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E6A801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1.03 (0.96-1.10)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6C041F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49CDF84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BCAA1D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Cirrhosis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7B0427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1.43 (1.29-1.58)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FF2F5B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6C984E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1.22 (1.10-1.35)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BFCBC3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3.6</w:t>
            </w:r>
          </w:p>
        </w:tc>
      </w:tr>
      <w:tr w:rsidR="00C54F24" w:rsidRPr="00A86C27" w14:paraId="6C41FA2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DB9A0C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Coagulopathy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559602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1.34 (1.27-1.41)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0CAE08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26.5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214A0D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1.07 (1.01-1.14)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C6C27D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1.9</w:t>
            </w:r>
          </w:p>
        </w:tc>
      </w:tr>
      <w:tr w:rsidR="00C54F24" w:rsidRPr="00A86C27" w14:paraId="43BCB940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A25FB0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Congestive Heart Failure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E1C7EE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1.32 (1.26-1.38)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63C6C3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70F16D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1.04 (0.98-1.09)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8ED540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</w:t>
            </w:r>
          </w:p>
        </w:tc>
      </w:tr>
      <w:tr w:rsidR="00C54F24" w:rsidRPr="00A86C27" w14:paraId="4173E19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A1BB51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COPD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3FE782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1.29 (1.22-1.38)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454AA1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15.0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F0D1A9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(0.90-1.05)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4C26A4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C54F24" w:rsidRPr="00A86C27" w14:paraId="6B83A120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5A20F6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Coronary Artery Disease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534FEE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1.24 (1.19-1.29)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D24287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F30D4F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(0.94-1.04)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F67C88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</w:tr>
      <w:tr w:rsidR="00C54F24" w:rsidRPr="00A86C27" w14:paraId="095568C2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3C9458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Dementia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B7D447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1.46 (1.37-1.56)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FB7EC0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27.3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DE5E8B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1.03 (0.96-1.11)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81D5BB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23F614E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CA0A10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Diabetes Type 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94F9A5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1.22 (1.07-1.38)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DE09F9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D56851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1.11 (0.98-1.25)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B3BE61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</w:t>
            </w:r>
          </w:p>
        </w:tc>
      </w:tr>
      <w:tr w:rsidR="00C54F24" w:rsidRPr="00A86C27" w14:paraId="0BC4A072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28CF65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Diabetes Type 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4D3AE0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1.23 (1.18-1.27)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7C7A8B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19F74F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(0.93-1.06)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D5688A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C54F24" w:rsidRPr="00A86C27" w14:paraId="79BB227E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14BF6F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End Stage Renal Disease on Dialysis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A4EAC3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1.23 (1.15-1.31)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7307F5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A91CE2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1.03 (0.96-1.11)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69F563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630DB751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B27238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Hemiplegia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78BA1B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1.20 (1.06-1.36)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2C83DA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6F2FF4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0.96 (0.85-1.09)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337E9B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C54F24" w:rsidRPr="00A86C27" w14:paraId="16BAC387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03E943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Herpes Zoster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BC8CA2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(0.83-1.17)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0FF777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397908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0.89 (0.75-1.05)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891A6D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0.8</w:t>
            </w:r>
          </w:p>
        </w:tc>
      </w:tr>
      <w:tr w:rsidR="00C54F24" w:rsidRPr="00A86C27" w14:paraId="796E942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5EBCCB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HIV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219449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1.03 (0.92-1.16)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E6888C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B5512A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0.93 (0.83-1.04)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9B9D6B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C54F24" w:rsidRPr="00A86C27" w14:paraId="1C10448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236711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Hypertension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D9C450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1.28 (1.24-1.31)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F10418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57.2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DAED62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1.01 (0.97-1.06)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75A3E2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C54F24" w:rsidRPr="00A86C27" w14:paraId="1A5D4A05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722A6E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Hypertension and Type 1/2 Diabetes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769789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1.23 (1.19-1.28)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443BA5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28.9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55100D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0.97 (0.90-1.04)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F98F78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6E547114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7ED4FF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Inflammatory Bowel Disorder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621D91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(0.86-1.15)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B92858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F193FA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(0.86-1.14)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6AC62B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C54F24" w:rsidRPr="00A86C27" w14:paraId="68BC696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883019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Lupus or Systemic Lupus Erythematosus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4E15C2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1.04 (0.89-1.21)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499B4B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7B5A05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0.94 (0.81-1.10)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DD4689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</w:t>
            </w:r>
          </w:p>
        </w:tc>
      </w:tr>
      <w:tr w:rsidR="00C54F24" w:rsidRPr="00A86C27" w14:paraId="63E86BB3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F246F6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Mental Health Disorders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3D1C9B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1.24 (1.19-1.30)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2340D0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20.4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1E5A5E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1.08 (1.03-1.13)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21B7F1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</w:tr>
      <w:tr w:rsidR="00C54F24" w:rsidRPr="00A86C27" w14:paraId="53E9181D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678AF0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Multiple Sclerosis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EDEB8A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1.04 (0.85-1.27)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15F42E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E96560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1.03 (0.85-1.25)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86F610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C54F24" w:rsidRPr="00A86C27" w14:paraId="1E38B5DF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04EE59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Obstructive sleep apnea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DCA3ED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(1.03-1.16)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2D8F93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8DEC27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(0.92-1.04)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4D86F7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C54F24" w:rsidRPr="00A86C27" w14:paraId="2B9F9BF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0A5E1B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Other Substance Abuse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6D1CC33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1.19 (1.12-1.26)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993B7B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2FCB2B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1.06 (1.00-1.14)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361D7C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</w:t>
            </w:r>
          </w:p>
        </w:tc>
      </w:tr>
      <w:tr w:rsidR="00C54F24" w:rsidRPr="00A86C27" w14:paraId="5E32C19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52F7F8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Parkinson's Disease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A3BBF8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1.15 (0.96-1.37)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51303A7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23FFAE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0.90 (0.75-1.07)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B89BD5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</w:t>
            </w:r>
          </w:p>
        </w:tc>
      </w:tr>
      <w:tr w:rsidR="00C54F24" w:rsidRPr="00A86C27" w14:paraId="28715CAC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C39ED7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 xml:space="preserve">Peripheral vascular disorders 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558A54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1.23 (1.16-1.30)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4C8AE7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1D8FA3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0.99 (0.93-1.05)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C050A8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</w:tr>
      <w:tr w:rsidR="00C54F24" w:rsidRPr="00A86C27" w14:paraId="4157CA5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1FFCE97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Pregnant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495F9F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0.70 (0.65-0.77)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8A329E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68AA2F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0.79 (0.72-0.86)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F9990D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6.7</w:t>
            </w:r>
          </w:p>
        </w:tc>
      </w:tr>
      <w:tr w:rsidR="00C54F24" w:rsidRPr="00A86C27" w14:paraId="53D9E2B9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FFAA49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Pulmonary Circulation Disorder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D8993D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1.39 (1.30-1.49)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1F98E8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19.7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DDD885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(1.01-1.18)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6C44D6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1.6</w:t>
            </w:r>
          </w:p>
        </w:tc>
      </w:tr>
      <w:tr w:rsidR="00C54F24" w:rsidRPr="00A86C27" w14:paraId="35EA1BD5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8DBB48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Rheumatoid Arthritis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FA9EA19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1.15 (1.03-1.29)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486A45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C5C511C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1.04 (0.93-1.17)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7CA08A64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C54F24" w:rsidRPr="00A86C27" w14:paraId="5380CB2B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13A9DC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Seizure/Epilepsy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70C4E97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1.22 (1.11-1.34)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D3D36FF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073BA7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1.05 (0.96-1.16)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32C53B4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</w:t>
            </w:r>
          </w:p>
        </w:tc>
      </w:tr>
      <w:tr w:rsidR="00C54F24" w:rsidRPr="00A86C27" w14:paraId="3A7C0ECE" w14:textId="77777777" w:rsidTr="003A69B7">
        <w:trPr>
          <w:trHeight w:val="34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EFF146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Severe Obesity (BMI≥40 kg/m</w:t>
            </w:r>
            <w:r w:rsidRPr="00A86C27">
              <w:rPr>
                <w:rFonts w:ascii="Calibri" w:eastAsia="Times New Roman" w:hAnsi="Calibri" w:cs="Calibri"/>
                <w:color w:val="000000"/>
                <w:vertAlign w:val="superscript"/>
                <w:lang w:val="en-US"/>
              </w:rPr>
              <w:t>2</w:t>
            </w: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)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ABF715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(1.03-1.15)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D6BE4F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F3C4AE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1.02 (0.96-1.08)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711371D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</w:t>
            </w:r>
          </w:p>
        </w:tc>
      </w:tr>
      <w:tr w:rsidR="00C54F24" w:rsidRPr="00A86C27" w14:paraId="309F379A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4450C25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Sickle Cell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93B49D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1.07 (0.90-1.26)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28D4BC0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219FBB8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1.01 (0.85-1.20)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7E9D50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</w:t>
            </w:r>
          </w:p>
        </w:tc>
      </w:tr>
      <w:tr w:rsidR="00C54F24" w:rsidRPr="00A86C27" w14:paraId="19101002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724EDA7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Weight Loss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EBE104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1.38 (1.29-1.47)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C839A9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4FCE2CB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(1.02-1.17)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3395E8C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1.8</w:t>
            </w:r>
          </w:p>
        </w:tc>
      </w:tr>
      <w:tr w:rsidR="00C54F24" w:rsidRPr="00A86C27" w14:paraId="5C8EB906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1842DDE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Corticosteroids drugs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584834E5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1.09 (1.05-1.14)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5221BB1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4.5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688D41B8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0.98 (0.94-1.03)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auto" w:fill="auto"/>
            <w:noWrap/>
            <w:vAlign w:val="bottom"/>
            <w:hideMark/>
          </w:tcPr>
          <w:p w14:paraId="0E1F29AE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</w:t>
            </w:r>
          </w:p>
        </w:tc>
      </w:tr>
      <w:tr w:rsidR="00C54F24" w:rsidRPr="00A86C27" w14:paraId="281E67EE" w14:textId="77777777" w:rsidTr="003A69B7">
        <w:trPr>
          <w:trHeight w:val="300"/>
        </w:trPr>
        <w:tc>
          <w:tcPr>
            <w:tcW w:w="360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6A5CF996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lang w:val="en-US"/>
              </w:rPr>
              <w:t>Immunosuppressant drugs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BDFEA9A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1.01 (0.95-1.07)</w:t>
            </w:r>
          </w:p>
        </w:tc>
        <w:tc>
          <w:tcPr>
            <w:tcW w:w="1173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2837DA2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1612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1B80912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0.91 (0.85-0.97)</w:t>
            </w:r>
          </w:p>
        </w:tc>
        <w:tc>
          <w:tcPr>
            <w:tcW w:w="1098" w:type="dxa"/>
            <w:tcBorders>
              <w:top w:val="single" w:sz="4" w:space="0" w:color="C0504D"/>
              <w:left w:val="single" w:sz="4" w:space="0" w:color="C0504D"/>
              <w:bottom w:val="single" w:sz="4" w:space="0" w:color="C0504D"/>
              <w:right w:val="single" w:sz="4" w:space="0" w:color="C0504D"/>
            </w:tcBorders>
            <w:shd w:val="clear" w:color="F2DCDB" w:fill="F2DCDB"/>
            <w:noWrap/>
            <w:vAlign w:val="bottom"/>
            <w:hideMark/>
          </w:tcPr>
          <w:p w14:paraId="0C40AC4B" w14:textId="77777777" w:rsidR="00C54F24" w:rsidRPr="00A86C27" w:rsidRDefault="00C54F24" w:rsidP="003A69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86C2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</w:tr>
    </w:tbl>
    <w:p w14:paraId="3185E627" w14:textId="77777777" w:rsidR="00C54F24" w:rsidRDefault="00C54F24" w:rsidP="00C54F24">
      <w:pPr>
        <w:jc w:val="both"/>
        <w:rPr>
          <w:rFonts w:asciiTheme="majorHAnsi" w:hAnsiTheme="majorHAnsi" w:cstheme="majorHAnsi"/>
          <w:sz w:val="18"/>
          <w:szCs w:val="18"/>
        </w:rPr>
      </w:pPr>
      <w:bookmarkStart w:id="2" w:name="OLE_LINK38"/>
      <w:bookmarkStart w:id="3" w:name="OLE_LINK39"/>
      <w:r>
        <w:rPr>
          <w:rFonts w:asciiTheme="majorHAnsi" w:hAnsiTheme="majorHAnsi" w:cstheme="majorHAnsi"/>
          <w:sz w:val="18"/>
          <w:szCs w:val="18"/>
        </w:rPr>
        <w:t>Ref, reference group; 95% CI, 95% Confidence Interval. Risks in each categorical class were compared to the reference.</w:t>
      </w:r>
    </w:p>
    <w:p w14:paraId="78DB2272" w14:textId="77777777" w:rsidR="00C54F24" w:rsidRDefault="00C54F24" w:rsidP="00C54F24">
      <w:pPr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-log10 (p-Value), the larger, the more significant. Two reference values are -log10(0.05)=1.3, -log10(0.01)=2.</w:t>
      </w:r>
    </w:p>
    <w:p w14:paraId="09C5616C" w14:textId="77777777" w:rsidR="00C54F24" w:rsidRDefault="00C54F24" w:rsidP="00C54F24">
      <w:pPr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See our PASC list in the method section.</w:t>
      </w:r>
    </w:p>
    <w:p w14:paraId="74371A9D" w14:textId="77777777" w:rsidR="00C54F24" w:rsidRDefault="00C54F24" w:rsidP="00C54F24">
      <w:pPr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See the adjusted covariates in the method section.</w:t>
      </w:r>
    </w:p>
    <w:p w14:paraId="0104E396" w14:textId="77777777" w:rsidR="00C54F24" w:rsidRDefault="00C54F24" w:rsidP="00C54F24">
      <w:pPr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Pre-</w:t>
      </w:r>
      <w:r w:rsidRPr="00CC2736">
        <w:rPr>
          <w:rFonts w:asciiTheme="majorHAnsi" w:hAnsiTheme="majorHAnsi" w:cstheme="majorHAnsi"/>
          <w:sz w:val="18"/>
          <w:szCs w:val="18"/>
        </w:rPr>
        <w:t xml:space="preserve">existing conditions </w:t>
      </w:r>
      <w:r>
        <w:rPr>
          <w:rFonts w:asciiTheme="majorHAnsi" w:hAnsiTheme="majorHAnsi" w:cstheme="majorHAnsi"/>
          <w:sz w:val="18"/>
          <w:szCs w:val="18"/>
        </w:rPr>
        <w:t>were ascertained existence</w:t>
      </w:r>
      <w:r w:rsidRPr="00CC2736">
        <w:rPr>
          <w:rFonts w:asciiTheme="majorHAnsi" w:hAnsiTheme="majorHAnsi" w:cstheme="majorHAnsi"/>
          <w:sz w:val="18"/>
          <w:szCs w:val="18"/>
        </w:rPr>
        <w:t xml:space="preserve"> if two records in the </w:t>
      </w:r>
      <w:r>
        <w:rPr>
          <w:rFonts w:asciiTheme="majorHAnsi" w:hAnsiTheme="majorHAnsi" w:cstheme="majorHAnsi"/>
          <w:sz w:val="18"/>
          <w:szCs w:val="18"/>
        </w:rPr>
        <w:t xml:space="preserve">past </w:t>
      </w:r>
      <w:r w:rsidRPr="00CC2736">
        <w:rPr>
          <w:rFonts w:asciiTheme="majorHAnsi" w:hAnsiTheme="majorHAnsi" w:cstheme="majorHAnsi"/>
          <w:sz w:val="18"/>
          <w:szCs w:val="18"/>
        </w:rPr>
        <w:t xml:space="preserve">3-years prior to index event. See detailed phenotyping codes in the appendix. </w:t>
      </w:r>
      <w:bookmarkEnd w:id="2"/>
      <w:bookmarkEnd w:id="3"/>
    </w:p>
    <w:p w14:paraId="339BB05C" w14:textId="77777777" w:rsidR="00C54F24" w:rsidRDefault="00C54F24" w:rsidP="00C54F24">
      <w:pPr>
        <w:spacing w:line="240" w:lineRule="auto"/>
        <w:rPr>
          <w:rFonts w:asciiTheme="majorHAnsi" w:hAnsiTheme="majorHAnsi" w:cstheme="majorHAnsi"/>
          <w:sz w:val="18"/>
          <w:szCs w:val="18"/>
        </w:rPr>
      </w:pPr>
    </w:p>
    <w:p w14:paraId="76C97C1B" w14:textId="77777777" w:rsidR="00C54F24" w:rsidRPr="005F5A27" w:rsidRDefault="00C54F24" w:rsidP="00C54F24">
      <w:pPr>
        <w:jc w:val="both"/>
        <w:sectPr w:rsidR="00C54F24" w:rsidRPr="005F5A27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2AAB167A" w14:textId="77777777" w:rsidR="00C54F24" w:rsidRPr="00C51607" w:rsidRDefault="00C54F24" w:rsidP="00C54F24">
      <w:pPr>
        <w:pStyle w:val="Heading3"/>
        <w:jc w:val="both"/>
        <w:rPr>
          <w:color w:val="000000" w:themeColor="text1"/>
          <w:sz w:val="22"/>
          <w:szCs w:val="22"/>
        </w:rPr>
      </w:pPr>
      <w:r>
        <w:rPr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6BB546E9" wp14:editId="246E3795">
            <wp:extent cx="5943600" cy="6367145"/>
            <wp:effectExtent l="0" t="0" r="0" b="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6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OLE_LINK34"/>
      <w:bookmarkStart w:id="5" w:name="OLE_LINK35"/>
      <w:r>
        <w:rPr>
          <w:b/>
          <w:bCs/>
          <w:color w:val="000000" w:themeColor="text1"/>
          <w:sz w:val="22"/>
          <w:szCs w:val="22"/>
        </w:rPr>
        <w:t>Extended Data Fig. 1. Sensitivity analyses of identified risk factors associated with incident PASC conditions, the INSIGHT cohort, March 2020 to November 2021.</w:t>
      </w:r>
      <w:r>
        <w:rPr>
          <w:color w:val="000000" w:themeColor="text1"/>
          <w:sz w:val="22"/>
          <w:szCs w:val="22"/>
        </w:rPr>
        <w:t xml:space="preserve"> </w:t>
      </w:r>
      <w:r w:rsidRPr="00584AF5">
        <w:rPr>
          <w:b/>
          <w:bCs/>
          <w:color w:val="000000" w:themeColor="text1"/>
          <w:sz w:val="22"/>
          <w:szCs w:val="22"/>
        </w:rPr>
        <w:t xml:space="preserve">The associations ruled out by the riskier than control criterion </w:t>
      </w:r>
      <w:r>
        <w:rPr>
          <w:b/>
          <w:bCs/>
          <w:color w:val="000000" w:themeColor="text1"/>
          <w:sz w:val="22"/>
          <w:szCs w:val="22"/>
        </w:rPr>
        <w:t>were</w:t>
      </w:r>
      <w:r w:rsidRPr="00584AF5">
        <w:rPr>
          <w:b/>
          <w:bCs/>
          <w:color w:val="000000" w:themeColor="text1"/>
          <w:sz w:val="22"/>
          <w:szCs w:val="22"/>
        </w:rPr>
        <w:t xml:space="preserve"> highlighted in red squares.</w:t>
      </w:r>
      <w:r>
        <w:rPr>
          <w:color w:val="000000" w:themeColor="text1"/>
          <w:sz w:val="22"/>
          <w:szCs w:val="22"/>
        </w:rPr>
        <w:t xml:space="preserve"> The adjusted hazard ratios of different factors were reported. The colors represent different risk levels. The risk factors were identified by meeting three criteria: aHR &gt; 1, p-Value &lt; 0.00056, and riskier than in the control group. ICD-10 diagnosis codes B948 (sequelae of other specified infectious and parasitic diseases) and U099 (post-COVID-19 condition, unspecified) were used to capture general post-acute sequelae of SARS-CoV-2 infection.</w:t>
      </w:r>
    </w:p>
    <w:bookmarkEnd w:id="4"/>
    <w:bookmarkEnd w:id="5"/>
    <w:p w14:paraId="008A0F88" w14:textId="77777777" w:rsidR="00C54F24" w:rsidRDefault="00C54F24" w:rsidP="00C54F24">
      <w:pPr>
        <w:pStyle w:val="Heading3"/>
        <w:jc w:val="both"/>
        <w:rPr>
          <w:color w:val="000000" w:themeColor="text1"/>
          <w:sz w:val="22"/>
          <w:szCs w:val="22"/>
        </w:rPr>
      </w:pPr>
      <w:r>
        <w:rPr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33570800" wp14:editId="2CDABCAC">
            <wp:extent cx="5943600" cy="3368040"/>
            <wp:effectExtent l="0" t="0" r="0" b="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0000" w:themeColor="text1"/>
          <w:sz w:val="22"/>
          <w:szCs w:val="22"/>
        </w:rPr>
        <w:t xml:space="preserve">Extended Data Fig. 2. Predictive performance of incident post-acute sequelae of SARS-CoV-2 infection (PASC) </w:t>
      </w:r>
      <w:r>
        <w:rPr>
          <w:rFonts w:hint="eastAsia"/>
          <w:b/>
          <w:bCs/>
          <w:color w:val="000000" w:themeColor="text1"/>
          <w:sz w:val="22"/>
          <w:szCs w:val="22"/>
        </w:rPr>
        <w:t>by</w:t>
      </w:r>
      <w:r>
        <w:rPr>
          <w:b/>
          <w:bCs/>
          <w:color w:val="000000" w:themeColor="text1"/>
          <w:sz w:val="22"/>
          <w:szCs w:val="22"/>
        </w:rPr>
        <w:t xml:space="preserve"> </w:t>
      </w:r>
      <w:r>
        <w:rPr>
          <w:rFonts w:hint="eastAsia"/>
          <w:b/>
          <w:bCs/>
          <w:color w:val="000000" w:themeColor="text1"/>
          <w:sz w:val="22"/>
          <w:szCs w:val="22"/>
        </w:rPr>
        <w:t>different</w:t>
      </w:r>
      <w:r>
        <w:rPr>
          <w:b/>
          <w:bCs/>
          <w:color w:val="000000" w:themeColor="text1"/>
          <w:sz w:val="22"/>
          <w:szCs w:val="22"/>
        </w:rPr>
        <w:t> </w:t>
      </w:r>
      <w:r>
        <w:rPr>
          <w:b/>
          <w:bCs/>
          <w:color w:val="000000" w:themeColor="text1"/>
          <w:sz w:val="22"/>
          <w:szCs w:val="22"/>
          <w:lang w:val="en-US"/>
        </w:rPr>
        <w:t>machine learning models</w:t>
      </w:r>
      <w:r>
        <w:rPr>
          <w:b/>
          <w:bCs/>
          <w:color w:val="000000" w:themeColor="text1"/>
          <w:sz w:val="22"/>
          <w:szCs w:val="22"/>
        </w:rPr>
        <w:t xml:space="preserve">, based on the </w:t>
      </w:r>
      <w:r w:rsidRPr="00B52AA6">
        <w:rPr>
          <w:b/>
          <w:bCs/>
          <w:color w:val="000000" w:themeColor="text1"/>
          <w:sz w:val="22"/>
          <w:szCs w:val="22"/>
        </w:rPr>
        <w:t>pre-defined</w:t>
      </w:r>
      <w:r>
        <w:rPr>
          <w:color w:val="000000" w:themeColor="text1"/>
          <w:sz w:val="22"/>
          <w:szCs w:val="22"/>
        </w:rPr>
        <w:t xml:space="preserve"> </w:t>
      </w:r>
      <w:r>
        <w:rPr>
          <w:b/>
          <w:bCs/>
          <w:color w:val="000000" w:themeColor="text1"/>
          <w:sz w:val="22"/>
          <w:szCs w:val="22"/>
        </w:rPr>
        <w:t xml:space="preserve">baseline </w:t>
      </w:r>
      <w:bookmarkStart w:id="6" w:name="OLE_LINK32"/>
      <w:bookmarkStart w:id="7" w:name="OLE_LINK33"/>
      <w:r>
        <w:rPr>
          <w:b/>
          <w:bCs/>
          <w:color w:val="000000" w:themeColor="text1"/>
          <w:sz w:val="22"/>
          <w:szCs w:val="22"/>
        </w:rPr>
        <w:t xml:space="preserve">covariates </w:t>
      </w:r>
      <w:bookmarkEnd w:id="6"/>
      <w:bookmarkEnd w:id="7"/>
      <w:r>
        <w:rPr>
          <w:b/>
          <w:bCs/>
          <w:color w:val="000000" w:themeColor="text1"/>
          <w:sz w:val="22"/>
          <w:szCs w:val="22"/>
        </w:rPr>
        <w:t>and the severity of acute infection</w:t>
      </w:r>
      <w:r>
        <w:rPr>
          <w:rFonts w:hint="eastAsia"/>
          <w:b/>
          <w:bCs/>
          <w:color w:val="000000" w:themeColor="text1"/>
          <w:sz w:val="22"/>
          <w:szCs w:val="22"/>
        </w:rPr>
        <w:t>,</w:t>
      </w:r>
      <w:r>
        <w:rPr>
          <w:b/>
          <w:bCs/>
          <w:color w:val="000000" w:themeColor="text1"/>
          <w:sz w:val="22"/>
          <w:szCs w:val="22"/>
        </w:rPr>
        <w:t xml:space="preserve"> INSIGHT, March 2020 to November 2021</w:t>
      </w:r>
      <w:r>
        <w:rPr>
          <w:color w:val="000000" w:themeColor="text1"/>
          <w:sz w:val="22"/>
          <w:szCs w:val="22"/>
        </w:rPr>
        <w:t>. The pre-defined baseline covariates were the same ones used in the risk factor analysis. The COX model was measured by C-index. Regularized logistic regression (LR), gradient boosting machine (GBM), and deep forward neural network (DNN) were measured by the a</w:t>
      </w:r>
      <w:r w:rsidRPr="003575C2">
        <w:rPr>
          <w:color w:val="000000" w:themeColor="text1"/>
          <w:sz w:val="22"/>
          <w:szCs w:val="22"/>
        </w:rPr>
        <w:t xml:space="preserve">rea </w:t>
      </w:r>
      <w:r>
        <w:rPr>
          <w:color w:val="000000" w:themeColor="text1"/>
          <w:sz w:val="22"/>
          <w:szCs w:val="22"/>
        </w:rPr>
        <w:t>u</w:t>
      </w:r>
      <w:r w:rsidRPr="003575C2">
        <w:rPr>
          <w:color w:val="000000" w:themeColor="text1"/>
          <w:sz w:val="22"/>
          <w:szCs w:val="22"/>
        </w:rPr>
        <w:t xml:space="preserve">nder the </w:t>
      </w:r>
      <w:r>
        <w:rPr>
          <w:color w:val="000000" w:themeColor="text1"/>
          <w:sz w:val="22"/>
          <w:szCs w:val="22"/>
        </w:rPr>
        <w:t>r</w:t>
      </w:r>
      <w:r w:rsidRPr="003575C2">
        <w:rPr>
          <w:color w:val="000000" w:themeColor="text1"/>
          <w:sz w:val="22"/>
          <w:szCs w:val="22"/>
        </w:rPr>
        <w:t xml:space="preserve">eceiver </w:t>
      </w:r>
      <w:r>
        <w:rPr>
          <w:color w:val="000000" w:themeColor="text1"/>
          <w:sz w:val="22"/>
          <w:szCs w:val="22"/>
        </w:rPr>
        <w:t>o</w:t>
      </w:r>
      <w:r w:rsidRPr="003575C2">
        <w:rPr>
          <w:color w:val="000000" w:themeColor="text1"/>
          <w:sz w:val="22"/>
          <w:szCs w:val="22"/>
        </w:rPr>
        <w:t xml:space="preserve">perating </w:t>
      </w:r>
      <w:r>
        <w:rPr>
          <w:color w:val="000000" w:themeColor="text1"/>
          <w:sz w:val="22"/>
          <w:szCs w:val="22"/>
        </w:rPr>
        <w:t>c</w:t>
      </w:r>
      <w:r w:rsidRPr="003575C2">
        <w:rPr>
          <w:color w:val="000000" w:themeColor="text1"/>
          <w:sz w:val="22"/>
          <w:szCs w:val="22"/>
        </w:rPr>
        <w:t xml:space="preserve">haracteristic curve </w:t>
      </w:r>
      <w:r>
        <w:rPr>
          <w:color w:val="000000" w:themeColor="text1"/>
          <w:sz w:val="22"/>
          <w:szCs w:val="22"/>
        </w:rPr>
        <w:t>(AUROC). The 95% confidence intervals of all measures were reported.</w:t>
      </w:r>
    </w:p>
    <w:p w14:paraId="4B827347" w14:textId="77777777" w:rsidR="00C54F24" w:rsidRDefault="00C54F24" w:rsidP="00C54F24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68D3E56" w14:textId="77777777" w:rsidR="00C54F24" w:rsidRDefault="00C54F24" w:rsidP="00C54F24">
      <w:pPr>
        <w:pStyle w:val="Heading3"/>
        <w:jc w:val="both"/>
        <w:rPr>
          <w:color w:val="000000" w:themeColor="text1"/>
          <w:sz w:val="22"/>
          <w:szCs w:val="22"/>
        </w:rPr>
      </w:pPr>
      <w:r>
        <w:rPr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5E84CFB3" wp14:editId="2820EF3A">
            <wp:extent cx="5943600" cy="3368040"/>
            <wp:effectExtent l="0" t="0" r="0" b="0"/>
            <wp:docPr id="9" name="Picture 9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ba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0000" w:themeColor="text1"/>
          <w:sz w:val="22"/>
          <w:szCs w:val="22"/>
        </w:rPr>
        <w:t>Extended Data Fig. 3. Predictive performance of incident post-acute sequelae of SARS-CoV-2 infection (PASC) based on building baseline covariates in a data-driven way, by different machine learning models, INSIGHT, March 2020 to November 2021</w:t>
      </w:r>
      <w:r>
        <w:rPr>
          <w:color w:val="000000" w:themeColor="text1"/>
          <w:sz w:val="22"/>
          <w:szCs w:val="22"/>
        </w:rPr>
        <w:t>. The data-driven baseline covariates were selected based on the first 3 digits of ICD-10 codes and prescribed medications at the ingredient level in a data-driven way. The COX model was measured by C-index. Regularized logistic regression (LR), gradient boosting machine (GBM), and deep forward neural network (DNN) were measured by the a</w:t>
      </w:r>
      <w:r w:rsidRPr="003575C2">
        <w:rPr>
          <w:color w:val="000000" w:themeColor="text1"/>
          <w:sz w:val="22"/>
          <w:szCs w:val="22"/>
        </w:rPr>
        <w:t xml:space="preserve">rea </w:t>
      </w:r>
      <w:r>
        <w:rPr>
          <w:color w:val="000000" w:themeColor="text1"/>
          <w:sz w:val="22"/>
          <w:szCs w:val="22"/>
        </w:rPr>
        <w:t>u</w:t>
      </w:r>
      <w:r w:rsidRPr="003575C2">
        <w:rPr>
          <w:color w:val="000000" w:themeColor="text1"/>
          <w:sz w:val="22"/>
          <w:szCs w:val="22"/>
        </w:rPr>
        <w:t xml:space="preserve">nder the </w:t>
      </w:r>
      <w:r>
        <w:rPr>
          <w:color w:val="000000" w:themeColor="text1"/>
          <w:sz w:val="22"/>
          <w:szCs w:val="22"/>
        </w:rPr>
        <w:t>r</w:t>
      </w:r>
      <w:r w:rsidRPr="003575C2">
        <w:rPr>
          <w:color w:val="000000" w:themeColor="text1"/>
          <w:sz w:val="22"/>
          <w:szCs w:val="22"/>
        </w:rPr>
        <w:t xml:space="preserve">eceiver </w:t>
      </w:r>
      <w:r>
        <w:rPr>
          <w:color w:val="000000" w:themeColor="text1"/>
          <w:sz w:val="22"/>
          <w:szCs w:val="22"/>
        </w:rPr>
        <w:t>o</w:t>
      </w:r>
      <w:r w:rsidRPr="003575C2">
        <w:rPr>
          <w:color w:val="000000" w:themeColor="text1"/>
          <w:sz w:val="22"/>
          <w:szCs w:val="22"/>
        </w:rPr>
        <w:t xml:space="preserve">perating </w:t>
      </w:r>
      <w:r>
        <w:rPr>
          <w:color w:val="000000" w:themeColor="text1"/>
          <w:sz w:val="22"/>
          <w:szCs w:val="22"/>
        </w:rPr>
        <w:t>c</w:t>
      </w:r>
      <w:r w:rsidRPr="003575C2">
        <w:rPr>
          <w:color w:val="000000" w:themeColor="text1"/>
          <w:sz w:val="22"/>
          <w:szCs w:val="22"/>
        </w:rPr>
        <w:t xml:space="preserve">haracteristic curve </w:t>
      </w:r>
      <w:r>
        <w:rPr>
          <w:color w:val="000000" w:themeColor="text1"/>
          <w:sz w:val="22"/>
          <w:szCs w:val="22"/>
        </w:rPr>
        <w:t>(AUROC). The 95% confidence intervals of all measures were reported.</w:t>
      </w:r>
    </w:p>
    <w:p w14:paraId="539D62DA" w14:textId="77777777" w:rsidR="00C54F24" w:rsidRDefault="00C54F24" w:rsidP="00C54F24">
      <w:pPr>
        <w:spacing w:line="240" w:lineRule="auto"/>
      </w:pPr>
      <w:r>
        <w:br w:type="page"/>
      </w:r>
    </w:p>
    <w:p w14:paraId="57E61777" w14:textId="77777777" w:rsidR="00C54F24" w:rsidRPr="005F5A27" w:rsidRDefault="00C54F24" w:rsidP="00C54F24">
      <w:pPr>
        <w:pStyle w:val="Heading3"/>
        <w:rPr>
          <w:color w:val="000000" w:themeColor="text1"/>
          <w:sz w:val="18"/>
          <w:szCs w:val="18"/>
        </w:rPr>
      </w:pPr>
      <w:r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12865ED0" wp14:editId="47F003C4">
            <wp:extent cx="5943600" cy="3368040"/>
            <wp:effectExtent l="0" t="0" r="0" b="0"/>
            <wp:docPr id="3" name="Picture 3" descr="A picture containing text, anten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antenna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5A27">
        <w:rPr>
          <w:b/>
          <w:bCs/>
          <w:color w:val="000000" w:themeColor="text1"/>
          <w:sz w:val="22"/>
          <w:szCs w:val="22"/>
        </w:rPr>
        <w:t xml:space="preserve">Extended Data Fig. </w:t>
      </w:r>
      <w:r>
        <w:rPr>
          <w:b/>
          <w:bCs/>
          <w:color w:val="000000" w:themeColor="text1"/>
          <w:sz w:val="22"/>
          <w:szCs w:val="22"/>
        </w:rPr>
        <w:t>4</w:t>
      </w:r>
      <w:r w:rsidRPr="005F5A27">
        <w:rPr>
          <w:b/>
          <w:bCs/>
          <w:color w:val="000000" w:themeColor="text1"/>
          <w:sz w:val="22"/>
          <w:szCs w:val="22"/>
        </w:rPr>
        <w:t>. Predictive performance of incident post-acute sequelae of SARS-CoV-2 infection (PASC) based on the pre-defined baseline covariates and the severity of acute infection on the OneFlorida+ cohort, March 2020 to November 2021.</w:t>
      </w:r>
      <w:r w:rsidRPr="005F5A27">
        <w:rPr>
          <w:color w:val="000000" w:themeColor="text1"/>
        </w:rPr>
        <w:t xml:space="preserve"> </w:t>
      </w:r>
      <w:r>
        <w:rPr>
          <w:color w:val="000000" w:themeColor="text1"/>
          <w:sz w:val="22"/>
          <w:szCs w:val="22"/>
        </w:rPr>
        <w:t>A c</w:t>
      </w:r>
      <w:r w:rsidRPr="005F5A27">
        <w:rPr>
          <w:color w:val="000000" w:themeColor="text1"/>
          <w:sz w:val="22"/>
          <w:szCs w:val="22"/>
        </w:rPr>
        <w:t xml:space="preserve">-index with </w:t>
      </w:r>
      <w:r>
        <w:rPr>
          <w:color w:val="000000" w:themeColor="text1"/>
          <w:sz w:val="22"/>
          <w:szCs w:val="22"/>
        </w:rPr>
        <w:t xml:space="preserve">a </w:t>
      </w:r>
      <w:r w:rsidRPr="005F5A27">
        <w:rPr>
          <w:color w:val="000000" w:themeColor="text1"/>
          <w:sz w:val="22"/>
          <w:szCs w:val="22"/>
        </w:rPr>
        <w:t>95% confidence interval w</w:t>
      </w:r>
      <w:r>
        <w:rPr>
          <w:color w:val="000000" w:themeColor="text1"/>
          <w:sz w:val="22"/>
          <w:szCs w:val="22"/>
        </w:rPr>
        <w:t>as</w:t>
      </w:r>
      <w:r w:rsidRPr="005F5A27">
        <w:rPr>
          <w:color w:val="000000" w:themeColor="text1"/>
          <w:sz w:val="22"/>
          <w:szCs w:val="22"/>
        </w:rPr>
        <w:t xml:space="preserve"> reported.</w:t>
      </w:r>
    </w:p>
    <w:p w14:paraId="311F1B01" w14:textId="77777777" w:rsidR="00C54F24" w:rsidRDefault="00C54F24" w:rsidP="00C54F24">
      <w:pPr>
        <w:rPr>
          <w:b/>
          <w:bCs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5DCD4480" wp14:editId="26C9DB96">
            <wp:extent cx="5072706" cy="6583680"/>
            <wp:effectExtent l="0" t="0" r="0" b="0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439" cy="662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BC8FD" w14:textId="77777777" w:rsidR="00C54F24" w:rsidRPr="00005EAB" w:rsidRDefault="00C54F24" w:rsidP="00C54F24">
      <w:pPr>
        <w:pStyle w:val="Heading3"/>
        <w:jc w:val="both"/>
        <w:rPr>
          <w:color w:val="000000" w:themeColor="text1"/>
          <w:sz w:val="22"/>
          <w:szCs w:val="22"/>
        </w:rPr>
      </w:pPr>
      <w:r w:rsidRPr="00005EAB">
        <w:rPr>
          <w:b/>
          <w:bCs/>
          <w:color w:val="000000" w:themeColor="text1"/>
          <w:sz w:val="22"/>
          <w:szCs w:val="22"/>
        </w:rPr>
        <w:t xml:space="preserve">Extended Data Fig. </w:t>
      </w:r>
      <w:r>
        <w:rPr>
          <w:b/>
          <w:bCs/>
          <w:color w:val="000000" w:themeColor="text1"/>
          <w:sz w:val="22"/>
          <w:szCs w:val="22"/>
        </w:rPr>
        <w:t>5</w:t>
      </w:r>
      <w:r w:rsidRPr="00005EAB">
        <w:rPr>
          <w:b/>
          <w:bCs/>
          <w:color w:val="000000" w:themeColor="text1"/>
          <w:sz w:val="22"/>
          <w:szCs w:val="22"/>
        </w:rPr>
        <w:t xml:space="preserve">. Identified risk factors associated with incident PASC conditions </w:t>
      </w:r>
      <w:r>
        <w:rPr>
          <w:b/>
          <w:bCs/>
          <w:color w:val="000000" w:themeColor="text1"/>
          <w:sz w:val="22"/>
          <w:szCs w:val="22"/>
        </w:rPr>
        <w:t>by</w:t>
      </w:r>
      <w:r w:rsidRPr="00005EAB">
        <w:rPr>
          <w:b/>
          <w:bCs/>
          <w:color w:val="000000" w:themeColor="text1"/>
          <w:sz w:val="22"/>
          <w:szCs w:val="22"/>
        </w:rPr>
        <w:t xml:space="preserve"> the OneFlorida+ cohort, March 2020 to November 2021. </w:t>
      </w:r>
      <w:r w:rsidRPr="00005EAB">
        <w:rPr>
          <w:color w:val="000000" w:themeColor="text1"/>
          <w:sz w:val="22"/>
          <w:szCs w:val="22"/>
        </w:rPr>
        <w:t xml:space="preserve">The adjusted hazard ratios of different factors were reported. The colors represent different risk levels. The risk factors were identified by meeting three criteria: aHR &gt; 1, p-Value &lt; 0.00056, and riskier than in </w:t>
      </w:r>
      <w:r>
        <w:rPr>
          <w:color w:val="000000" w:themeColor="text1"/>
          <w:sz w:val="22"/>
          <w:szCs w:val="22"/>
        </w:rPr>
        <w:t xml:space="preserve">the </w:t>
      </w:r>
      <w:r w:rsidRPr="00005EAB">
        <w:rPr>
          <w:color w:val="000000" w:themeColor="text1"/>
          <w:sz w:val="22"/>
          <w:szCs w:val="22"/>
        </w:rPr>
        <w:t>control group. ICD-10 diagnosis codes B948 (sequelae of other specified infectious and parasitic diseases) and U099 (post COVID-19 condition, unspecified) were used to capture general post-acute sequelae of SARS-CoV-2 infection.</w:t>
      </w:r>
    </w:p>
    <w:p w14:paraId="65E95A4D" w14:textId="290CBB7D" w:rsidR="00D10C5B" w:rsidRPr="00C54F24" w:rsidRDefault="00C54F24" w:rsidP="00C54F24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br w:type="page"/>
      </w:r>
      <w:bookmarkStart w:id="8" w:name="_Extended_Data_Table_2"/>
      <w:bookmarkEnd w:id="8"/>
    </w:p>
    <w:sectPr w:rsidR="00D10C5B" w:rsidRPr="00C54F24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093B64"/>
    <w:multiLevelType w:val="multilevel"/>
    <w:tmpl w:val="71093B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24"/>
    <w:rsid w:val="00C54F24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8AFF1"/>
  <w15:chartTrackingRefBased/>
  <w15:docId w15:val="{3F18C0EE-8100-4ED9-8752-E3A69872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F24"/>
    <w:pPr>
      <w:spacing w:after="0" w:line="276" w:lineRule="auto"/>
    </w:pPr>
    <w:rPr>
      <w:rFonts w:ascii="Arial" w:eastAsia="SimSun" w:hAnsi="Arial" w:cs="Arial"/>
      <w:lang w:val="en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4F2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4F2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F24"/>
    <w:rPr>
      <w:rFonts w:ascii="Arial" w:eastAsia="SimSun" w:hAnsi="Arial" w:cs="Arial"/>
      <w:sz w:val="40"/>
      <w:szCs w:val="40"/>
      <w:lang w:val="en"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C54F24"/>
    <w:rPr>
      <w:rFonts w:ascii="Arial" w:eastAsia="SimSun" w:hAnsi="Arial" w:cs="Arial"/>
      <w:color w:val="434343"/>
      <w:sz w:val="28"/>
      <w:szCs w:val="28"/>
      <w:lang w:val="en" w:eastAsia="zh-CN"/>
    </w:rPr>
  </w:style>
  <w:style w:type="paragraph" w:customStyle="1" w:styleId="ListParagraph1">
    <w:name w:val="List Paragraph1"/>
    <w:basedOn w:val="Normal"/>
    <w:uiPriority w:val="34"/>
    <w:qFormat/>
    <w:rsid w:val="00C54F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1362</Words>
  <Characters>7764</Characters>
  <Application>Microsoft Office Word</Application>
  <DocSecurity>0</DocSecurity>
  <Lines>64</Lines>
  <Paragraphs>18</Paragraphs>
  <ScaleCrop>false</ScaleCrop>
  <Company>Springer Nature</Company>
  <LinksUpToDate>false</LinksUpToDate>
  <CharactersWithSpaces>9108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2023-03-07T09:55:00Z</dcterms:created>
  <dcterms:modified xsi:type="dcterms:W3CDTF">2023-03-07T09:55:00Z</dcterms:modified>
</cp:coreProperties>
</file>