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65F473" w14:textId="77777777" w:rsidR="008D789D" w:rsidRDefault="008D789D" w:rsidP="000046DF">
      <w:pPr>
        <w:pStyle w:val="Heading1"/>
        <w:spacing w:before="0" w:beforeAutospacing="0" w:after="0" w:afterAutospacing="0" w:line="360" w:lineRule="auto"/>
        <w:jc w:val="both"/>
        <w:rPr>
          <w:rStyle w:val="Strong"/>
          <w:rFonts w:ascii="Cambria" w:hAnsi="Cambria"/>
          <w:b/>
          <w:bCs/>
          <w:sz w:val="24"/>
          <w:szCs w:val="24"/>
        </w:rPr>
      </w:pPr>
    </w:p>
    <w:p w14:paraId="6EEB17DF" w14:textId="77777777" w:rsidR="00341825" w:rsidRDefault="00341825" w:rsidP="008D789D"/>
    <w:p w14:paraId="4BFFB009" w14:textId="77777777" w:rsidR="00341825" w:rsidRDefault="00341825" w:rsidP="008D789D"/>
    <w:p w14:paraId="2B112402" w14:textId="77777777" w:rsidR="00341825" w:rsidRDefault="00341825" w:rsidP="008D789D"/>
    <w:p w14:paraId="4B9F394B" w14:textId="77777777" w:rsidR="00341825" w:rsidRDefault="00341825" w:rsidP="008D789D"/>
    <w:p w14:paraId="3665C08C" w14:textId="77777777" w:rsidR="00341825" w:rsidRDefault="00341825" w:rsidP="008D789D"/>
    <w:p w14:paraId="78988D94" w14:textId="77777777" w:rsidR="00341825" w:rsidRDefault="00341825" w:rsidP="008D789D"/>
    <w:p w14:paraId="0F7C54FD" w14:textId="77777777" w:rsidR="00341825" w:rsidRDefault="00341825" w:rsidP="008D789D"/>
    <w:p w14:paraId="2FD528E1" w14:textId="77777777" w:rsidR="00341825" w:rsidRDefault="00341825" w:rsidP="008D789D"/>
    <w:p w14:paraId="1F8E17B5" w14:textId="77777777" w:rsidR="00341825" w:rsidRDefault="00341825" w:rsidP="008D789D"/>
    <w:p w14:paraId="293037AC" w14:textId="77777777" w:rsidR="00341825" w:rsidRDefault="00341825" w:rsidP="008D789D"/>
    <w:p w14:paraId="1063C5FE" w14:textId="5BB79CE0" w:rsidR="008D789D" w:rsidRPr="008D789D" w:rsidRDefault="008D789D" w:rsidP="008D789D">
      <w:pPr>
        <w:rPr>
          <w:rStyle w:val="Strong"/>
          <w:rFonts w:ascii="Cambria" w:hAnsi="Cambria"/>
          <w:b w:val="0"/>
          <w:bCs w:val="0"/>
          <w:lang w:val="en-GB"/>
        </w:rPr>
      </w:pPr>
      <w:r w:rsidRPr="003E4640">
        <w:rPr>
          <w:noProof/>
        </w:rPr>
        <w:drawing>
          <wp:anchor distT="0" distB="0" distL="114300" distR="114300" simplePos="0" relativeHeight="251659264" behindDoc="1" locked="0" layoutInCell="1" allowOverlap="1" wp14:anchorId="0C029B4E" wp14:editId="07802FD4">
            <wp:simplePos x="0" y="0"/>
            <wp:positionH relativeFrom="margin">
              <wp:posOffset>0</wp:posOffset>
            </wp:positionH>
            <wp:positionV relativeFrom="margin">
              <wp:posOffset>1714500</wp:posOffset>
            </wp:positionV>
            <wp:extent cx="5942965" cy="4680585"/>
            <wp:effectExtent l="76200" t="76200" r="153035" b="145415"/>
            <wp:wrapThrough wrapText="bothSides">
              <wp:wrapPolygon edited="0">
                <wp:start x="-277" y="-352"/>
                <wp:lineTo x="-277" y="22154"/>
                <wp:lineTo x="21972" y="22154"/>
                <wp:lineTo x="22064" y="20513"/>
                <wp:lineTo x="22064" y="-352"/>
                <wp:lineTo x="-277" y="-352"/>
              </wp:wrapPolygon>
            </wp:wrapThrough>
            <wp:docPr id="2" name="Picture 2" descr="study ar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1" descr="study are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965" cy="468058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D168D">
        <w:t>Figure 1: Map of Tanzania showing the study area</w:t>
      </w:r>
    </w:p>
    <w:p w14:paraId="2F7AADA1" w14:textId="77777777" w:rsidR="008D789D" w:rsidRDefault="008D789D" w:rsidP="000046DF">
      <w:pPr>
        <w:pStyle w:val="Heading1"/>
        <w:spacing w:before="0" w:beforeAutospacing="0" w:after="0" w:afterAutospacing="0" w:line="360" w:lineRule="auto"/>
        <w:jc w:val="both"/>
        <w:rPr>
          <w:rStyle w:val="Strong"/>
          <w:rFonts w:ascii="Cambria" w:hAnsi="Cambria"/>
          <w:b/>
          <w:bCs/>
          <w:sz w:val="24"/>
          <w:szCs w:val="24"/>
        </w:rPr>
      </w:pPr>
    </w:p>
    <w:p w14:paraId="3713FDB5" w14:textId="77777777" w:rsidR="00B06413" w:rsidRDefault="00B06413" w:rsidP="009B5DC4">
      <w:pPr>
        <w:spacing w:line="360" w:lineRule="auto"/>
        <w:jc w:val="both"/>
        <w:rPr>
          <w:color w:val="FF0000"/>
        </w:rPr>
      </w:pPr>
    </w:p>
    <w:p w14:paraId="66AD3D0B" w14:textId="0EEF39D2" w:rsidR="00FD6571" w:rsidRDefault="00F85322" w:rsidP="00FD6571">
      <w:pPr>
        <w:spacing w:line="360" w:lineRule="auto"/>
        <w:jc w:val="center"/>
        <w:rPr>
          <w:color w:val="FF0000"/>
        </w:rPr>
      </w:pPr>
      <w:r>
        <w:rPr>
          <w:noProof/>
        </w:rPr>
        <w:lastRenderedPageBreak/>
        <w:drawing>
          <wp:inline distT="0" distB="0" distL="0" distR="0" wp14:anchorId="0A89F599" wp14:editId="71C3A200">
            <wp:extent cx="5486400" cy="3590925"/>
            <wp:effectExtent l="0" t="0" r="25400" b="15875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0E4199B0" w14:textId="143DBC74" w:rsidR="00F85322" w:rsidRPr="00607A9B" w:rsidRDefault="00F85322" w:rsidP="00300D01">
      <w:pPr>
        <w:spacing w:line="360" w:lineRule="auto"/>
        <w:jc w:val="both"/>
        <w:rPr>
          <w:color w:val="000000" w:themeColor="text1"/>
        </w:rPr>
      </w:pPr>
      <w:r w:rsidRPr="00CF02D6">
        <w:rPr>
          <w:color w:val="000000" w:themeColor="text1"/>
        </w:rPr>
        <w:t>Figure 2:</w:t>
      </w:r>
      <w:r w:rsidR="00CF02D6" w:rsidRPr="00CF02D6">
        <w:rPr>
          <w:color w:val="000000" w:themeColor="text1"/>
        </w:rPr>
        <w:t xml:space="preserve"> </w:t>
      </w:r>
      <w:r w:rsidR="00B94899">
        <w:rPr>
          <w:color w:val="000000" w:themeColor="text1"/>
        </w:rPr>
        <w:t>The</w:t>
      </w:r>
      <w:r w:rsidR="00CF02D6" w:rsidRPr="00CF02D6">
        <w:rPr>
          <w:color w:val="000000" w:themeColor="text1"/>
        </w:rPr>
        <w:t xml:space="preserve"> education levels </w:t>
      </w:r>
      <w:r w:rsidR="00300D01">
        <w:rPr>
          <w:color w:val="000000" w:themeColor="text1"/>
        </w:rPr>
        <w:t>of respondents sampled in Sihakati, Naibili and Leguruki villages</w:t>
      </w:r>
    </w:p>
    <w:p w14:paraId="05B1A186" w14:textId="77777777" w:rsidR="00F85322" w:rsidRPr="009B5DC4" w:rsidRDefault="00F85322" w:rsidP="009B5DC4">
      <w:pPr>
        <w:spacing w:line="360" w:lineRule="auto"/>
        <w:jc w:val="both"/>
        <w:rPr>
          <w:color w:val="FF0000"/>
        </w:rPr>
      </w:pPr>
    </w:p>
    <w:p w14:paraId="1515DD81" w14:textId="2D04D158" w:rsidR="00ED4C56" w:rsidRDefault="00F85322" w:rsidP="00F85322">
      <w:pPr>
        <w:pStyle w:val="KeinLeerraum"/>
        <w:jc w:val="center"/>
        <w:rPr>
          <w:rFonts w:ascii="Cambria" w:hAnsi="Cambria"/>
          <w:b/>
          <w:bCs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2CDFD757" wp14:editId="4BC068AF">
            <wp:extent cx="5486400" cy="3592195"/>
            <wp:effectExtent l="0" t="0" r="25400" b="14605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781B4FFF" w14:textId="77777777" w:rsidR="003D66F5" w:rsidRDefault="003D66F5" w:rsidP="006868CC">
      <w:pPr>
        <w:pStyle w:val="KeinLeerraum"/>
        <w:jc w:val="both"/>
        <w:rPr>
          <w:rFonts w:ascii="Cambria" w:hAnsi="Cambria"/>
          <w:b/>
          <w:bCs/>
          <w:sz w:val="24"/>
          <w:szCs w:val="24"/>
          <w:lang w:val="en-GB"/>
        </w:rPr>
      </w:pPr>
    </w:p>
    <w:p w14:paraId="16B854B2" w14:textId="1F737254" w:rsidR="007D59EB" w:rsidRDefault="00F85322" w:rsidP="008A099E">
      <w:pPr>
        <w:spacing w:line="360" w:lineRule="auto"/>
        <w:jc w:val="both"/>
        <w:rPr>
          <w:color w:val="000000" w:themeColor="text1"/>
        </w:rPr>
      </w:pPr>
      <w:r w:rsidRPr="00CF02D6">
        <w:rPr>
          <w:rFonts w:ascii="Cambria" w:hAnsi="Cambria"/>
          <w:bCs/>
          <w:lang w:val="en-GB"/>
        </w:rPr>
        <w:t xml:space="preserve">Figure 3: </w:t>
      </w:r>
      <w:r w:rsidR="00B94899">
        <w:rPr>
          <w:rFonts w:ascii="Cambria" w:hAnsi="Cambria"/>
          <w:bCs/>
          <w:lang w:val="en-GB"/>
        </w:rPr>
        <w:t>T</w:t>
      </w:r>
      <w:r w:rsidR="00CF02D6" w:rsidRPr="00CF02D6">
        <w:rPr>
          <w:rFonts w:ascii="Cambria" w:hAnsi="Cambria"/>
          <w:bCs/>
          <w:lang w:val="en-GB"/>
        </w:rPr>
        <w:t xml:space="preserve">he age classes and percentage of participation in </w:t>
      </w:r>
      <w:r w:rsidR="00CF02D6" w:rsidRPr="00300D01">
        <w:rPr>
          <w:rFonts w:ascii="Cambria" w:hAnsi="Cambria"/>
          <w:bCs/>
          <w:i/>
          <w:lang w:val="en-GB"/>
        </w:rPr>
        <w:t>Jatropha</w:t>
      </w:r>
      <w:r w:rsidR="00CF02D6" w:rsidRPr="00CF02D6">
        <w:rPr>
          <w:rFonts w:ascii="Cambria" w:hAnsi="Cambria"/>
          <w:bCs/>
          <w:lang w:val="en-GB"/>
        </w:rPr>
        <w:t xml:space="preserve"> cultivation </w:t>
      </w:r>
      <w:r w:rsidR="00300D01">
        <w:rPr>
          <w:color w:val="000000" w:themeColor="text1"/>
        </w:rPr>
        <w:t>in Sihakati, Naibili and Leguruki villages</w:t>
      </w:r>
    </w:p>
    <w:p w14:paraId="7F2072AA" w14:textId="77777777" w:rsidR="009644B8" w:rsidRPr="008A099E" w:rsidRDefault="009644B8" w:rsidP="008A099E">
      <w:pPr>
        <w:spacing w:line="360" w:lineRule="auto"/>
        <w:jc w:val="both"/>
        <w:rPr>
          <w:color w:val="000000" w:themeColor="text1"/>
        </w:rPr>
      </w:pPr>
    </w:p>
    <w:p w14:paraId="6746296D" w14:textId="77777777" w:rsidR="0017662A" w:rsidRPr="0017662A" w:rsidRDefault="0017662A" w:rsidP="0017662A"/>
    <w:p w14:paraId="6C84677C" w14:textId="6AC2BAD1" w:rsidR="009F169D" w:rsidRDefault="005438BD" w:rsidP="005438BD">
      <w:pPr>
        <w:jc w:val="center"/>
      </w:pPr>
      <w:r>
        <w:rPr>
          <w:noProof/>
        </w:rPr>
        <w:drawing>
          <wp:inline distT="0" distB="0" distL="0" distR="0" wp14:anchorId="4B85C568" wp14:editId="17F372D6">
            <wp:extent cx="5486400" cy="3549650"/>
            <wp:effectExtent l="0" t="0" r="25400" b="31750"/>
            <wp:docPr id="6" name="Chart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E82FC34" w14:textId="77777777" w:rsidR="009F169D" w:rsidRDefault="009F169D" w:rsidP="009F169D"/>
    <w:p w14:paraId="72122FFA" w14:textId="546570E7" w:rsidR="009F169D" w:rsidRDefault="005438BD" w:rsidP="008A099E">
      <w:pPr>
        <w:spacing w:line="360" w:lineRule="auto"/>
      </w:pPr>
      <w:r>
        <w:t xml:space="preserve">Figure 4: </w:t>
      </w:r>
      <w:r w:rsidR="00B94899">
        <w:t xml:space="preserve">The </w:t>
      </w:r>
      <w:r>
        <w:t xml:space="preserve">correlation between </w:t>
      </w:r>
      <w:r w:rsidR="008A099E">
        <w:t xml:space="preserve">optimal </w:t>
      </w:r>
      <w:r>
        <w:t xml:space="preserve">age and </w:t>
      </w:r>
      <w:r w:rsidR="008A099E">
        <w:t xml:space="preserve">effective </w:t>
      </w:r>
      <w:r>
        <w:t xml:space="preserve">participation in </w:t>
      </w:r>
      <w:r w:rsidRPr="005438BD">
        <w:rPr>
          <w:i/>
        </w:rPr>
        <w:t>Jatropha</w:t>
      </w:r>
      <w:r>
        <w:t xml:space="preserve"> cultivation</w:t>
      </w:r>
    </w:p>
    <w:p w14:paraId="3EC788E6" w14:textId="77777777" w:rsidR="009F169D" w:rsidRDefault="009F169D" w:rsidP="006E56E8"/>
    <w:p w14:paraId="4DE82BB6" w14:textId="01ECCE2E" w:rsidR="006E56E8" w:rsidRDefault="006E56E8" w:rsidP="006E56E8">
      <w:pPr>
        <w:jc w:val="center"/>
      </w:pPr>
      <w:r>
        <w:rPr>
          <w:noProof/>
        </w:rPr>
        <w:drawing>
          <wp:inline distT="0" distB="0" distL="0" distR="0" wp14:anchorId="74AE5C20" wp14:editId="71892939">
            <wp:extent cx="5486400" cy="3315970"/>
            <wp:effectExtent l="0" t="0" r="25400" b="36830"/>
            <wp:docPr id="7" name="Chart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07DBBBCC" w14:textId="77777777" w:rsidR="009F169D" w:rsidRDefault="009F169D" w:rsidP="009F169D"/>
    <w:p w14:paraId="01F7AAA2" w14:textId="52A92DFA" w:rsidR="0058613F" w:rsidRPr="008A099E" w:rsidRDefault="00B346E9" w:rsidP="007C7236">
      <w:pPr>
        <w:spacing w:line="360" w:lineRule="auto"/>
        <w:jc w:val="both"/>
      </w:pPr>
      <w:r>
        <w:t>Figure 5</w:t>
      </w:r>
      <w:r w:rsidR="0058613F" w:rsidRPr="008A099E">
        <w:t xml:space="preserve">: </w:t>
      </w:r>
      <w:r w:rsidR="00B94899">
        <w:t>The</w:t>
      </w:r>
      <w:r w:rsidR="00B94899" w:rsidRPr="008A099E">
        <w:t xml:space="preserve"> </w:t>
      </w:r>
      <w:r w:rsidR="0058613F" w:rsidRPr="008A099E">
        <w:t xml:space="preserve">land allocated for </w:t>
      </w:r>
      <w:r w:rsidR="0058613F" w:rsidRPr="00CA3588">
        <w:rPr>
          <w:i/>
        </w:rPr>
        <w:t>Jatropha</w:t>
      </w:r>
      <w:r w:rsidR="0058613F" w:rsidRPr="008A099E">
        <w:t xml:space="preserve"> cultivation in Sihakati, Naibili and Leguruki</w:t>
      </w:r>
      <w:r w:rsidR="007C7236">
        <w:t xml:space="preserve"> villages</w:t>
      </w:r>
    </w:p>
    <w:p w14:paraId="20E87068" w14:textId="77777777" w:rsidR="0017662A" w:rsidRDefault="0017662A" w:rsidP="0058613F">
      <w:pPr>
        <w:spacing w:line="360" w:lineRule="auto"/>
        <w:jc w:val="both"/>
        <w:rPr>
          <w:rFonts w:ascii="Times New Roman" w:hAnsi="Times New Roman"/>
          <w:b/>
        </w:rPr>
      </w:pPr>
    </w:p>
    <w:p w14:paraId="5C11F10A" w14:textId="77777777" w:rsidR="00246E76" w:rsidRDefault="00246E76" w:rsidP="00246E7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ambria" w:hAnsi="Cambria" w:cs="Times Roman"/>
          <w:b/>
          <w:color w:val="000000"/>
        </w:rPr>
      </w:pPr>
      <w:bookmarkStart w:id="0" w:name="_GoBack"/>
      <w:bookmarkEnd w:id="0"/>
    </w:p>
    <w:p w14:paraId="3758F456" w14:textId="77777777" w:rsidR="00246E76" w:rsidRDefault="00246E76" w:rsidP="00246E76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Cambria" w:hAnsi="Cambria" w:cs="Times Roman"/>
          <w:b/>
          <w:color w:val="000000"/>
        </w:rPr>
      </w:pPr>
    </w:p>
    <w:p w14:paraId="21541DA6" w14:textId="6DD0BE64" w:rsidR="006C3133" w:rsidRDefault="006C3133" w:rsidP="0003457C">
      <w:pPr>
        <w:pStyle w:val="NormalWeb"/>
        <w:spacing w:before="0" w:beforeAutospacing="0" w:after="0" w:afterAutospacing="0" w:line="360" w:lineRule="auto"/>
        <w:jc w:val="both"/>
        <w:rPr>
          <w:rFonts w:ascii="Cambria" w:hAnsi="Cambria"/>
          <w:b/>
          <w:color w:val="000000"/>
          <w:sz w:val="24"/>
          <w:szCs w:val="24"/>
        </w:rPr>
      </w:pPr>
      <w:r w:rsidRPr="006C3133">
        <w:rPr>
          <w:rFonts w:ascii="Cambria" w:hAnsi="Cambria"/>
          <w:b/>
          <w:color w:val="000000"/>
          <w:sz w:val="24"/>
          <w:szCs w:val="24"/>
        </w:rPr>
        <w:lastRenderedPageBreak/>
        <w:t>Ethics declarations</w:t>
      </w:r>
    </w:p>
    <w:p w14:paraId="7FEAD23D" w14:textId="6E906478" w:rsidR="006C3133" w:rsidRDefault="006C3133" w:rsidP="0003457C">
      <w:pPr>
        <w:pStyle w:val="NormalWeb"/>
        <w:spacing w:before="0" w:beforeAutospacing="0" w:after="0" w:afterAutospacing="0" w:line="360" w:lineRule="auto"/>
        <w:jc w:val="both"/>
        <w:rPr>
          <w:rFonts w:ascii="Cambria" w:hAnsi="Cambria"/>
          <w:b/>
          <w:color w:val="000000"/>
          <w:sz w:val="24"/>
          <w:szCs w:val="24"/>
        </w:rPr>
      </w:pPr>
      <w:r>
        <w:rPr>
          <w:rFonts w:ascii="Cambria" w:hAnsi="Cambria"/>
          <w:b/>
          <w:color w:val="000000"/>
          <w:sz w:val="24"/>
          <w:szCs w:val="24"/>
        </w:rPr>
        <w:t>Ethics approval and consent to participate</w:t>
      </w:r>
    </w:p>
    <w:p w14:paraId="346B489B" w14:textId="12CD2346" w:rsidR="006C3133" w:rsidRPr="006C3133" w:rsidRDefault="006C3133" w:rsidP="0003457C">
      <w:pPr>
        <w:pStyle w:val="NormalWeb"/>
        <w:spacing w:before="0" w:beforeAutospacing="0" w:after="0" w:afterAutospacing="0" w:line="360" w:lineRule="auto"/>
        <w:jc w:val="both"/>
        <w:rPr>
          <w:rFonts w:ascii="Cambria" w:hAnsi="Cambria"/>
          <w:color w:val="000000"/>
          <w:sz w:val="24"/>
          <w:szCs w:val="24"/>
        </w:rPr>
      </w:pPr>
      <w:r w:rsidRPr="006C3133">
        <w:rPr>
          <w:rFonts w:ascii="Cambria" w:hAnsi="Cambria"/>
          <w:color w:val="000000"/>
          <w:sz w:val="24"/>
          <w:szCs w:val="24"/>
        </w:rPr>
        <w:t>Not applicable.</w:t>
      </w:r>
    </w:p>
    <w:p w14:paraId="7C24FB1C" w14:textId="39698103" w:rsidR="006C3133" w:rsidRPr="006C3133" w:rsidRDefault="006C3133" w:rsidP="0003457C">
      <w:pPr>
        <w:pStyle w:val="NormalWeb"/>
        <w:spacing w:before="0" w:beforeAutospacing="0" w:after="0" w:afterAutospacing="0" w:line="360" w:lineRule="auto"/>
        <w:jc w:val="both"/>
        <w:rPr>
          <w:rFonts w:ascii="Cambria" w:hAnsi="Cambria"/>
          <w:b/>
          <w:color w:val="000000"/>
          <w:sz w:val="24"/>
          <w:szCs w:val="24"/>
        </w:rPr>
      </w:pPr>
      <w:r w:rsidRPr="006C3133">
        <w:rPr>
          <w:rFonts w:ascii="Cambria" w:hAnsi="Cambria"/>
          <w:b/>
          <w:color w:val="000000"/>
          <w:sz w:val="24"/>
          <w:szCs w:val="24"/>
        </w:rPr>
        <w:t>Consent for publication</w:t>
      </w:r>
    </w:p>
    <w:p w14:paraId="62CEFA69" w14:textId="1F871507" w:rsidR="006C3133" w:rsidRDefault="006C3133" w:rsidP="0003457C">
      <w:pPr>
        <w:pStyle w:val="NormalWeb"/>
        <w:spacing w:before="0" w:beforeAutospacing="0" w:after="0" w:afterAutospacing="0" w:line="360" w:lineRule="auto"/>
        <w:jc w:val="both"/>
        <w:rPr>
          <w:rFonts w:ascii="Cambria" w:hAnsi="Cambria"/>
          <w:color w:val="000000"/>
          <w:sz w:val="24"/>
          <w:szCs w:val="24"/>
        </w:rPr>
      </w:pPr>
      <w:r>
        <w:rPr>
          <w:rFonts w:ascii="Cambria" w:hAnsi="Cambria"/>
          <w:color w:val="000000"/>
          <w:sz w:val="24"/>
          <w:szCs w:val="24"/>
        </w:rPr>
        <w:t>Not Applicable</w:t>
      </w:r>
    </w:p>
    <w:p w14:paraId="1C3E6538" w14:textId="20BDC740" w:rsidR="006C3133" w:rsidRDefault="006C3133" w:rsidP="0003457C">
      <w:pPr>
        <w:pStyle w:val="NormalWeb"/>
        <w:spacing w:before="0" w:beforeAutospacing="0" w:after="0" w:afterAutospacing="0" w:line="360" w:lineRule="auto"/>
        <w:jc w:val="both"/>
        <w:rPr>
          <w:rFonts w:ascii="Cambria" w:hAnsi="Cambria"/>
          <w:color w:val="000000"/>
          <w:sz w:val="24"/>
          <w:szCs w:val="24"/>
        </w:rPr>
      </w:pPr>
      <w:r>
        <w:rPr>
          <w:rFonts w:ascii="Cambria" w:hAnsi="Cambria"/>
          <w:color w:val="000000"/>
          <w:sz w:val="24"/>
          <w:szCs w:val="24"/>
        </w:rPr>
        <w:t>Competing interests</w:t>
      </w:r>
    </w:p>
    <w:p w14:paraId="1422F5BB" w14:textId="4631D9E9" w:rsidR="006C3133" w:rsidRPr="0003457C" w:rsidRDefault="006C3133" w:rsidP="0003457C">
      <w:pPr>
        <w:pStyle w:val="NormalWeb"/>
        <w:spacing w:before="0" w:beforeAutospacing="0" w:after="0" w:afterAutospacing="0" w:line="360" w:lineRule="auto"/>
        <w:jc w:val="both"/>
        <w:rPr>
          <w:rFonts w:ascii="Cambria" w:hAnsi="Cambria"/>
          <w:color w:val="000000"/>
          <w:sz w:val="24"/>
          <w:szCs w:val="24"/>
        </w:rPr>
      </w:pPr>
      <w:r>
        <w:rPr>
          <w:rFonts w:ascii="Cambria" w:hAnsi="Cambria"/>
          <w:color w:val="000000"/>
          <w:sz w:val="24"/>
          <w:szCs w:val="24"/>
        </w:rPr>
        <w:t>All authors have no conflict of interests.</w:t>
      </w:r>
    </w:p>
    <w:p w14:paraId="1CCD4295" w14:textId="77FB707D" w:rsidR="00CE5F91" w:rsidRDefault="009068A9" w:rsidP="00B276E1">
      <w:pPr>
        <w:pStyle w:val="NormalWeb"/>
        <w:spacing w:before="0" w:beforeAutospacing="0" w:after="0" w:afterAutospacing="0" w:line="360" w:lineRule="auto"/>
        <w:ind w:left="567" w:hanging="567"/>
        <w:jc w:val="both"/>
        <w:rPr>
          <w:rFonts w:asciiTheme="minorHAnsi" w:hAnsiTheme="minorHAnsi"/>
          <w:b/>
          <w:sz w:val="24"/>
          <w:szCs w:val="24"/>
        </w:rPr>
      </w:pPr>
      <w:r>
        <w:rPr>
          <w:rFonts w:asciiTheme="minorHAnsi" w:hAnsiTheme="minorHAnsi"/>
          <w:b/>
          <w:sz w:val="24"/>
          <w:szCs w:val="24"/>
        </w:rPr>
        <w:t>Abbreviations</w:t>
      </w:r>
    </w:p>
    <w:p w14:paraId="60AC9CC3" w14:textId="75FEF2EB" w:rsidR="0003457C" w:rsidRPr="00AC5712" w:rsidRDefault="001C4A56" w:rsidP="00AC5712">
      <w:pPr>
        <w:pStyle w:val="NormalWeb"/>
        <w:spacing w:before="0" w:beforeAutospacing="0" w:after="0" w:afterAutospacing="0" w:line="360" w:lineRule="auto"/>
        <w:ind w:left="567" w:hanging="567"/>
        <w:jc w:val="both"/>
        <w:rPr>
          <w:rFonts w:asciiTheme="minorHAnsi" w:hAnsiTheme="minorHAnsi"/>
          <w:sz w:val="24"/>
          <w:szCs w:val="24"/>
        </w:rPr>
      </w:pPr>
      <w:r w:rsidRPr="00AC5712">
        <w:rPr>
          <w:rFonts w:asciiTheme="minorHAnsi" w:hAnsiTheme="minorHAnsi"/>
          <w:sz w:val="24"/>
          <w:szCs w:val="24"/>
        </w:rPr>
        <w:t>DAAD</w:t>
      </w:r>
      <w:r w:rsidRPr="00AC5712">
        <w:rPr>
          <w:rFonts w:asciiTheme="minorHAnsi" w:hAnsiTheme="minorHAnsi"/>
          <w:sz w:val="24"/>
          <w:szCs w:val="24"/>
        </w:rPr>
        <w:tab/>
      </w:r>
      <w:r w:rsidRPr="00AC5712">
        <w:rPr>
          <w:rFonts w:asciiTheme="minorHAnsi" w:hAnsiTheme="minorHAnsi"/>
          <w:sz w:val="24"/>
          <w:szCs w:val="24"/>
        </w:rPr>
        <w:tab/>
      </w:r>
      <w:r w:rsidRPr="00AC5712">
        <w:rPr>
          <w:rFonts w:asciiTheme="minorHAnsi" w:hAnsiTheme="minorHAnsi"/>
          <w:bCs/>
          <w:i/>
          <w:sz w:val="24"/>
          <w:szCs w:val="24"/>
        </w:rPr>
        <w:t>Deutscher Akademischer Austauch Dienst</w:t>
      </w:r>
      <w:r w:rsidR="0003457C" w:rsidRPr="00AC5712">
        <w:rPr>
          <w:rFonts w:asciiTheme="minorHAnsi" w:hAnsiTheme="minorHAnsi"/>
          <w:sz w:val="24"/>
          <w:szCs w:val="24"/>
        </w:rPr>
        <w:tab/>
      </w:r>
    </w:p>
    <w:p w14:paraId="18D08AB1" w14:textId="333F4A4D" w:rsidR="001C4A56" w:rsidRPr="00AC5712" w:rsidRDefault="001C4A56" w:rsidP="00AC5712">
      <w:pPr>
        <w:pStyle w:val="NormalWeb"/>
        <w:spacing w:before="0" w:beforeAutospacing="0" w:after="0" w:afterAutospacing="0" w:line="360" w:lineRule="auto"/>
        <w:ind w:left="567" w:hanging="567"/>
        <w:jc w:val="both"/>
        <w:rPr>
          <w:rFonts w:asciiTheme="minorHAnsi" w:hAnsiTheme="minorHAnsi"/>
          <w:sz w:val="24"/>
          <w:szCs w:val="24"/>
        </w:rPr>
      </w:pPr>
      <w:r w:rsidRPr="00AC5712">
        <w:rPr>
          <w:rFonts w:asciiTheme="minorHAnsi" w:hAnsiTheme="minorHAnsi"/>
          <w:sz w:val="24"/>
          <w:szCs w:val="24"/>
        </w:rPr>
        <w:t>NGOs</w:t>
      </w:r>
      <w:r w:rsidRPr="00AC5712">
        <w:rPr>
          <w:rFonts w:asciiTheme="minorHAnsi" w:hAnsiTheme="minorHAnsi"/>
          <w:sz w:val="24"/>
          <w:szCs w:val="24"/>
        </w:rPr>
        <w:tab/>
      </w:r>
      <w:r w:rsidRPr="00AC5712">
        <w:rPr>
          <w:rFonts w:asciiTheme="minorHAnsi" w:hAnsiTheme="minorHAnsi"/>
          <w:sz w:val="24"/>
          <w:szCs w:val="24"/>
        </w:rPr>
        <w:tab/>
      </w:r>
      <w:r w:rsidRPr="00AC5712">
        <w:rPr>
          <w:rFonts w:asciiTheme="minorHAnsi" w:hAnsiTheme="minorHAnsi"/>
          <w:sz w:val="24"/>
          <w:szCs w:val="24"/>
          <w:lang w:bidi="en-US"/>
        </w:rPr>
        <w:t>Non Governmental Organizations</w:t>
      </w:r>
    </w:p>
    <w:p w14:paraId="3DAC7543" w14:textId="629800C9" w:rsidR="0003457C" w:rsidRPr="00AC5712" w:rsidRDefault="0003457C" w:rsidP="00AC5712">
      <w:pPr>
        <w:pStyle w:val="NormalWeb"/>
        <w:spacing w:before="0" w:beforeAutospacing="0" w:after="0" w:afterAutospacing="0" w:line="360" w:lineRule="auto"/>
        <w:ind w:left="567" w:hanging="567"/>
        <w:jc w:val="both"/>
        <w:rPr>
          <w:rFonts w:asciiTheme="minorHAnsi" w:hAnsiTheme="minorHAnsi"/>
          <w:sz w:val="24"/>
          <w:szCs w:val="24"/>
        </w:rPr>
      </w:pPr>
      <w:r w:rsidRPr="00AC5712">
        <w:rPr>
          <w:rFonts w:asciiTheme="minorHAnsi" w:hAnsiTheme="minorHAnsi"/>
          <w:sz w:val="24"/>
          <w:szCs w:val="24"/>
        </w:rPr>
        <w:t>JPTL</w:t>
      </w:r>
      <w:r w:rsidRPr="00AC5712">
        <w:rPr>
          <w:rFonts w:asciiTheme="minorHAnsi" w:hAnsiTheme="minorHAnsi"/>
          <w:sz w:val="24"/>
          <w:szCs w:val="24"/>
        </w:rPr>
        <w:tab/>
      </w:r>
      <w:r w:rsidRPr="00AC5712">
        <w:rPr>
          <w:rFonts w:asciiTheme="minorHAnsi" w:hAnsiTheme="minorHAnsi"/>
          <w:sz w:val="24"/>
          <w:szCs w:val="24"/>
        </w:rPr>
        <w:tab/>
      </w:r>
      <w:r w:rsidRPr="00AC5712">
        <w:rPr>
          <w:rFonts w:asciiTheme="minorHAnsi" w:hAnsiTheme="minorHAnsi"/>
          <w:sz w:val="24"/>
          <w:szCs w:val="24"/>
        </w:rPr>
        <w:tab/>
        <w:t>Jatropha Products Tanzania Limited</w:t>
      </w:r>
    </w:p>
    <w:p w14:paraId="77325325" w14:textId="70E852AC" w:rsidR="0003457C" w:rsidRPr="00AC5712" w:rsidRDefault="001C4A56" w:rsidP="00AC5712">
      <w:pPr>
        <w:pStyle w:val="NormalWeb"/>
        <w:spacing w:before="0" w:beforeAutospacing="0" w:after="0" w:afterAutospacing="0" w:line="360" w:lineRule="auto"/>
        <w:ind w:left="567" w:hanging="567"/>
        <w:jc w:val="both"/>
        <w:rPr>
          <w:rFonts w:asciiTheme="minorHAnsi" w:hAnsiTheme="minorHAnsi"/>
          <w:i/>
          <w:sz w:val="24"/>
          <w:szCs w:val="24"/>
        </w:rPr>
      </w:pPr>
      <w:r w:rsidRPr="00AC5712">
        <w:rPr>
          <w:rFonts w:asciiTheme="minorHAnsi" w:hAnsiTheme="minorHAnsi"/>
          <w:sz w:val="24"/>
          <w:szCs w:val="24"/>
        </w:rPr>
        <w:t>KaKu</w:t>
      </w:r>
      <w:r w:rsidR="0003457C" w:rsidRPr="00AC5712">
        <w:rPr>
          <w:rFonts w:asciiTheme="minorHAnsi" w:hAnsiTheme="minorHAnsi"/>
          <w:sz w:val="24"/>
          <w:szCs w:val="24"/>
        </w:rPr>
        <w:t>T</w:t>
      </w:r>
      <w:r w:rsidRPr="00AC5712">
        <w:rPr>
          <w:rFonts w:asciiTheme="minorHAnsi" w:hAnsiTheme="minorHAnsi"/>
          <w:sz w:val="24"/>
          <w:szCs w:val="24"/>
        </w:rPr>
        <w:t>e</w:t>
      </w:r>
      <w:r w:rsidR="0003457C" w:rsidRPr="00AC5712">
        <w:rPr>
          <w:rFonts w:asciiTheme="minorHAnsi" w:hAnsiTheme="minorHAnsi"/>
          <w:b/>
          <w:sz w:val="24"/>
          <w:szCs w:val="24"/>
        </w:rPr>
        <w:tab/>
      </w:r>
      <w:r w:rsidR="0003457C" w:rsidRPr="00AC5712">
        <w:rPr>
          <w:rFonts w:asciiTheme="minorHAnsi" w:hAnsiTheme="minorHAnsi"/>
          <w:i/>
          <w:sz w:val="24"/>
          <w:szCs w:val="24"/>
        </w:rPr>
        <w:t>Kampuni ya Kusambaza Teknolojia</w:t>
      </w:r>
    </w:p>
    <w:p w14:paraId="49B5BA82" w14:textId="0DBF9F60" w:rsidR="001C4A56" w:rsidRPr="00AC5712" w:rsidRDefault="001C4A56" w:rsidP="00AC5712">
      <w:pPr>
        <w:spacing w:line="360" w:lineRule="auto"/>
        <w:jc w:val="both"/>
        <w:rPr>
          <w:lang w:bidi="en-US"/>
        </w:rPr>
      </w:pPr>
      <w:r w:rsidRPr="00AC5712">
        <w:rPr>
          <w:lang w:bidi="en-US"/>
        </w:rPr>
        <w:t>MAFC</w:t>
      </w:r>
      <w:r w:rsidRPr="00AC5712">
        <w:rPr>
          <w:lang w:bidi="en-US"/>
        </w:rPr>
        <w:tab/>
      </w:r>
      <w:r w:rsidRPr="00AC5712">
        <w:rPr>
          <w:lang w:bidi="en-US"/>
        </w:rPr>
        <w:tab/>
        <w:t>Ministry of Agriculture Food security and Cooperation</w:t>
      </w:r>
    </w:p>
    <w:p w14:paraId="5BC0DD66" w14:textId="5BAB84C2" w:rsidR="001C4A56" w:rsidRPr="00AC5712" w:rsidRDefault="001C4A56" w:rsidP="00AC5712">
      <w:pPr>
        <w:spacing w:line="360" w:lineRule="auto"/>
        <w:jc w:val="both"/>
        <w:rPr>
          <w:lang w:bidi="en-US"/>
        </w:rPr>
      </w:pPr>
      <w:r w:rsidRPr="00AC5712">
        <w:rPr>
          <w:lang w:bidi="en-US"/>
        </w:rPr>
        <w:t>MEM</w:t>
      </w:r>
      <w:r w:rsidRPr="00AC5712">
        <w:rPr>
          <w:lang w:bidi="en-US"/>
        </w:rPr>
        <w:tab/>
      </w:r>
      <w:r w:rsidRPr="00AC5712">
        <w:rPr>
          <w:lang w:bidi="en-US"/>
        </w:rPr>
        <w:tab/>
        <w:t>Ministry of Energy and Minerals</w:t>
      </w:r>
    </w:p>
    <w:p w14:paraId="39B860AC" w14:textId="716172E9" w:rsidR="001C4A56" w:rsidRPr="00AC5712" w:rsidRDefault="001C4A56" w:rsidP="00AC5712">
      <w:pPr>
        <w:spacing w:line="360" w:lineRule="auto"/>
        <w:jc w:val="both"/>
        <w:rPr>
          <w:lang w:bidi="en-US"/>
        </w:rPr>
      </w:pPr>
      <w:r w:rsidRPr="00AC5712">
        <w:rPr>
          <w:lang w:bidi="en-US"/>
        </w:rPr>
        <w:t>MUCE</w:t>
      </w:r>
      <w:r w:rsidRPr="00AC5712">
        <w:rPr>
          <w:lang w:bidi="en-US"/>
        </w:rPr>
        <w:tab/>
      </w:r>
      <w:r w:rsidRPr="00AC5712">
        <w:rPr>
          <w:lang w:bidi="en-US"/>
        </w:rPr>
        <w:tab/>
        <w:t>Mkwawa University College of Education</w:t>
      </w:r>
    </w:p>
    <w:p w14:paraId="0F571679" w14:textId="4B5BE62D" w:rsidR="00AC5712" w:rsidRPr="00AC5712" w:rsidRDefault="00AC5712" w:rsidP="00AC5712">
      <w:pPr>
        <w:pStyle w:val="NormalWeb"/>
        <w:spacing w:before="0" w:beforeAutospacing="0" w:after="0" w:afterAutospacing="0" w:line="360" w:lineRule="auto"/>
        <w:ind w:left="567" w:hanging="567"/>
        <w:jc w:val="both"/>
        <w:rPr>
          <w:rFonts w:asciiTheme="minorHAnsi" w:hAnsiTheme="minorHAnsi"/>
          <w:sz w:val="24"/>
          <w:szCs w:val="24"/>
          <w:lang w:bidi="en-US"/>
        </w:rPr>
      </w:pPr>
      <w:r w:rsidRPr="00AC5712">
        <w:rPr>
          <w:rFonts w:asciiTheme="minorHAnsi" w:hAnsiTheme="minorHAnsi"/>
          <w:sz w:val="24"/>
          <w:szCs w:val="24"/>
          <w:lang w:bidi="en-US"/>
        </w:rPr>
        <w:t>WWW</w:t>
      </w:r>
      <w:r w:rsidRPr="00AC5712">
        <w:rPr>
          <w:rFonts w:asciiTheme="minorHAnsi" w:hAnsiTheme="minorHAnsi"/>
          <w:sz w:val="24"/>
          <w:szCs w:val="24"/>
          <w:lang w:bidi="en-US"/>
        </w:rPr>
        <w:tab/>
      </w:r>
      <w:r w:rsidRPr="00AC5712">
        <w:rPr>
          <w:rFonts w:asciiTheme="minorHAnsi" w:hAnsiTheme="minorHAnsi"/>
          <w:sz w:val="24"/>
          <w:szCs w:val="24"/>
          <w:lang w:bidi="en-US"/>
        </w:rPr>
        <w:tab/>
        <w:t>World Health Organization</w:t>
      </w:r>
    </w:p>
    <w:p w14:paraId="1CA01708" w14:textId="1F9A1A6D" w:rsidR="00AC5712" w:rsidRPr="00AC5712" w:rsidRDefault="00AC5712" w:rsidP="00AC5712">
      <w:pPr>
        <w:pStyle w:val="NormalWeb"/>
        <w:spacing w:before="0" w:beforeAutospacing="0" w:after="0" w:afterAutospacing="0" w:line="360" w:lineRule="auto"/>
        <w:ind w:left="567" w:hanging="567"/>
        <w:jc w:val="both"/>
        <w:rPr>
          <w:rFonts w:asciiTheme="minorHAnsi" w:hAnsiTheme="minorHAnsi"/>
          <w:sz w:val="24"/>
          <w:szCs w:val="24"/>
        </w:rPr>
      </w:pPr>
      <w:r w:rsidRPr="00AC5712">
        <w:rPr>
          <w:rFonts w:asciiTheme="minorHAnsi" w:hAnsiTheme="minorHAnsi"/>
          <w:sz w:val="24"/>
          <w:szCs w:val="24"/>
        </w:rPr>
        <w:t>SPSS</w:t>
      </w:r>
      <w:r w:rsidRPr="00AC5712">
        <w:rPr>
          <w:rFonts w:asciiTheme="minorHAnsi" w:hAnsiTheme="minorHAnsi"/>
          <w:sz w:val="24"/>
          <w:szCs w:val="24"/>
        </w:rPr>
        <w:tab/>
      </w:r>
      <w:r w:rsidRPr="00AC5712">
        <w:rPr>
          <w:rFonts w:asciiTheme="minorHAnsi" w:hAnsiTheme="minorHAnsi"/>
          <w:sz w:val="24"/>
          <w:szCs w:val="24"/>
        </w:rPr>
        <w:tab/>
      </w:r>
      <w:r w:rsidRPr="00AC5712">
        <w:rPr>
          <w:rFonts w:asciiTheme="minorHAnsi" w:hAnsiTheme="minorHAnsi"/>
          <w:sz w:val="24"/>
          <w:szCs w:val="24"/>
        </w:rPr>
        <w:tab/>
        <w:t>Statistical Package for Social Sciences</w:t>
      </w:r>
    </w:p>
    <w:p w14:paraId="1C1B6901" w14:textId="3BB5ED42" w:rsidR="0003457C" w:rsidRPr="00EC7D30" w:rsidRDefault="001C4A56" w:rsidP="00EC7D30">
      <w:pPr>
        <w:spacing w:line="360" w:lineRule="auto"/>
        <w:jc w:val="both"/>
        <w:rPr>
          <w:lang w:bidi="en-US"/>
        </w:rPr>
      </w:pPr>
      <w:r w:rsidRPr="00AC5712">
        <w:rPr>
          <w:lang w:bidi="en-US"/>
        </w:rPr>
        <w:t>TFS</w:t>
      </w:r>
      <w:r w:rsidRPr="00AC5712">
        <w:rPr>
          <w:lang w:bidi="en-US"/>
        </w:rPr>
        <w:tab/>
      </w:r>
      <w:r w:rsidRPr="00AC5712">
        <w:rPr>
          <w:lang w:bidi="en-US"/>
        </w:rPr>
        <w:tab/>
        <w:t>Tanzania Forest Services</w:t>
      </w:r>
    </w:p>
    <w:p w14:paraId="6535A1BB" w14:textId="77777777" w:rsidR="009068A9" w:rsidRPr="00CE5F91" w:rsidRDefault="009068A9" w:rsidP="00B276E1">
      <w:pPr>
        <w:pStyle w:val="NormalWeb"/>
        <w:spacing w:before="0" w:beforeAutospacing="0" w:after="0" w:afterAutospacing="0" w:line="360" w:lineRule="auto"/>
        <w:ind w:left="567" w:hanging="567"/>
        <w:jc w:val="both"/>
        <w:rPr>
          <w:rFonts w:asciiTheme="minorHAnsi" w:hAnsiTheme="minorHAnsi"/>
          <w:b/>
          <w:i/>
          <w:iCs/>
          <w:sz w:val="24"/>
          <w:szCs w:val="24"/>
        </w:rPr>
      </w:pPr>
    </w:p>
    <w:sectPr w:rsidR="009068A9" w:rsidRPr="00CE5F91" w:rsidSect="00A63377">
      <w:footerReference w:type="even" r:id="rId13"/>
      <w:footerReference w:type="default" r:id="rId14"/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B64CD9F" w15:done="0"/>
  <w15:commentEx w15:paraId="2FFF5CAF" w15:done="0"/>
  <w15:commentEx w15:paraId="67543FAA" w15:done="0"/>
  <w15:commentEx w15:paraId="2F52433B" w15:done="0"/>
  <w15:commentEx w15:paraId="0B1C9E34" w15:done="0"/>
  <w15:commentEx w15:paraId="02830BA3" w15:done="0"/>
  <w15:commentEx w15:paraId="54E73220" w15:done="0"/>
  <w15:commentEx w15:paraId="0746FC72" w15:done="0"/>
  <w15:commentEx w15:paraId="4E875E43" w15:done="0"/>
  <w15:commentEx w15:paraId="033E3D2C" w15:done="0"/>
  <w15:commentEx w15:paraId="23340B02" w15:done="0"/>
  <w15:commentEx w15:paraId="1E48E8FD" w15:done="0"/>
  <w15:commentEx w15:paraId="71221BD3" w15:done="0"/>
  <w15:commentEx w15:paraId="7DE48E3C" w15:done="0"/>
  <w15:commentEx w15:paraId="5DEC89F5" w15:done="0"/>
  <w15:commentEx w15:paraId="761AC55C" w15:done="0"/>
  <w15:commentEx w15:paraId="4FFA9405" w15:done="0"/>
  <w15:commentEx w15:paraId="542BFB0C" w15:done="0"/>
  <w15:commentEx w15:paraId="5385ED97" w15:done="0"/>
  <w15:commentEx w15:paraId="1DE1EDB4" w15:done="0"/>
  <w15:commentEx w15:paraId="73ED5C38" w15:done="0"/>
  <w15:commentEx w15:paraId="1F72A884" w15:done="0"/>
  <w15:commentEx w15:paraId="6A613E2C" w15:done="0"/>
  <w15:commentEx w15:paraId="6110DDBB" w15:done="0"/>
  <w15:commentEx w15:paraId="7E155413" w15:done="0"/>
  <w15:commentEx w15:paraId="45C51CB8" w15:done="0"/>
  <w15:commentEx w15:paraId="4102949B" w15:done="0"/>
  <w15:commentEx w15:paraId="0C0F4CEC" w15:done="0"/>
  <w15:commentEx w15:paraId="3323A8BE" w15:done="0"/>
  <w15:commentEx w15:paraId="756D40B1" w15:done="0"/>
  <w15:commentEx w15:paraId="52B831BB" w15:done="0"/>
  <w15:commentEx w15:paraId="7386D31A" w15:done="0"/>
  <w15:commentEx w15:paraId="5F3A1728" w15:done="0"/>
  <w15:commentEx w15:paraId="3FA83E60" w15:done="0"/>
  <w15:commentEx w15:paraId="5A898C8B" w15:done="0"/>
  <w15:commentEx w15:paraId="4C4669F8" w15:done="0"/>
  <w15:commentEx w15:paraId="02A4E178" w15:done="0"/>
  <w15:commentEx w15:paraId="2C75D815" w15:done="0"/>
  <w15:commentEx w15:paraId="2795230D" w15:done="0"/>
  <w15:commentEx w15:paraId="02041BB9" w15:done="0"/>
  <w15:commentEx w15:paraId="7523B850" w15:done="0"/>
  <w15:commentEx w15:paraId="7977C718" w15:done="0"/>
  <w15:commentEx w15:paraId="2C916FC5" w15:done="0"/>
  <w15:commentEx w15:paraId="392CAA3F" w15:done="0"/>
  <w15:commentEx w15:paraId="237D9D58" w15:done="0"/>
  <w15:commentEx w15:paraId="25FFC6A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41B366" w16cex:dateUtc="2020-04-15T13:23:00Z"/>
  <w16cex:commentExtensible w16cex:durableId="2241C01B" w16cex:dateUtc="2020-04-15T14:17:00Z"/>
  <w16cex:commentExtensible w16cex:durableId="2241C38A" w16cex:dateUtc="2020-04-15T14:3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B64CD9F" w16cid:durableId="224837F3"/>
  <w16cid:commentId w16cid:paraId="2FFF5CAF" w16cid:durableId="22483ED9"/>
  <w16cid:commentId w16cid:paraId="67543FAA" w16cid:durableId="22483F8C"/>
  <w16cid:commentId w16cid:paraId="2F52433B" w16cid:durableId="22484396"/>
  <w16cid:commentId w16cid:paraId="0B1C9E34" w16cid:durableId="22484627"/>
  <w16cid:commentId w16cid:paraId="02830BA3" w16cid:durableId="2248482D"/>
  <w16cid:commentId w16cid:paraId="54E73220" w16cid:durableId="224855A1"/>
  <w16cid:commentId w16cid:paraId="0746FC72" w16cid:durableId="2248632F"/>
  <w16cid:commentId w16cid:paraId="4E875E43" w16cid:durableId="224864FE"/>
  <w16cid:commentId w16cid:paraId="033E3D2C" w16cid:durableId="22486639"/>
  <w16cid:commentId w16cid:paraId="23340B02" w16cid:durableId="22486E39"/>
  <w16cid:commentId w16cid:paraId="1E48E8FD" w16cid:durableId="2251040F"/>
  <w16cid:commentId w16cid:paraId="71221BD3" w16cid:durableId="22511BD9"/>
  <w16cid:commentId w16cid:paraId="7DE48E3C" w16cid:durableId="2251055A"/>
  <w16cid:commentId w16cid:paraId="5DEC89F5" w16cid:durableId="22510698"/>
  <w16cid:commentId w16cid:paraId="761AC55C" w16cid:durableId="225105E5"/>
  <w16cid:commentId w16cid:paraId="4FFA9405" w16cid:durableId="2251085A"/>
  <w16cid:commentId w16cid:paraId="542BFB0C" w16cid:durableId="225109EE"/>
  <w16cid:commentId w16cid:paraId="5385ED97" w16cid:durableId="22511B20"/>
  <w16cid:commentId w16cid:paraId="1DE1EDB4" w16cid:durableId="22512298"/>
  <w16cid:commentId w16cid:paraId="73ED5C38" w16cid:durableId="225122B0"/>
  <w16cid:commentId w16cid:paraId="1F72A884" w16cid:durableId="22512307"/>
  <w16cid:commentId w16cid:paraId="6A613E2C" w16cid:durableId="2251236C"/>
  <w16cid:commentId w16cid:paraId="6110DDBB" w16cid:durableId="2251253C"/>
  <w16cid:commentId w16cid:paraId="7E155413" w16cid:durableId="225126EE"/>
  <w16cid:commentId w16cid:paraId="45C51CB8" w16cid:durableId="22512E4D"/>
  <w16cid:commentId w16cid:paraId="4102949B" w16cid:durableId="2251317F"/>
  <w16cid:commentId w16cid:paraId="0C0F4CEC" w16cid:durableId="225133A9"/>
  <w16cid:commentId w16cid:paraId="3323A8BE" w16cid:durableId="2251345C"/>
  <w16cid:commentId w16cid:paraId="756D40B1" w16cid:durableId="22513510"/>
  <w16cid:commentId w16cid:paraId="52B831BB" w16cid:durableId="2251355E"/>
  <w16cid:commentId w16cid:paraId="7386D31A" w16cid:durableId="225136F8"/>
  <w16cid:commentId w16cid:paraId="5F3A1728" w16cid:durableId="2251374F"/>
  <w16cid:commentId w16cid:paraId="3FA83E60" w16cid:durableId="22513829"/>
  <w16cid:commentId w16cid:paraId="5A898C8B" w16cid:durableId="22513912"/>
  <w16cid:commentId w16cid:paraId="4C4669F8" w16cid:durableId="22513A24"/>
  <w16cid:commentId w16cid:paraId="02A4E178" w16cid:durableId="22513A33"/>
  <w16cid:commentId w16cid:paraId="2C75D815" w16cid:durableId="22513A8C"/>
  <w16cid:commentId w16cid:paraId="2795230D" w16cid:durableId="22513BE3"/>
  <w16cid:commentId w16cid:paraId="02041BB9" w16cid:durableId="22513B86"/>
  <w16cid:commentId w16cid:paraId="7523B850" w16cid:durableId="22513BA9"/>
  <w16cid:commentId w16cid:paraId="7977C718" w16cid:durableId="22513CC6"/>
  <w16cid:commentId w16cid:paraId="2C916FC5" w16cid:durableId="22513E67"/>
  <w16cid:commentId w16cid:paraId="392CAA3F" w16cid:durableId="22513EF0"/>
  <w16cid:commentId w16cid:paraId="237D9D58" w16cid:durableId="22513F51"/>
  <w16cid:commentId w16cid:paraId="25FFC6AF" w16cid:durableId="22514205"/>
</w16cid:commentsId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E15762" w14:textId="77777777" w:rsidR="001C4A56" w:rsidRDefault="001C4A56" w:rsidP="00917399">
      <w:r>
        <w:separator/>
      </w:r>
    </w:p>
  </w:endnote>
  <w:endnote w:type="continuationSeparator" w:id="0">
    <w:p w14:paraId="4FAD65FB" w14:textId="77777777" w:rsidR="001C4A56" w:rsidRDefault="001C4A56" w:rsidP="00917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5F319C" w14:textId="77777777" w:rsidR="001C4A56" w:rsidRDefault="001C4A56" w:rsidP="009173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AB99393" w14:textId="77777777" w:rsidR="001C4A56" w:rsidRDefault="001C4A56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8D77A7" w14:textId="77777777" w:rsidR="001C4A56" w:rsidRDefault="001C4A56" w:rsidP="009173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41825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2B2092" w14:textId="77777777" w:rsidR="001C4A56" w:rsidRDefault="001C4A5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6013BD" w14:textId="77777777" w:rsidR="001C4A56" w:rsidRDefault="001C4A56" w:rsidP="00917399">
      <w:r>
        <w:separator/>
      </w:r>
    </w:p>
  </w:footnote>
  <w:footnote w:type="continuationSeparator" w:id="0">
    <w:p w14:paraId="2DFC3F3A" w14:textId="77777777" w:rsidR="001C4A56" w:rsidRDefault="001C4A56" w:rsidP="009173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7828ED"/>
    <w:multiLevelType w:val="hybridMultilevel"/>
    <w:tmpl w:val="2EB67800"/>
    <w:lvl w:ilvl="0" w:tplc="04090001">
      <w:start w:val="1"/>
      <w:numFmt w:val="bullet"/>
      <w:lvlText w:val=""/>
      <w:lvlJc w:val="left"/>
      <w:pPr>
        <w:ind w:left="74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1" w:hanging="360"/>
      </w:pPr>
      <w:rPr>
        <w:rFonts w:ascii="Wingdings" w:hAnsi="Wingdings" w:hint="default"/>
      </w:rPr>
    </w:lvl>
  </w:abstractNum>
  <w:abstractNum w:abstractNumId="1">
    <w:nsid w:val="34B83498"/>
    <w:multiLevelType w:val="hybridMultilevel"/>
    <w:tmpl w:val="377C1B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1B5350"/>
    <w:multiLevelType w:val="hybridMultilevel"/>
    <w:tmpl w:val="9AD42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BE64190"/>
    <w:multiLevelType w:val="hybridMultilevel"/>
    <w:tmpl w:val="4F42E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0D5D22"/>
    <w:multiLevelType w:val="hybridMultilevel"/>
    <w:tmpl w:val="AE30F3D2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70C45554"/>
    <w:multiLevelType w:val="hybridMultilevel"/>
    <w:tmpl w:val="2E0E2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TITUS OMBORI">
    <w15:presenceInfo w15:providerId="AD" w15:userId="S::mbrtsl@unife.it::144687e0-b160-4cfb-99f6-e9dd108dc72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BF0"/>
    <w:rsid w:val="00003F6E"/>
    <w:rsid w:val="000046DF"/>
    <w:rsid w:val="00007B54"/>
    <w:rsid w:val="00020E5F"/>
    <w:rsid w:val="00021F12"/>
    <w:rsid w:val="0002614E"/>
    <w:rsid w:val="000311CB"/>
    <w:rsid w:val="0003457C"/>
    <w:rsid w:val="000456BE"/>
    <w:rsid w:val="000505BC"/>
    <w:rsid w:val="0005100F"/>
    <w:rsid w:val="000627DF"/>
    <w:rsid w:val="00065873"/>
    <w:rsid w:val="000707B2"/>
    <w:rsid w:val="000743C2"/>
    <w:rsid w:val="000813A3"/>
    <w:rsid w:val="00095FF0"/>
    <w:rsid w:val="000A35E3"/>
    <w:rsid w:val="000A7013"/>
    <w:rsid w:val="000B42DA"/>
    <w:rsid w:val="000C3F0F"/>
    <w:rsid w:val="000C3FDC"/>
    <w:rsid w:val="000D0B0A"/>
    <w:rsid w:val="000E3A75"/>
    <w:rsid w:val="000F7A76"/>
    <w:rsid w:val="00107B41"/>
    <w:rsid w:val="00117DE0"/>
    <w:rsid w:val="001229B3"/>
    <w:rsid w:val="00123352"/>
    <w:rsid w:val="00125CFA"/>
    <w:rsid w:val="00145D95"/>
    <w:rsid w:val="00145DC7"/>
    <w:rsid w:val="001505E9"/>
    <w:rsid w:val="00153C2A"/>
    <w:rsid w:val="00162F7A"/>
    <w:rsid w:val="00164EA0"/>
    <w:rsid w:val="0017662A"/>
    <w:rsid w:val="00186D8B"/>
    <w:rsid w:val="00191BCF"/>
    <w:rsid w:val="0019774A"/>
    <w:rsid w:val="00197817"/>
    <w:rsid w:val="001A0971"/>
    <w:rsid w:val="001B4098"/>
    <w:rsid w:val="001B52D0"/>
    <w:rsid w:val="001C4A56"/>
    <w:rsid w:val="001C7F9A"/>
    <w:rsid w:val="001D0C4E"/>
    <w:rsid w:val="001D7383"/>
    <w:rsid w:val="001E0F7C"/>
    <w:rsid w:val="001F132B"/>
    <w:rsid w:val="002062AB"/>
    <w:rsid w:val="00223D07"/>
    <w:rsid w:val="002463BD"/>
    <w:rsid w:val="00246E76"/>
    <w:rsid w:val="00257C04"/>
    <w:rsid w:val="00262F60"/>
    <w:rsid w:val="002650D6"/>
    <w:rsid w:val="00292BF1"/>
    <w:rsid w:val="002A14EC"/>
    <w:rsid w:val="002A1879"/>
    <w:rsid w:val="002A25AC"/>
    <w:rsid w:val="002A50C8"/>
    <w:rsid w:val="002B1313"/>
    <w:rsid w:val="002B2F0E"/>
    <w:rsid w:val="002B5DEC"/>
    <w:rsid w:val="002C3395"/>
    <w:rsid w:val="002C71A0"/>
    <w:rsid w:val="002D0FE7"/>
    <w:rsid w:val="002D5D63"/>
    <w:rsid w:val="002D6819"/>
    <w:rsid w:val="002F3F84"/>
    <w:rsid w:val="002F6E6F"/>
    <w:rsid w:val="00300D01"/>
    <w:rsid w:val="0030622F"/>
    <w:rsid w:val="003206B0"/>
    <w:rsid w:val="003237A3"/>
    <w:rsid w:val="00325A4A"/>
    <w:rsid w:val="00333E42"/>
    <w:rsid w:val="00335866"/>
    <w:rsid w:val="0033598A"/>
    <w:rsid w:val="00341825"/>
    <w:rsid w:val="00344688"/>
    <w:rsid w:val="00346090"/>
    <w:rsid w:val="003464A2"/>
    <w:rsid w:val="003518E6"/>
    <w:rsid w:val="00357B89"/>
    <w:rsid w:val="0037241F"/>
    <w:rsid w:val="00375612"/>
    <w:rsid w:val="003816BA"/>
    <w:rsid w:val="003A32E5"/>
    <w:rsid w:val="003A62C5"/>
    <w:rsid w:val="003C21AF"/>
    <w:rsid w:val="003C7D4E"/>
    <w:rsid w:val="003D10F1"/>
    <w:rsid w:val="003D168D"/>
    <w:rsid w:val="003D4067"/>
    <w:rsid w:val="003D66F5"/>
    <w:rsid w:val="003D670E"/>
    <w:rsid w:val="003E4640"/>
    <w:rsid w:val="003E666D"/>
    <w:rsid w:val="003F20CD"/>
    <w:rsid w:val="00401517"/>
    <w:rsid w:val="00413D64"/>
    <w:rsid w:val="004172DE"/>
    <w:rsid w:val="00423945"/>
    <w:rsid w:val="00454BF0"/>
    <w:rsid w:val="004578A1"/>
    <w:rsid w:val="0046539D"/>
    <w:rsid w:val="00466222"/>
    <w:rsid w:val="004723B9"/>
    <w:rsid w:val="00477B36"/>
    <w:rsid w:val="0049154A"/>
    <w:rsid w:val="004A0300"/>
    <w:rsid w:val="004A7C48"/>
    <w:rsid w:val="004B0520"/>
    <w:rsid w:val="004B4B4E"/>
    <w:rsid w:val="004C18EA"/>
    <w:rsid w:val="004D0546"/>
    <w:rsid w:val="004D1167"/>
    <w:rsid w:val="004D55F9"/>
    <w:rsid w:val="004E4FD3"/>
    <w:rsid w:val="0050564C"/>
    <w:rsid w:val="00507D1F"/>
    <w:rsid w:val="00522B02"/>
    <w:rsid w:val="00526912"/>
    <w:rsid w:val="005356EF"/>
    <w:rsid w:val="005438BD"/>
    <w:rsid w:val="00544687"/>
    <w:rsid w:val="005463D9"/>
    <w:rsid w:val="0054718A"/>
    <w:rsid w:val="005531D8"/>
    <w:rsid w:val="005563DB"/>
    <w:rsid w:val="005576C6"/>
    <w:rsid w:val="00561E53"/>
    <w:rsid w:val="00561F22"/>
    <w:rsid w:val="00562F32"/>
    <w:rsid w:val="0057054B"/>
    <w:rsid w:val="0058613F"/>
    <w:rsid w:val="00596EEF"/>
    <w:rsid w:val="005A0EEF"/>
    <w:rsid w:val="005A0F75"/>
    <w:rsid w:val="005B168C"/>
    <w:rsid w:val="005B1E6F"/>
    <w:rsid w:val="005B4461"/>
    <w:rsid w:val="005B4832"/>
    <w:rsid w:val="005B4A5A"/>
    <w:rsid w:val="005C0D10"/>
    <w:rsid w:val="005C208F"/>
    <w:rsid w:val="005C79C0"/>
    <w:rsid w:val="005D6996"/>
    <w:rsid w:val="005E0433"/>
    <w:rsid w:val="005E55F8"/>
    <w:rsid w:val="005F1550"/>
    <w:rsid w:val="00602F58"/>
    <w:rsid w:val="00607A9B"/>
    <w:rsid w:val="00622657"/>
    <w:rsid w:val="0062287D"/>
    <w:rsid w:val="00626FDB"/>
    <w:rsid w:val="00631801"/>
    <w:rsid w:val="00631EB0"/>
    <w:rsid w:val="00644561"/>
    <w:rsid w:val="0064722B"/>
    <w:rsid w:val="00650597"/>
    <w:rsid w:val="00654DE5"/>
    <w:rsid w:val="006554FE"/>
    <w:rsid w:val="006558D5"/>
    <w:rsid w:val="00664554"/>
    <w:rsid w:val="00665867"/>
    <w:rsid w:val="00667FBD"/>
    <w:rsid w:val="00675B63"/>
    <w:rsid w:val="006868CC"/>
    <w:rsid w:val="00686A85"/>
    <w:rsid w:val="00695364"/>
    <w:rsid w:val="00697860"/>
    <w:rsid w:val="006A504D"/>
    <w:rsid w:val="006C3133"/>
    <w:rsid w:val="006C53D3"/>
    <w:rsid w:val="006E56E8"/>
    <w:rsid w:val="006E619D"/>
    <w:rsid w:val="006F2C05"/>
    <w:rsid w:val="006F2C34"/>
    <w:rsid w:val="007021EB"/>
    <w:rsid w:val="007041C7"/>
    <w:rsid w:val="00707AA5"/>
    <w:rsid w:val="007165AE"/>
    <w:rsid w:val="00717D5C"/>
    <w:rsid w:val="00726A89"/>
    <w:rsid w:val="007405FF"/>
    <w:rsid w:val="00740C58"/>
    <w:rsid w:val="00755A98"/>
    <w:rsid w:val="00763B38"/>
    <w:rsid w:val="00763C30"/>
    <w:rsid w:val="00765262"/>
    <w:rsid w:val="007743E8"/>
    <w:rsid w:val="007905DC"/>
    <w:rsid w:val="00796951"/>
    <w:rsid w:val="007A1DE0"/>
    <w:rsid w:val="007A5554"/>
    <w:rsid w:val="007C6235"/>
    <w:rsid w:val="007C7236"/>
    <w:rsid w:val="007D59EB"/>
    <w:rsid w:val="007D5A56"/>
    <w:rsid w:val="007E0384"/>
    <w:rsid w:val="007E7AF0"/>
    <w:rsid w:val="007F352F"/>
    <w:rsid w:val="007F5389"/>
    <w:rsid w:val="00802747"/>
    <w:rsid w:val="00803A3B"/>
    <w:rsid w:val="00807717"/>
    <w:rsid w:val="0081652C"/>
    <w:rsid w:val="00827FCC"/>
    <w:rsid w:val="00843E17"/>
    <w:rsid w:val="00850BE6"/>
    <w:rsid w:val="0086142A"/>
    <w:rsid w:val="00866A3C"/>
    <w:rsid w:val="0086764D"/>
    <w:rsid w:val="008748FE"/>
    <w:rsid w:val="00886E6C"/>
    <w:rsid w:val="00887F20"/>
    <w:rsid w:val="00894F55"/>
    <w:rsid w:val="008A067B"/>
    <w:rsid w:val="008A099E"/>
    <w:rsid w:val="008A55FF"/>
    <w:rsid w:val="008C1775"/>
    <w:rsid w:val="008C527F"/>
    <w:rsid w:val="008D789D"/>
    <w:rsid w:val="008F14ED"/>
    <w:rsid w:val="008F2BA5"/>
    <w:rsid w:val="008F4DAC"/>
    <w:rsid w:val="00903753"/>
    <w:rsid w:val="009065AC"/>
    <w:rsid w:val="009068A9"/>
    <w:rsid w:val="009072CF"/>
    <w:rsid w:val="00907EAD"/>
    <w:rsid w:val="00914238"/>
    <w:rsid w:val="00916583"/>
    <w:rsid w:val="00917399"/>
    <w:rsid w:val="00934B09"/>
    <w:rsid w:val="00955E34"/>
    <w:rsid w:val="009644B8"/>
    <w:rsid w:val="0097352A"/>
    <w:rsid w:val="009842B1"/>
    <w:rsid w:val="0099032B"/>
    <w:rsid w:val="00996EFD"/>
    <w:rsid w:val="009A59DD"/>
    <w:rsid w:val="009A6E1B"/>
    <w:rsid w:val="009B5DC4"/>
    <w:rsid w:val="009C0440"/>
    <w:rsid w:val="009C244A"/>
    <w:rsid w:val="009C7AEE"/>
    <w:rsid w:val="009C7E4F"/>
    <w:rsid w:val="009D0BF3"/>
    <w:rsid w:val="009D132E"/>
    <w:rsid w:val="009D679D"/>
    <w:rsid w:val="009F150A"/>
    <w:rsid w:val="009F169D"/>
    <w:rsid w:val="00A0291B"/>
    <w:rsid w:val="00A20DFE"/>
    <w:rsid w:val="00A34957"/>
    <w:rsid w:val="00A35856"/>
    <w:rsid w:val="00A525ED"/>
    <w:rsid w:val="00A63377"/>
    <w:rsid w:val="00A64D43"/>
    <w:rsid w:val="00A67254"/>
    <w:rsid w:val="00A7342E"/>
    <w:rsid w:val="00A8325B"/>
    <w:rsid w:val="00A905CC"/>
    <w:rsid w:val="00A95729"/>
    <w:rsid w:val="00A9754D"/>
    <w:rsid w:val="00AB515C"/>
    <w:rsid w:val="00AC4CE8"/>
    <w:rsid w:val="00AC5712"/>
    <w:rsid w:val="00AD2D9D"/>
    <w:rsid w:val="00AF3690"/>
    <w:rsid w:val="00B027CD"/>
    <w:rsid w:val="00B04F7A"/>
    <w:rsid w:val="00B06413"/>
    <w:rsid w:val="00B12418"/>
    <w:rsid w:val="00B12DB4"/>
    <w:rsid w:val="00B165F8"/>
    <w:rsid w:val="00B16669"/>
    <w:rsid w:val="00B1705D"/>
    <w:rsid w:val="00B25ABB"/>
    <w:rsid w:val="00B276E1"/>
    <w:rsid w:val="00B33B0D"/>
    <w:rsid w:val="00B346E9"/>
    <w:rsid w:val="00B4153B"/>
    <w:rsid w:val="00B45AE1"/>
    <w:rsid w:val="00B47C2F"/>
    <w:rsid w:val="00B50DA4"/>
    <w:rsid w:val="00B53FC7"/>
    <w:rsid w:val="00B61CF4"/>
    <w:rsid w:val="00B62BE6"/>
    <w:rsid w:val="00B67B09"/>
    <w:rsid w:val="00B76AC6"/>
    <w:rsid w:val="00B8200D"/>
    <w:rsid w:val="00B83EA8"/>
    <w:rsid w:val="00B91AC3"/>
    <w:rsid w:val="00B94899"/>
    <w:rsid w:val="00BB0DB5"/>
    <w:rsid w:val="00BB4EC5"/>
    <w:rsid w:val="00BC3135"/>
    <w:rsid w:val="00BE5782"/>
    <w:rsid w:val="00BF2F0A"/>
    <w:rsid w:val="00BF3BA8"/>
    <w:rsid w:val="00C14C16"/>
    <w:rsid w:val="00C30133"/>
    <w:rsid w:val="00C40576"/>
    <w:rsid w:val="00C41D19"/>
    <w:rsid w:val="00C44236"/>
    <w:rsid w:val="00C52926"/>
    <w:rsid w:val="00C55073"/>
    <w:rsid w:val="00C57276"/>
    <w:rsid w:val="00C63243"/>
    <w:rsid w:val="00C678A0"/>
    <w:rsid w:val="00C8602B"/>
    <w:rsid w:val="00C917C1"/>
    <w:rsid w:val="00CA3588"/>
    <w:rsid w:val="00CB0547"/>
    <w:rsid w:val="00CB11B0"/>
    <w:rsid w:val="00CC02AA"/>
    <w:rsid w:val="00CC55D9"/>
    <w:rsid w:val="00CD1636"/>
    <w:rsid w:val="00CE0392"/>
    <w:rsid w:val="00CE506F"/>
    <w:rsid w:val="00CE5F91"/>
    <w:rsid w:val="00CF02D6"/>
    <w:rsid w:val="00CF1BAC"/>
    <w:rsid w:val="00CF7F81"/>
    <w:rsid w:val="00D01B0B"/>
    <w:rsid w:val="00D1245F"/>
    <w:rsid w:val="00D126D0"/>
    <w:rsid w:val="00D14490"/>
    <w:rsid w:val="00D14725"/>
    <w:rsid w:val="00D153AC"/>
    <w:rsid w:val="00D16BA7"/>
    <w:rsid w:val="00D200D6"/>
    <w:rsid w:val="00D20AFA"/>
    <w:rsid w:val="00D26209"/>
    <w:rsid w:val="00D31DD4"/>
    <w:rsid w:val="00D424AB"/>
    <w:rsid w:val="00D4307F"/>
    <w:rsid w:val="00D56F87"/>
    <w:rsid w:val="00D61BA0"/>
    <w:rsid w:val="00D715C2"/>
    <w:rsid w:val="00D71E3A"/>
    <w:rsid w:val="00D84270"/>
    <w:rsid w:val="00D850CB"/>
    <w:rsid w:val="00D936DA"/>
    <w:rsid w:val="00D9378F"/>
    <w:rsid w:val="00D973B3"/>
    <w:rsid w:val="00D9775C"/>
    <w:rsid w:val="00DA1BC4"/>
    <w:rsid w:val="00DA2965"/>
    <w:rsid w:val="00DB1F3F"/>
    <w:rsid w:val="00DB7A36"/>
    <w:rsid w:val="00DB7DBE"/>
    <w:rsid w:val="00DD2E3B"/>
    <w:rsid w:val="00DD3486"/>
    <w:rsid w:val="00DF2442"/>
    <w:rsid w:val="00DF4DED"/>
    <w:rsid w:val="00DF784B"/>
    <w:rsid w:val="00E16A84"/>
    <w:rsid w:val="00E23A06"/>
    <w:rsid w:val="00E23AC7"/>
    <w:rsid w:val="00E367CC"/>
    <w:rsid w:val="00E518D0"/>
    <w:rsid w:val="00E53523"/>
    <w:rsid w:val="00E53D0C"/>
    <w:rsid w:val="00E551D5"/>
    <w:rsid w:val="00E61C91"/>
    <w:rsid w:val="00E767B2"/>
    <w:rsid w:val="00E81200"/>
    <w:rsid w:val="00E813A3"/>
    <w:rsid w:val="00E940AF"/>
    <w:rsid w:val="00E96517"/>
    <w:rsid w:val="00EA2C21"/>
    <w:rsid w:val="00EB058D"/>
    <w:rsid w:val="00EC06A1"/>
    <w:rsid w:val="00EC7D30"/>
    <w:rsid w:val="00ED271F"/>
    <w:rsid w:val="00ED2E7D"/>
    <w:rsid w:val="00ED4C56"/>
    <w:rsid w:val="00EE1E42"/>
    <w:rsid w:val="00EF0F94"/>
    <w:rsid w:val="00EF1918"/>
    <w:rsid w:val="00F00CDF"/>
    <w:rsid w:val="00F0132D"/>
    <w:rsid w:val="00F06C82"/>
    <w:rsid w:val="00F25412"/>
    <w:rsid w:val="00F3555D"/>
    <w:rsid w:val="00F35619"/>
    <w:rsid w:val="00F426B3"/>
    <w:rsid w:val="00F513D3"/>
    <w:rsid w:val="00F54165"/>
    <w:rsid w:val="00F603C1"/>
    <w:rsid w:val="00F7256C"/>
    <w:rsid w:val="00F828E0"/>
    <w:rsid w:val="00F85322"/>
    <w:rsid w:val="00F8722F"/>
    <w:rsid w:val="00F96855"/>
    <w:rsid w:val="00FA11D6"/>
    <w:rsid w:val="00FB7EC2"/>
    <w:rsid w:val="00FD069D"/>
    <w:rsid w:val="00FD23B9"/>
    <w:rsid w:val="00FD6571"/>
    <w:rsid w:val="00FE14D4"/>
    <w:rsid w:val="00FF1E63"/>
    <w:rsid w:val="00FF35F0"/>
    <w:rsid w:val="00FF5253"/>
    <w:rsid w:val="00FF6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68C0C2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54BF0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3377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6E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4BF0"/>
    <w:rPr>
      <w:rFonts w:ascii="Times New Roman" w:hAnsi="Times New Roman" w:cs="Times New Roman"/>
      <w:b/>
      <w:bCs/>
      <w:kern w:val="36"/>
      <w:sz w:val="48"/>
      <w:szCs w:val="48"/>
      <w:lang w:val="en-GB"/>
    </w:rPr>
  </w:style>
  <w:style w:type="paragraph" w:customStyle="1" w:styleId="KeinLeerraum">
    <w:name w:val="Kein Leerraum"/>
    <w:qFormat/>
    <w:rsid w:val="006868CC"/>
    <w:rPr>
      <w:rFonts w:ascii="Calibri" w:eastAsia="Times New Roman" w:hAnsi="Calibri" w:cs="Times New Roman"/>
      <w:sz w:val="22"/>
      <w:szCs w:val="22"/>
    </w:rPr>
  </w:style>
  <w:style w:type="character" w:styleId="Strong">
    <w:name w:val="Strong"/>
    <w:basedOn w:val="DefaultParagraphFont"/>
    <w:uiPriority w:val="22"/>
    <w:qFormat/>
    <w:rsid w:val="00B4153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33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rsid w:val="00A63377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A63377"/>
    <w:pPr>
      <w:tabs>
        <w:tab w:val="center" w:pos="4680"/>
        <w:tab w:val="right" w:pos="9360"/>
      </w:tabs>
    </w:pPr>
    <w:rPr>
      <w:rFonts w:eastAsiaTheme="minorHAns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A63377"/>
    <w:rPr>
      <w:rFonts w:eastAsiaTheme="minorHAnsi"/>
      <w:sz w:val="22"/>
      <w:szCs w:val="22"/>
    </w:rPr>
  </w:style>
  <w:style w:type="character" w:customStyle="1" w:styleId="apple-style-span">
    <w:name w:val="apple-style-span"/>
    <w:basedOn w:val="DefaultParagraphFont"/>
    <w:rsid w:val="00A63377"/>
  </w:style>
  <w:style w:type="character" w:styleId="FollowedHyperlink">
    <w:name w:val="FollowedHyperlink"/>
    <w:basedOn w:val="DefaultParagraphFont"/>
    <w:uiPriority w:val="99"/>
    <w:semiHidden/>
    <w:unhideWhenUsed/>
    <w:rsid w:val="002B5DEC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DB7A36"/>
  </w:style>
  <w:style w:type="character" w:styleId="Emphasis">
    <w:name w:val="Emphasis"/>
    <w:basedOn w:val="DefaultParagraphFont"/>
    <w:uiPriority w:val="99"/>
    <w:qFormat/>
    <w:rsid w:val="00DB7A36"/>
    <w:rPr>
      <w:i/>
      <w:iCs/>
    </w:rPr>
  </w:style>
  <w:style w:type="paragraph" w:customStyle="1" w:styleId="Default">
    <w:name w:val="Default"/>
    <w:rsid w:val="001A0971"/>
    <w:pPr>
      <w:autoSpaceDE w:val="0"/>
      <w:autoSpaceDN w:val="0"/>
      <w:adjustRightInd w:val="0"/>
    </w:pPr>
    <w:rPr>
      <w:rFonts w:ascii="Calibri" w:eastAsia="Times New Roman" w:hAnsi="Calibri" w:cs="Calibri"/>
      <w:color w:val="000000"/>
    </w:rPr>
  </w:style>
  <w:style w:type="paragraph" w:customStyle="1" w:styleId="NoSpacing1">
    <w:name w:val="No Spacing1"/>
    <w:link w:val="NoSpacingChar"/>
    <w:qFormat/>
    <w:rsid w:val="009D679D"/>
    <w:pPr>
      <w:jc w:val="both"/>
    </w:pPr>
    <w:rPr>
      <w:rFonts w:ascii="Times New Roman" w:eastAsia="Calibri" w:hAnsi="Times New Roman" w:cs="Times New Roman"/>
      <w:szCs w:val="22"/>
    </w:rPr>
  </w:style>
  <w:style w:type="character" w:customStyle="1" w:styleId="NoSpacingChar">
    <w:name w:val="No Spacing Char"/>
    <w:link w:val="NoSpacing1"/>
    <w:rsid w:val="009D679D"/>
    <w:rPr>
      <w:rFonts w:ascii="Times New Roman" w:eastAsia="Calibri" w:hAnsi="Times New Roman" w:cs="Times New Roman"/>
      <w:szCs w:val="22"/>
    </w:rPr>
  </w:style>
  <w:style w:type="paragraph" w:styleId="NormalWeb">
    <w:name w:val="Normal (Web)"/>
    <w:basedOn w:val="Normal"/>
    <w:uiPriority w:val="99"/>
    <w:unhideWhenUsed/>
    <w:rsid w:val="00903753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79C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9C0"/>
    <w:rPr>
      <w:rFonts w:ascii="Lucida Grande" w:hAnsi="Lucida Grande" w:cs="Lucida Grande"/>
      <w:sz w:val="18"/>
      <w:szCs w:val="18"/>
    </w:rPr>
  </w:style>
  <w:style w:type="paragraph" w:styleId="BodyText">
    <w:name w:val="Body Text"/>
    <w:basedOn w:val="Normal"/>
    <w:link w:val="BodyTextChar"/>
    <w:semiHidden/>
    <w:rsid w:val="00866A3C"/>
    <w:pPr>
      <w:jc w:val="center"/>
    </w:pPr>
    <w:rPr>
      <w:rFonts w:ascii="Times New Roman" w:eastAsia="Times New Roman" w:hAnsi="Times New Roman" w:cs="Times New Roman"/>
      <w:b/>
      <w:smallCaps/>
      <w:spacing w:val="-2"/>
      <w:szCs w:val="20"/>
      <w:lang w:val="en-GB" w:eastAsia="x-none"/>
    </w:rPr>
  </w:style>
  <w:style w:type="character" w:customStyle="1" w:styleId="BodyTextChar">
    <w:name w:val="Body Text Char"/>
    <w:basedOn w:val="DefaultParagraphFont"/>
    <w:link w:val="BodyText"/>
    <w:semiHidden/>
    <w:rsid w:val="00866A3C"/>
    <w:rPr>
      <w:rFonts w:ascii="Times New Roman" w:eastAsia="Times New Roman" w:hAnsi="Times New Roman" w:cs="Times New Roman"/>
      <w:b/>
      <w:smallCaps/>
      <w:spacing w:val="-2"/>
      <w:szCs w:val="20"/>
      <w:lang w:val="en-GB" w:eastAsia="x-none"/>
    </w:rPr>
  </w:style>
  <w:style w:type="paragraph" w:styleId="Caption">
    <w:name w:val="caption"/>
    <w:basedOn w:val="Normal"/>
    <w:next w:val="Normal"/>
    <w:uiPriority w:val="35"/>
    <w:qFormat/>
    <w:rsid w:val="007D59EB"/>
    <w:pPr>
      <w:spacing w:after="200" w:line="276" w:lineRule="auto"/>
    </w:pPr>
    <w:rPr>
      <w:rFonts w:ascii="Calibri" w:eastAsia="Times New Roman" w:hAnsi="Calibri" w:cs="Times New Roman"/>
      <w:b/>
      <w:bCs/>
      <w:sz w:val="20"/>
      <w:szCs w:val="20"/>
      <w:lang w:val="en-GB"/>
    </w:rPr>
  </w:style>
  <w:style w:type="character" w:customStyle="1" w:styleId="html-italic">
    <w:name w:val="html-italic"/>
    <w:basedOn w:val="DefaultParagraphFont"/>
    <w:rsid w:val="00D424AB"/>
  </w:style>
  <w:style w:type="character" w:styleId="PageNumber">
    <w:name w:val="page number"/>
    <w:basedOn w:val="DefaultParagraphFont"/>
    <w:uiPriority w:val="99"/>
    <w:semiHidden/>
    <w:unhideWhenUsed/>
    <w:rsid w:val="00917399"/>
  </w:style>
  <w:style w:type="character" w:styleId="CommentReference">
    <w:name w:val="annotation reference"/>
    <w:basedOn w:val="DefaultParagraphFont"/>
    <w:uiPriority w:val="99"/>
    <w:semiHidden/>
    <w:unhideWhenUsed/>
    <w:rsid w:val="00717D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7D5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7D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7D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7D5C"/>
    <w:rPr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6E76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54BF0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3377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46E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4BF0"/>
    <w:rPr>
      <w:rFonts w:ascii="Times New Roman" w:hAnsi="Times New Roman" w:cs="Times New Roman"/>
      <w:b/>
      <w:bCs/>
      <w:kern w:val="36"/>
      <w:sz w:val="48"/>
      <w:szCs w:val="48"/>
      <w:lang w:val="en-GB"/>
    </w:rPr>
  </w:style>
  <w:style w:type="paragraph" w:customStyle="1" w:styleId="KeinLeerraum">
    <w:name w:val="Kein Leerraum"/>
    <w:qFormat/>
    <w:rsid w:val="006868CC"/>
    <w:rPr>
      <w:rFonts w:ascii="Calibri" w:eastAsia="Times New Roman" w:hAnsi="Calibri" w:cs="Times New Roman"/>
      <w:sz w:val="22"/>
      <w:szCs w:val="22"/>
    </w:rPr>
  </w:style>
  <w:style w:type="character" w:styleId="Strong">
    <w:name w:val="Strong"/>
    <w:basedOn w:val="DefaultParagraphFont"/>
    <w:uiPriority w:val="22"/>
    <w:qFormat/>
    <w:rsid w:val="00B4153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33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rsid w:val="00A63377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A63377"/>
    <w:pPr>
      <w:tabs>
        <w:tab w:val="center" w:pos="4680"/>
        <w:tab w:val="right" w:pos="9360"/>
      </w:tabs>
    </w:pPr>
    <w:rPr>
      <w:rFonts w:eastAsiaTheme="minorHAns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A63377"/>
    <w:rPr>
      <w:rFonts w:eastAsiaTheme="minorHAnsi"/>
      <w:sz w:val="22"/>
      <w:szCs w:val="22"/>
    </w:rPr>
  </w:style>
  <w:style w:type="character" w:customStyle="1" w:styleId="apple-style-span">
    <w:name w:val="apple-style-span"/>
    <w:basedOn w:val="DefaultParagraphFont"/>
    <w:rsid w:val="00A63377"/>
  </w:style>
  <w:style w:type="character" w:styleId="FollowedHyperlink">
    <w:name w:val="FollowedHyperlink"/>
    <w:basedOn w:val="DefaultParagraphFont"/>
    <w:uiPriority w:val="99"/>
    <w:semiHidden/>
    <w:unhideWhenUsed/>
    <w:rsid w:val="002B5DEC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DB7A36"/>
  </w:style>
  <w:style w:type="character" w:styleId="Emphasis">
    <w:name w:val="Emphasis"/>
    <w:basedOn w:val="DefaultParagraphFont"/>
    <w:uiPriority w:val="99"/>
    <w:qFormat/>
    <w:rsid w:val="00DB7A36"/>
    <w:rPr>
      <w:i/>
      <w:iCs/>
    </w:rPr>
  </w:style>
  <w:style w:type="paragraph" w:customStyle="1" w:styleId="Default">
    <w:name w:val="Default"/>
    <w:rsid w:val="001A0971"/>
    <w:pPr>
      <w:autoSpaceDE w:val="0"/>
      <w:autoSpaceDN w:val="0"/>
      <w:adjustRightInd w:val="0"/>
    </w:pPr>
    <w:rPr>
      <w:rFonts w:ascii="Calibri" w:eastAsia="Times New Roman" w:hAnsi="Calibri" w:cs="Calibri"/>
      <w:color w:val="000000"/>
    </w:rPr>
  </w:style>
  <w:style w:type="paragraph" w:customStyle="1" w:styleId="NoSpacing1">
    <w:name w:val="No Spacing1"/>
    <w:link w:val="NoSpacingChar"/>
    <w:qFormat/>
    <w:rsid w:val="009D679D"/>
    <w:pPr>
      <w:jc w:val="both"/>
    </w:pPr>
    <w:rPr>
      <w:rFonts w:ascii="Times New Roman" w:eastAsia="Calibri" w:hAnsi="Times New Roman" w:cs="Times New Roman"/>
      <w:szCs w:val="22"/>
    </w:rPr>
  </w:style>
  <w:style w:type="character" w:customStyle="1" w:styleId="NoSpacingChar">
    <w:name w:val="No Spacing Char"/>
    <w:link w:val="NoSpacing1"/>
    <w:rsid w:val="009D679D"/>
    <w:rPr>
      <w:rFonts w:ascii="Times New Roman" w:eastAsia="Calibri" w:hAnsi="Times New Roman" w:cs="Times New Roman"/>
      <w:szCs w:val="22"/>
    </w:rPr>
  </w:style>
  <w:style w:type="paragraph" w:styleId="NormalWeb">
    <w:name w:val="Normal (Web)"/>
    <w:basedOn w:val="Normal"/>
    <w:uiPriority w:val="99"/>
    <w:unhideWhenUsed/>
    <w:rsid w:val="00903753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79C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9C0"/>
    <w:rPr>
      <w:rFonts w:ascii="Lucida Grande" w:hAnsi="Lucida Grande" w:cs="Lucida Grande"/>
      <w:sz w:val="18"/>
      <w:szCs w:val="18"/>
    </w:rPr>
  </w:style>
  <w:style w:type="paragraph" w:styleId="BodyText">
    <w:name w:val="Body Text"/>
    <w:basedOn w:val="Normal"/>
    <w:link w:val="BodyTextChar"/>
    <w:semiHidden/>
    <w:rsid w:val="00866A3C"/>
    <w:pPr>
      <w:jc w:val="center"/>
    </w:pPr>
    <w:rPr>
      <w:rFonts w:ascii="Times New Roman" w:eastAsia="Times New Roman" w:hAnsi="Times New Roman" w:cs="Times New Roman"/>
      <w:b/>
      <w:smallCaps/>
      <w:spacing w:val="-2"/>
      <w:szCs w:val="20"/>
      <w:lang w:val="en-GB" w:eastAsia="x-none"/>
    </w:rPr>
  </w:style>
  <w:style w:type="character" w:customStyle="1" w:styleId="BodyTextChar">
    <w:name w:val="Body Text Char"/>
    <w:basedOn w:val="DefaultParagraphFont"/>
    <w:link w:val="BodyText"/>
    <w:semiHidden/>
    <w:rsid w:val="00866A3C"/>
    <w:rPr>
      <w:rFonts w:ascii="Times New Roman" w:eastAsia="Times New Roman" w:hAnsi="Times New Roman" w:cs="Times New Roman"/>
      <w:b/>
      <w:smallCaps/>
      <w:spacing w:val="-2"/>
      <w:szCs w:val="20"/>
      <w:lang w:val="en-GB" w:eastAsia="x-none"/>
    </w:rPr>
  </w:style>
  <w:style w:type="paragraph" w:styleId="Caption">
    <w:name w:val="caption"/>
    <w:basedOn w:val="Normal"/>
    <w:next w:val="Normal"/>
    <w:uiPriority w:val="35"/>
    <w:qFormat/>
    <w:rsid w:val="007D59EB"/>
    <w:pPr>
      <w:spacing w:after="200" w:line="276" w:lineRule="auto"/>
    </w:pPr>
    <w:rPr>
      <w:rFonts w:ascii="Calibri" w:eastAsia="Times New Roman" w:hAnsi="Calibri" w:cs="Times New Roman"/>
      <w:b/>
      <w:bCs/>
      <w:sz w:val="20"/>
      <w:szCs w:val="20"/>
      <w:lang w:val="en-GB"/>
    </w:rPr>
  </w:style>
  <w:style w:type="character" w:customStyle="1" w:styleId="html-italic">
    <w:name w:val="html-italic"/>
    <w:basedOn w:val="DefaultParagraphFont"/>
    <w:rsid w:val="00D424AB"/>
  </w:style>
  <w:style w:type="character" w:styleId="PageNumber">
    <w:name w:val="page number"/>
    <w:basedOn w:val="DefaultParagraphFont"/>
    <w:uiPriority w:val="99"/>
    <w:semiHidden/>
    <w:unhideWhenUsed/>
    <w:rsid w:val="00917399"/>
  </w:style>
  <w:style w:type="character" w:styleId="CommentReference">
    <w:name w:val="annotation reference"/>
    <w:basedOn w:val="DefaultParagraphFont"/>
    <w:uiPriority w:val="99"/>
    <w:semiHidden/>
    <w:unhideWhenUsed/>
    <w:rsid w:val="00717D5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7D5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7D5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7D5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7D5C"/>
    <w:rPr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46E76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6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1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3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99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73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1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181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2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84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772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3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75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91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518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77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282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70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64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13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181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4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84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2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78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33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247311">
              <w:marLeft w:val="0"/>
              <w:marRight w:val="0"/>
              <w:marTop w:val="0"/>
              <w:marBottom w:val="6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78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6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583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60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55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217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40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070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11134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6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77542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70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23" Type="http://schemas.microsoft.com/office/2016/09/relationships/commentsIds" Target="commentsIds.xml"/><Relationship Id="rId24" Type="http://schemas.microsoft.com/office/2011/relationships/people" Target="people.xml"/><Relationship Id="rId28" Type="http://schemas.microsoft.com/office/2018/08/relationships/commentsExtensible" Target="commentsExtensible.xml"/><Relationship Id="rId29" Type="http://schemas.microsoft.com/office/2011/relationships/commentsExtended" Target="commentsExtended.xml"/><Relationship Id="rId10" Type="http://schemas.openxmlformats.org/officeDocument/2006/relationships/chart" Target="charts/chart2.xml"/><Relationship Id="rId11" Type="http://schemas.openxmlformats.org/officeDocument/2006/relationships/chart" Target="charts/chart3.xml"/><Relationship Id="rId12" Type="http://schemas.openxmlformats.org/officeDocument/2006/relationships/chart" Target="charts/chart4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HD:Users:mosesolotu:Library:Application%20Support:Microsoft:Office:Office%202011%20AutoRecovery:Workbook1%20(version%201).xlsb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HD:Users:mosesolotu:Library:Application%20Support:Microsoft:Office:Office%202011%20AutoRecovery:Workbook1%20(version%201).xlsb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HD:Users:mosesolotu:Library:Application%20Support:Microsoft:Office:Office%202011%20AutoRecovery:Workbook1%20(version%201).xlsb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HD:Users:mosesolotu:Library:Application%20Support:Microsoft:Office:Office%202011%20AutoRecovery:Workbook1%20(version%201).xlsb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Sheet1!$B$3</c:f>
              <c:strCache>
                <c:ptCount val="1"/>
                <c:pt idx="0">
                  <c:v>Sihakati</c:v>
                </c:pt>
              </c:strCache>
            </c:strRef>
          </c:tx>
          <c:spPr>
            <a:pattFill prst="pct20">
              <a:fgClr>
                <a:prstClr val="black"/>
              </a:fgClr>
              <a:bgClr>
                <a:prstClr val="white"/>
              </a:bgClr>
            </a:pattFill>
          </c:spPr>
          <c:invertIfNegative val="0"/>
          <c:cat>
            <c:strRef>
              <c:f>Sheet1!$A$4:$A$7</c:f>
              <c:strCache>
                <c:ptCount val="4"/>
                <c:pt idx="0">
                  <c:v>Non-formal</c:v>
                </c:pt>
                <c:pt idx="1">
                  <c:v>Primary Education</c:v>
                </c:pt>
                <c:pt idx="2">
                  <c:v>Ordinary Education</c:v>
                </c:pt>
                <c:pt idx="3">
                  <c:v>College/University</c:v>
                </c:pt>
              </c:strCache>
            </c:strRef>
          </c:cat>
          <c:val>
            <c:numRef>
              <c:f>Sheet1!$B$4:$B$7</c:f>
              <c:numCache>
                <c:formatCode>General</c:formatCode>
                <c:ptCount val="4"/>
                <c:pt idx="0">
                  <c:v>7.0</c:v>
                </c:pt>
                <c:pt idx="1">
                  <c:v>61.0</c:v>
                </c:pt>
                <c:pt idx="2">
                  <c:v>28.0</c:v>
                </c:pt>
                <c:pt idx="3">
                  <c:v>4.0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A68-E147-BDC1-6DE4D8214CC6}"/>
            </c:ext>
          </c:extLst>
        </c:ser>
        <c:ser>
          <c:idx val="1"/>
          <c:order val="1"/>
          <c:tx>
            <c:strRef>
              <c:f>Sheet1!$C$3</c:f>
              <c:strCache>
                <c:ptCount val="1"/>
                <c:pt idx="0">
                  <c:v>Naibili</c:v>
                </c:pt>
              </c:strCache>
            </c:strRef>
          </c:tx>
          <c:spPr>
            <a:pattFill prst="pct50">
              <a:fgClr>
                <a:prstClr val="black"/>
              </a:fgClr>
              <a:bgClr>
                <a:prstClr val="white"/>
              </a:bgClr>
            </a:pattFill>
          </c:spPr>
          <c:invertIfNegative val="0"/>
          <c:cat>
            <c:strRef>
              <c:f>Sheet1!$A$4:$A$7</c:f>
              <c:strCache>
                <c:ptCount val="4"/>
                <c:pt idx="0">
                  <c:v>Non-formal</c:v>
                </c:pt>
                <c:pt idx="1">
                  <c:v>Primary Education</c:v>
                </c:pt>
                <c:pt idx="2">
                  <c:v>Ordinary Education</c:v>
                </c:pt>
                <c:pt idx="3">
                  <c:v>College/University</c:v>
                </c:pt>
              </c:strCache>
            </c:strRef>
          </c:cat>
          <c:val>
            <c:numRef>
              <c:f>Sheet1!$C$4:$C$7</c:f>
              <c:numCache>
                <c:formatCode>General</c:formatCode>
                <c:ptCount val="4"/>
                <c:pt idx="0">
                  <c:v>7.0</c:v>
                </c:pt>
                <c:pt idx="1">
                  <c:v>54.0</c:v>
                </c:pt>
                <c:pt idx="2">
                  <c:v>39.0</c:v>
                </c:pt>
                <c:pt idx="3">
                  <c:v>0.0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A68-E147-BDC1-6DE4D8214CC6}"/>
            </c:ext>
          </c:extLst>
        </c:ser>
        <c:ser>
          <c:idx val="2"/>
          <c:order val="2"/>
          <c:tx>
            <c:strRef>
              <c:f>Sheet1!$D$3</c:f>
              <c:strCache>
                <c:ptCount val="1"/>
                <c:pt idx="0">
                  <c:v>Leguruki</c:v>
                </c:pt>
              </c:strCache>
            </c:strRef>
          </c:tx>
          <c:spPr>
            <a:pattFill prst="pct80">
              <a:fgClr>
                <a:prstClr val="black"/>
              </a:fgClr>
              <a:bgClr>
                <a:prstClr val="white"/>
              </a:bgClr>
            </a:pattFill>
          </c:spPr>
          <c:invertIfNegative val="0"/>
          <c:cat>
            <c:strRef>
              <c:f>Sheet1!$A$4:$A$7</c:f>
              <c:strCache>
                <c:ptCount val="4"/>
                <c:pt idx="0">
                  <c:v>Non-formal</c:v>
                </c:pt>
                <c:pt idx="1">
                  <c:v>Primary Education</c:v>
                </c:pt>
                <c:pt idx="2">
                  <c:v>Ordinary Education</c:v>
                </c:pt>
                <c:pt idx="3">
                  <c:v>College/University</c:v>
                </c:pt>
              </c:strCache>
            </c:strRef>
          </c:cat>
          <c:val>
            <c:numRef>
              <c:f>Sheet1!$D$4:$D$7</c:f>
              <c:numCache>
                <c:formatCode>General</c:formatCode>
                <c:ptCount val="4"/>
                <c:pt idx="0">
                  <c:v>4.0</c:v>
                </c:pt>
                <c:pt idx="1">
                  <c:v>60.0</c:v>
                </c:pt>
                <c:pt idx="2">
                  <c:v>32.0</c:v>
                </c:pt>
                <c:pt idx="3">
                  <c:v>4.0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A68-E147-BDC1-6DE4D8214CC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2132022264"/>
        <c:axId val="-2132384376"/>
      </c:barChart>
      <c:catAx>
        <c:axId val="-2132022264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200">
                    <a:latin typeface="+mn-lt"/>
                  </a:defRPr>
                </a:pPr>
                <a:r>
                  <a:rPr lang="en-US" sz="1200">
                    <a:latin typeface="+mn-lt"/>
                  </a:rPr>
                  <a:t>Education</a:t>
                </a:r>
                <a:r>
                  <a:rPr lang="en-US" sz="1200" baseline="0">
                    <a:latin typeface="+mn-lt"/>
                  </a:rPr>
                  <a:t> levels</a:t>
                </a:r>
                <a:endParaRPr lang="en-US" sz="1200">
                  <a:latin typeface="+mn-lt"/>
                </a:endParaRPr>
              </a:p>
            </c:rich>
          </c:tx>
          <c:layout/>
          <c:overlay val="0"/>
        </c:title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100">
                <a:latin typeface="+mn-lt"/>
              </a:defRPr>
            </a:pPr>
            <a:endParaRPr lang="en-US"/>
          </a:p>
        </c:txPr>
        <c:crossAx val="-2132384376"/>
        <c:crosses val="autoZero"/>
        <c:auto val="1"/>
        <c:lblAlgn val="ctr"/>
        <c:lblOffset val="100"/>
        <c:noMultiLvlLbl val="0"/>
      </c:catAx>
      <c:valAx>
        <c:axId val="-213238437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200">
                    <a:latin typeface="+mn-lt"/>
                  </a:defRPr>
                </a:pPr>
                <a:r>
                  <a:rPr lang="en-US" sz="1200">
                    <a:latin typeface="+mn-lt"/>
                  </a:rPr>
                  <a:t>%</a:t>
                </a:r>
                <a:r>
                  <a:rPr lang="en-US" sz="1200" baseline="0">
                    <a:latin typeface="+mn-lt"/>
                  </a:rPr>
                  <a:t> of respondents</a:t>
                </a:r>
                <a:endParaRPr lang="en-US" sz="1200">
                  <a:latin typeface="+mn-lt"/>
                </a:endParaRP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2132022264"/>
        <c:crosses val="autoZero"/>
        <c:crossBetween val="between"/>
      </c:valAx>
    </c:plotArea>
    <c:legend>
      <c:legendPos val="t"/>
      <c:layout/>
      <c:overlay val="0"/>
      <c:txPr>
        <a:bodyPr/>
        <a:lstStyle/>
        <a:p>
          <a:pPr>
            <a:defRPr sz="1200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Sheet1!$B$31</c:f>
              <c:strCache>
                <c:ptCount val="1"/>
                <c:pt idx="0">
                  <c:v>Sihakati</c:v>
                </c:pt>
              </c:strCache>
            </c:strRef>
          </c:tx>
          <c:spPr>
            <a:pattFill prst="pct10">
              <a:fgClr>
                <a:prstClr val="black"/>
              </a:fgClr>
              <a:bgClr>
                <a:prstClr val="white"/>
              </a:bgClr>
            </a:pattFill>
          </c:spPr>
          <c:invertIfNegative val="0"/>
          <c:cat>
            <c:strRef>
              <c:f>Sheet1!$A$32:$A$37</c:f>
              <c:strCache>
                <c:ptCount val="6"/>
                <c:pt idx="0">
                  <c:v>18-27</c:v>
                </c:pt>
                <c:pt idx="1">
                  <c:v>28-37</c:v>
                </c:pt>
                <c:pt idx="2">
                  <c:v>38-47</c:v>
                </c:pt>
                <c:pt idx="3">
                  <c:v>48-57</c:v>
                </c:pt>
                <c:pt idx="4">
                  <c:v>58-67</c:v>
                </c:pt>
                <c:pt idx="5">
                  <c:v>Above 68</c:v>
                </c:pt>
              </c:strCache>
            </c:strRef>
          </c:cat>
          <c:val>
            <c:numRef>
              <c:f>Sheet1!$B$32:$B$37</c:f>
              <c:numCache>
                <c:formatCode>General</c:formatCode>
                <c:ptCount val="6"/>
                <c:pt idx="0">
                  <c:v>7.0</c:v>
                </c:pt>
                <c:pt idx="1">
                  <c:v>7.0</c:v>
                </c:pt>
                <c:pt idx="2">
                  <c:v>29.0</c:v>
                </c:pt>
                <c:pt idx="3">
                  <c:v>21.0</c:v>
                </c:pt>
                <c:pt idx="4">
                  <c:v>18.0</c:v>
                </c:pt>
                <c:pt idx="5">
                  <c:v>18.0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779-8D40-B048-ADF2BA7CD13F}"/>
            </c:ext>
          </c:extLst>
        </c:ser>
        <c:ser>
          <c:idx val="1"/>
          <c:order val="1"/>
          <c:tx>
            <c:strRef>
              <c:f>Sheet1!$C$31</c:f>
              <c:strCache>
                <c:ptCount val="1"/>
                <c:pt idx="0">
                  <c:v>Naibili</c:v>
                </c:pt>
              </c:strCache>
            </c:strRef>
          </c:tx>
          <c:spPr>
            <a:pattFill prst="pct50">
              <a:fgClr>
                <a:prstClr val="black"/>
              </a:fgClr>
              <a:bgClr>
                <a:prstClr val="white"/>
              </a:bgClr>
            </a:pattFill>
          </c:spPr>
          <c:invertIfNegative val="0"/>
          <c:cat>
            <c:strRef>
              <c:f>Sheet1!$A$32:$A$37</c:f>
              <c:strCache>
                <c:ptCount val="6"/>
                <c:pt idx="0">
                  <c:v>18-27</c:v>
                </c:pt>
                <c:pt idx="1">
                  <c:v>28-37</c:v>
                </c:pt>
                <c:pt idx="2">
                  <c:v>38-47</c:v>
                </c:pt>
                <c:pt idx="3">
                  <c:v>48-57</c:v>
                </c:pt>
                <c:pt idx="4">
                  <c:v>58-67</c:v>
                </c:pt>
                <c:pt idx="5">
                  <c:v>Above 68</c:v>
                </c:pt>
              </c:strCache>
            </c:strRef>
          </c:cat>
          <c:val>
            <c:numRef>
              <c:f>Sheet1!$C$32:$C$37</c:f>
              <c:numCache>
                <c:formatCode>General</c:formatCode>
                <c:ptCount val="6"/>
                <c:pt idx="0">
                  <c:v>4.0</c:v>
                </c:pt>
                <c:pt idx="1">
                  <c:v>4.0</c:v>
                </c:pt>
                <c:pt idx="2">
                  <c:v>46.0</c:v>
                </c:pt>
                <c:pt idx="3">
                  <c:v>28.0</c:v>
                </c:pt>
                <c:pt idx="4">
                  <c:v>14.0</c:v>
                </c:pt>
                <c:pt idx="5">
                  <c:v>4.0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779-8D40-B048-ADF2BA7CD13F}"/>
            </c:ext>
          </c:extLst>
        </c:ser>
        <c:ser>
          <c:idx val="2"/>
          <c:order val="2"/>
          <c:tx>
            <c:strRef>
              <c:f>Sheet1!$D$31</c:f>
              <c:strCache>
                <c:ptCount val="1"/>
                <c:pt idx="0">
                  <c:v>Leguruki</c:v>
                </c:pt>
              </c:strCache>
            </c:strRef>
          </c:tx>
          <c:spPr>
            <a:pattFill prst="pct80">
              <a:fgClr>
                <a:prstClr val="black"/>
              </a:fgClr>
              <a:bgClr>
                <a:prstClr val="white"/>
              </a:bgClr>
            </a:pattFill>
          </c:spPr>
          <c:invertIfNegative val="0"/>
          <c:cat>
            <c:strRef>
              <c:f>Sheet1!$A$32:$A$37</c:f>
              <c:strCache>
                <c:ptCount val="6"/>
                <c:pt idx="0">
                  <c:v>18-27</c:v>
                </c:pt>
                <c:pt idx="1">
                  <c:v>28-37</c:v>
                </c:pt>
                <c:pt idx="2">
                  <c:v>38-47</c:v>
                </c:pt>
                <c:pt idx="3">
                  <c:v>48-57</c:v>
                </c:pt>
                <c:pt idx="4">
                  <c:v>58-67</c:v>
                </c:pt>
                <c:pt idx="5">
                  <c:v>Above 68</c:v>
                </c:pt>
              </c:strCache>
            </c:strRef>
          </c:cat>
          <c:val>
            <c:numRef>
              <c:f>Sheet1!$D$32:$D$37</c:f>
              <c:numCache>
                <c:formatCode>General</c:formatCode>
                <c:ptCount val="6"/>
                <c:pt idx="0">
                  <c:v>10.0</c:v>
                </c:pt>
                <c:pt idx="1">
                  <c:v>11.0</c:v>
                </c:pt>
                <c:pt idx="2">
                  <c:v>25.0</c:v>
                </c:pt>
                <c:pt idx="3">
                  <c:v>29.0</c:v>
                </c:pt>
                <c:pt idx="4">
                  <c:v>4.0</c:v>
                </c:pt>
                <c:pt idx="5">
                  <c:v>21.0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F779-8D40-B048-ADF2BA7CD1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142313432"/>
        <c:axId val="2143221320"/>
      </c:barChart>
      <c:catAx>
        <c:axId val="214231343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200">
                    <a:latin typeface="+mn-lt"/>
                  </a:defRPr>
                </a:pPr>
                <a:r>
                  <a:rPr lang="en-US" sz="1200">
                    <a:latin typeface="+mn-lt"/>
                  </a:rPr>
                  <a:t>Age</a:t>
                </a:r>
                <a:r>
                  <a:rPr lang="en-US" sz="1200" baseline="0">
                    <a:latin typeface="+mn-lt"/>
                  </a:rPr>
                  <a:t> class</a:t>
                </a:r>
                <a:endParaRPr lang="en-US" sz="1200">
                  <a:latin typeface="+mn-lt"/>
                </a:endParaRPr>
              </a:p>
            </c:rich>
          </c:tx>
          <c:layout/>
          <c:overlay val="0"/>
        </c:title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en-US"/>
          </a:p>
        </c:txPr>
        <c:crossAx val="2143221320"/>
        <c:crosses val="autoZero"/>
        <c:auto val="1"/>
        <c:lblAlgn val="ctr"/>
        <c:lblOffset val="100"/>
        <c:noMultiLvlLbl val="0"/>
      </c:catAx>
      <c:valAx>
        <c:axId val="214322132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200">
                    <a:latin typeface="+mn-lt"/>
                  </a:defRPr>
                </a:pPr>
                <a:r>
                  <a:rPr lang="en-US" sz="1200">
                    <a:latin typeface="+mn-lt"/>
                  </a:rPr>
                  <a:t>Participation</a:t>
                </a:r>
                <a:r>
                  <a:rPr lang="en-US" sz="1200" baseline="0">
                    <a:latin typeface="+mn-lt"/>
                  </a:rPr>
                  <a:t> in Jatropha cultivation</a:t>
                </a:r>
                <a:endParaRPr lang="en-US" sz="1200">
                  <a:latin typeface="+mn-lt"/>
                </a:endParaRP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2142313432"/>
        <c:crosses val="autoZero"/>
        <c:crossBetween val="between"/>
      </c:valAx>
    </c:plotArea>
    <c:legend>
      <c:legendPos val="t"/>
      <c:layout/>
      <c:overlay val="0"/>
      <c:txPr>
        <a:bodyPr/>
        <a:lstStyle/>
        <a:p>
          <a:pPr>
            <a:defRPr sz="1200"/>
          </a:pPr>
          <a:endParaRPr lang="en-US"/>
        </a:p>
      </c:txPr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33"/>
    </mc:Choice>
    <mc:Fallback>
      <c:style val="33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tx>
            <c:strRef>
              <c:f>Sheet1!$B$61</c:f>
              <c:strCache>
                <c:ptCount val="1"/>
                <c:pt idx="0">
                  <c:v>Participation</c:v>
                </c:pt>
              </c:strCache>
            </c:strRef>
          </c:tx>
          <c:spPr>
            <a:ln w="47625">
              <a:noFill/>
            </a:ln>
          </c:spPr>
          <c:trendline>
            <c:trendlineType val="linear"/>
            <c:dispRSqr val="1"/>
            <c:dispEq val="1"/>
            <c:trendlineLbl>
              <c:layout>
                <c:manualLayout>
                  <c:x val="-0.0110903324584427"/>
                  <c:y val="0.29720733030017"/>
                </c:manualLayout>
              </c:layout>
              <c:tx>
                <c:rich>
                  <a:bodyPr/>
                  <a:lstStyle/>
                  <a:p>
                    <a:pPr>
                      <a:defRPr/>
                    </a:pPr>
                    <a:r>
                      <a:rPr lang="en-US" baseline="0"/>
                      <a:t>y = 0.2354x + 4.3505
        r² = 0.1341</a:t>
                    </a:r>
                    <a:endParaRPr lang="en-US"/>
                  </a:p>
                </c:rich>
              </c:tx>
              <c:numFmt formatCode="General" sourceLinked="0"/>
            </c:trendlineLbl>
          </c:trendline>
          <c:xVal>
            <c:numRef>
              <c:f>Sheet1!$A$62:$A$67</c:f>
              <c:numCache>
                <c:formatCode>General</c:formatCode>
                <c:ptCount val="6"/>
                <c:pt idx="0">
                  <c:v>22.0</c:v>
                </c:pt>
                <c:pt idx="1">
                  <c:v>33.0</c:v>
                </c:pt>
                <c:pt idx="2">
                  <c:v>43.0</c:v>
                </c:pt>
                <c:pt idx="3">
                  <c:v>52.0</c:v>
                </c:pt>
                <c:pt idx="4">
                  <c:v>61.0</c:v>
                </c:pt>
                <c:pt idx="5">
                  <c:v>73.0</c:v>
                </c:pt>
              </c:numCache>
            </c:numRef>
          </c:xVal>
          <c:yVal>
            <c:numRef>
              <c:f>Sheet1!$B$62:$B$67</c:f>
              <c:numCache>
                <c:formatCode>General</c:formatCode>
                <c:ptCount val="6"/>
                <c:pt idx="0">
                  <c:v>0.0</c:v>
                </c:pt>
                <c:pt idx="1">
                  <c:v>7.0</c:v>
                </c:pt>
                <c:pt idx="2">
                  <c:v>33.0</c:v>
                </c:pt>
                <c:pt idx="3">
                  <c:v>25.0</c:v>
                </c:pt>
                <c:pt idx="4">
                  <c:v>18.0</c:v>
                </c:pt>
                <c:pt idx="5">
                  <c:v>19.0</c:v>
                </c:pt>
              </c:numCache>
            </c:numRef>
          </c:y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1-5728-814B-89CF-72C4013C329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2111950600"/>
        <c:axId val="-2111200984"/>
      </c:scatterChart>
      <c:valAx>
        <c:axId val="-2111950600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Age (Years)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2111200984"/>
        <c:crosses val="autoZero"/>
        <c:crossBetween val="midCat"/>
      </c:valAx>
      <c:valAx>
        <c:axId val="-2111200984"/>
        <c:scaling>
          <c:orientation val="minMax"/>
        </c:scaling>
        <c:delete val="0"/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Particiption %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2111950600"/>
        <c:crosses val="autoZero"/>
        <c:crossBetween val="midCat"/>
      </c:valAx>
      <c:spPr>
        <a:pattFill prst="pct5">
          <a:fgClr>
            <a:schemeClr val="bg1"/>
          </a:fgClr>
          <a:bgClr>
            <a:prstClr val="white"/>
          </a:bgClr>
        </a:pattFill>
      </c:spPr>
    </c:plotArea>
    <c:legend>
      <c:legendPos val="t"/>
      <c:layout/>
      <c:overlay val="0"/>
    </c:legend>
    <c:plotVisOnly val="1"/>
    <c:dispBlanksAs val="gap"/>
    <c:showDLblsOverMax val="0"/>
  </c:chart>
  <c:txPr>
    <a:bodyPr/>
    <a:lstStyle/>
    <a:p>
      <a:pPr>
        <a:defRPr sz="1200">
          <a:latin typeface="+mn-lt"/>
        </a:defRPr>
      </a:pPr>
      <a:endParaRPr lang="en-US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Sheet1!$B$86</c:f>
              <c:strCache>
                <c:ptCount val="1"/>
                <c:pt idx="0">
                  <c:v>Sihakati</c:v>
                </c:pt>
              </c:strCache>
            </c:strRef>
          </c:tx>
          <c:spPr>
            <a:pattFill prst="pct10">
              <a:fgClr>
                <a:prstClr val="black"/>
              </a:fgClr>
              <a:bgClr>
                <a:prstClr val="white"/>
              </a:bgClr>
            </a:pattFill>
          </c:spPr>
          <c:invertIfNegative val="0"/>
          <c:cat>
            <c:strRef>
              <c:f>Sheet1!$A$87:$A$90</c:f>
              <c:strCache>
                <c:ptCount val="4"/>
                <c:pt idx="0">
                  <c:v>Nil</c:v>
                </c:pt>
                <c:pt idx="1">
                  <c:v>0-0.5ha</c:v>
                </c:pt>
                <c:pt idx="2">
                  <c:v>1-2ha</c:v>
                </c:pt>
                <c:pt idx="3">
                  <c:v>3-4ha</c:v>
                </c:pt>
              </c:strCache>
            </c:strRef>
          </c:cat>
          <c:val>
            <c:numRef>
              <c:f>Sheet1!$B$87:$B$90</c:f>
              <c:numCache>
                <c:formatCode>General</c:formatCode>
                <c:ptCount val="4"/>
                <c:pt idx="0">
                  <c:v>4.0</c:v>
                </c:pt>
                <c:pt idx="1">
                  <c:v>18.0</c:v>
                </c:pt>
                <c:pt idx="2">
                  <c:v>60.0</c:v>
                </c:pt>
                <c:pt idx="3">
                  <c:v>18.0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898-874B-A930-44E736AEFCCB}"/>
            </c:ext>
          </c:extLst>
        </c:ser>
        <c:ser>
          <c:idx val="1"/>
          <c:order val="1"/>
          <c:tx>
            <c:strRef>
              <c:f>Sheet1!$C$86</c:f>
              <c:strCache>
                <c:ptCount val="1"/>
                <c:pt idx="0">
                  <c:v>Naibili</c:v>
                </c:pt>
              </c:strCache>
            </c:strRef>
          </c:tx>
          <c:spPr>
            <a:pattFill prst="pct50">
              <a:fgClr>
                <a:prstClr val="black"/>
              </a:fgClr>
              <a:bgClr>
                <a:prstClr val="white"/>
              </a:bgClr>
            </a:pattFill>
          </c:spPr>
          <c:invertIfNegative val="0"/>
          <c:cat>
            <c:strRef>
              <c:f>Sheet1!$A$87:$A$90</c:f>
              <c:strCache>
                <c:ptCount val="4"/>
                <c:pt idx="0">
                  <c:v>Nil</c:v>
                </c:pt>
                <c:pt idx="1">
                  <c:v>0-0.5ha</c:v>
                </c:pt>
                <c:pt idx="2">
                  <c:v>1-2ha</c:v>
                </c:pt>
                <c:pt idx="3">
                  <c:v>3-4ha</c:v>
                </c:pt>
              </c:strCache>
            </c:strRef>
          </c:cat>
          <c:val>
            <c:numRef>
              <c:f>Sheet1!$C$87:$C$90</c:f>
              <c:numCache>
                <c:formatCode>General</c:formatCode>
                <c:ptCount val="4"/>
                <c:pt idx="0">
                  <c:v>0.0</c:v>
                </c:pt>
                <c:pt idx="1">
                  <c:v>14.0</c:v>
                </c:pt>
                <c:pt idx="2">
                  <c:v>64.0</c:v>
                </c:pt>
                <c:pt idx="3">
                  <c:v>22.0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898-874B-A930-44E736AEFCCB}"/>
            </c:ext>
          </c:extLst>
        </c:ser>
        <c:ser>
          <c:idx val="2"/>
          <c:order val="2"/>
          <c:tx>
            <c:strRef>
              <c:f>Sheet1!$D$86</c:f>
              <c:strCache>
                <c:ptCount val="1"/>
                <c:pt idx="0">
                  <c:v>Leguruki</c:v>
                </c:pt>
              </c:strCache>
            </c:strRef>
          </c:tx>
          <c:spPr>
            <a:pattFill prst="pct80">
              <a:fgClr>
                <a:prstClr val="black"/>
              </a:fgClr>
              <a:bgClr>
                <a:prstClr val="white"/>
              </a:bgClr>
            </a:pattFill>
          </c:spPr>
          <c:invertIfNegative val="0"/>
          <c:cat>
            <c:strRef>
              <c:f>Sheet1!$A$87:$A$90</c:f>
              <c:strCache>
                <c:ptCount val="4"/>
                <c:pt idx="0">
                  <c:v>Nil</c:v>
                </c:pt>
                <c:pt idx="1">
                  <c:v>0-0.5ha</c:v>
                </c:pt>
                <c:pt idx="2">
                  <c:v>1-2ha</c:v>
                </c:pt>
                <c:pt idx="3">
                  <c:v>3-4ha</c:v>
                </c:pt>
              </c:strCache>
            </c:strRef>
          </c:cat>
          <c:val>
            <c:numRef>
              <c:f>Sheet1!$D$87:$D$90</c:f>
              <c:numCache>
                <c:formatCode>General</c:formatCode>
                <c:ptCount val="4"/>
                <c:pt idx="0">
                  <c:v>0.0</c:v>
                </c:pt>
                <c:pt idx="1">
                  <c:v>29.0</c:v>
                </c:pt>
                <c:pt idx="2">
                  <c:v>50.0</c:v>
                </c:pt>
                <c:pt idx="3">
                  <c:v>20.0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6898-874B-A930-44E736AEFCC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2111675848"/>
        <c:axId val="-2111958776"/>
      </c:barChart>
      <c:catAx>
        <c:axId val="-211167584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>
                    <a:latin typeface="+mn-lt"/>
                  </a:defRPr>
                </a:pPr>
                <a:r>
                  <a:rPr lang="en-US">
                    <a:latin typeface="+mn-lt"/>
                  </a:rPr>
                  <a:t>Land allocated for Jatropha</a:t>
                </a:r>
              </a:p>
            </c:rich>
          </c:tx>
          <c:layout/>
          <c:overlay val="0"/>
        </c:title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>
                <a:latin typeface="+mn-lt"/>
              </a:defRPr>
            </a:pPr>
            <a:endParaRPr lang="en-US"/>
          </a:p>
        </c:txPr>
        <c:crossAx val="-2111958776"/>
        <c:crosses val="autoZero"/>
        <c:auto val="1"/>
        <c:lblAlgn val="ctr"/>
        <c:lblOffset val="100"/>
        <c:noMultiLvlLbl val="0"/>
      </c:catAx>
      <c:valAx>
        <c:axId val="-2111958776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>
                    <a:latin typeface="+mn-lt"/>
                  </a:defRPr>
                </a:pPr>
                <a:r>
                  <a:rPr lang="en-US">
                    <a:latin typeface="+mn-lt"/>
                  </a:rPr>
                  <a:t>% of respondents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-2111675848"/>
        <c:crosses val="autoZero"/>
        <c:crossBetween val="between"/>
      </c:valAx>
    </c:plotArea>
    <c:legend>
      <c:legendPos val="t"/>
      <c:layout/>
      <c:overlay val="0"/>
      <c:txPr>
        <a:bodyPr/>
        <a:lstStyle/>
        <a:p>
          <a:pPr>
            <a:defRPr>
              <a:latin typeface="+mn-lt"/>
            </a:defRPr>
          </a:pPr>
          <a:endParaRPr lang="en-US"/>
        </a:p>
      </c:txPr>
    </c:legend>
    <c:plotVisOnly val="1"/>
    <c:dispBlanksAs val="gap"/>
    <c:showDLblsOverMax val="0"/>
  </c:chart>
  <c:txPr>
    <a:bodyPr/>
    <a:lstStyle/>
    <a:p>
      <a:pPr>
        <a:defRPr sz="1200">
          <a:latin typeface="+mj-lt"/>
        </a:defRPr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4</Pages>
  <Words>165</Words>
  <Characters>943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Independent Reviewer</dc:creator>
  <cp:keywords/>
  <dc:description/>
  <cp:lastModifiedBy>Independent Reviewer</cp:lastModifiedBy>
  <cp:revision>15</cp:revision>
  <dcterms:created xsi:type="dcterms:W3CDTF">2020-04-27T10:15:00Z</dcterms:created>
  <dcterms:modified xsi:type="dcterms:W3CDTF">2020-04-28T11:06:00Z</dcterms:modified>
</cp:coreProperties>
</file>