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upplementary material</w:t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 S1</w:t>
      </w:r>
    </w:p>
    <w:p/>
    <w:p>
      <w:pPr>
        <w:rPr>
          <w:rFonts w:hint="default"/>
          <w:vertAlign w:val="baseline"/>
          <w:lang w:val="en-US" w:eastAsia="zh-CN"/>
        </w:rPr>
      </w:pPr>
      <w:r>
        <w:rPr>
          <w:rFonts w:hint="default"/>
          <w:vertAlign w:val="baseline"/>
          <w:lang w:val="en-US" w:eastAsia="zh-CN"/>
        </w:rPr>
        <w:object>
          <v:shape id="_x0000_i1025" o:spt="75" type="#_x0000_t75" style="height:190.7pt;width:314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Prism9.Document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S1 legend </w:t>
      </w: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Titration proportions of 1/2 targeted and targeted ARNI and beta-blockers across the two SBP categories.</w:t>
      </w: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 S1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Treatment effects of sacubitril/valsartan on echocardiographic parameters across two SBP categories from baseline to month 6.</w:t>
      </w:r>
    </w:p>
    <w:p>
      <w:pPr>
        <w:rPr>
          <w:rFonts w:hint="default"/>
          <w:vertAlign w:val="baseline"/>
          <w:lang w:val="en-US" w:eastAsia="zh-CN"/>
        </w:rPr>
      </w:pPr>
    </w:p>
    <w:tbl>
      <w:tblPr>
        <w:tblStyle w:val="5"/>
        <w:tblpPr w:leftFromText="180" w:rightFromText="180" w:vertAnchor="text" w:horzAnchor="page" w:tblpX="1924" w:tblpY="181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1327"/>
        <w:gridCol w:w="1444"/>
        <w:gridCol w:w="733"/>
        <w:gridCol w:w="1356"/>
        <w:gridCol w:w="1489"/>
        <w:gridCol w:w="16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1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771" w:type="dxa"/>
            <w:gridSpan w:val="2"/>
            <w:tcBorders>
              <w:bottom w:val="single" w:color="auto" w:sz="12" w:space="0"/>
            </w:tcBorders>
          </w:tcPr>
          <w:p>
            <w:pPr>
              <w:spacing w:after="120" w:line="264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SBP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sz w:val="21"/>
                <w:szCs w:val="21"/>
              </w:rPr>
              <w:t>&lt;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100 mmHg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(N=47)</w:t>
            </w:r>
          </w:p>
        </w:tc>
        <w:tc>
          <w:tcPr>
            <w:tcW w:w="733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845" w:type="dxa"/>
            <w:gridSpan w:val="2"/>
            <w:tcBorders>
              <w:bottom w:val="single" w:color="auto" w:sz="12" w:space="0"/>
            </w:tcBorders>
          </w:tcPr>
          <w:p>
            <w:pPr>
              <w:spacing w:after="120" w:line="264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SBP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≥100mmHg (N=70)</w:t>
            </w:r>
          </w:p>
        </w:tc>
        <w:tc>
          <w:tcPr>
            <w:tcW w:w="1644" w:type="dxa"/>
            <w:vMerge w:val="restart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  <w:lang w:val="en-US" w:eastAsia="zh-CN"/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Parameter</w:t>
            </w:r>
          </w:p>
        </w:tc>
        <w:tc>
          <w:tcPr>
            <w:tcW w:w="1327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baseline</w:t>
            </w:r>
          </w:p>
        </w:tc>
        <w:tc>
          <w:tcPr>
            <w:tcW w:w="1444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6month</w:t>
            </w:r>
          </w:p>
        </w:tc>
        <w:tc>
          <w:tcPr>
            <w:tcW w:w="733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6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baseline</w:t>
            </w:r>
          </w:p>
        </w:tc>
        <w:tc>
          <w:tcPr>
            <w:tcW w:w="1489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6month</w:t>
            </w:r>
          </w:p>
        </w:tc>
        <w:tc>
          <w:tcPr>
            <w:tcW w:w="1644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tcBorders>
              <w:top w:val="single" w:color="auto" w:sz="4" w:space="0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LVEDD(x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B1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)</w:t>
            </w:r>
          </w:p>
        </w:tc>
        <w:tc>
          <w:tcPr>
            <w:tcW w:w="1327" w:type="dxa"/>
            <w:tcBorders>
              <w:top w:val="single" w:color="auto" w:sz="4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63.6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11.0</w:t>
            </w:r>
          </w:p>
        </w:tc>
        <w:tc>
          <w:tcPr>
            <w:tcW w:w="1444" w:type="dxa"/>
            <w:tcBorders>
              <w:top w:val="single" w:color="auto" w:sz="4" w:space="0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9.7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10.0</w:t>
            </w:r>
          </w:p>
        </w:tc>
        <w:tc>
          <w:tcPr>
            <w:tcW w:w="733" w:type="dxa"/>
            <w:tcBorders>
              <w:top w:val="single" w:color="auto" w:sz="4" w:space="0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64.9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8.4</w:t>
            </w:r>
          </w:p>
        </w:tc>
        <w:tc>
          <w:tcPr>
            <w:tcW w:w="1489" w:type="dxa"/>
            <w:tcBorders>
              <w:top w:val="single" w:color="auto" w:sz="4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58.6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8.2</w:t>
            </w:r>
          </w:p>
        </w:tc>
        <w:tc>
          <w:tcPr>
            <w:tcW w:w="1644" w:type="dxa"/>
            <w:vMerge w:val="restart"/>
            <w:tcBorders>
              <w:top w:val="single" w:color="auto" w:sz="4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0.03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44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LVEDD</w:t>
            </w:r>
          </w:p>
        </w:tc>
        <w:tc>
          <w:tcPr>
            <w:tcW w:w="1327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44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3.3 </w:t>
            </w:r>
          </w:p>
        </w:tc>
        <w:tc>
          <w:tcPr>
            <w:tcW w:w="733" w:type="dxa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6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1644" w:type="dxa"/>
            <w:vMerge w:val="continue"/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1327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004</w:t>
            </w:r>
          </w:p>
        </w:tc>
        <w:tc>
          <w:tcPr>
            <w:tcW w:w="733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6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0.000</w:t>
            </w:r>
          </w:p>
        </w:tc>
        <w:tc>
          <w:tcPr>
            <w:tcW w:w="1644" w:type="dxa"/>
            <w:vMerge w:val="continue"/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LVEF(x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B1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%)</w:t>
            </w:r>
          </w:p>
        </w:tc>
        <w:tc>
          <w:tcPr>
            <w:tcW w:w="1327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29.1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44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11.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3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6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27.8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7.7</w:t>
            </w:r>
          </w:p>
        </w:tc>
        <w:tc>
          <w:tcPr>
            <w:tcW w:w="1489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42.2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644" w:type="dxa"/>
            <w:vMerge w:val="restart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1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44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LVEF(x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B1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%)</w:t>
            </w:r>
          </w:p>
        </w:tc>
        <w:tc>
          <w:tcPr>
            <w:tcW w:w="1327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8 </w:t>
            </w:r>
          </w:p>
        </w:tc>
        <w:tc>
          <w:tcPr>
            <w:tcW w:w="733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+14.0 </w:t>
            </w:r>
          </w:p>
        </w:tc>
        <w:tc>
          <w:tcPr>
            <w:tcW w:w="1644" w:type="dxa"/>
            <w:vMerge w:val="continue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1327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44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0.00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3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356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89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0.000</w:t>
            </w:r>
          </w:p>
        </w:tc>
        <w:tc>
          <w:tcPr>
            <w:tcW w:w="1644" w:type="dxa"/>
            <w:vMerge w:val="continue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1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B1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mm)</w:t>
            </w:r>
          </w:p>
        </w:tc>
        <w:tc>
          <w:tcPr>
            <w:tcW w:w="1327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42.8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8.4</w:t>
            </w:r>
          </w:p>
        </w:tc>
        <w:tc>
          <w:tcPr>
            <w:tcW w:w="1444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40.3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9.0</w:t>
            </w:r>
          </w:p>
        </w:tc>
        <w:tc>
          <w:tcPr>
            <w:tcW w:w="733" w:type="dxa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46.1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8.9</w:t>
            </w:r>
          </w:p>
        </w:tc>
        <w:tc>
          <w:tcPr>
            <w:tcW w:w="1489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42.4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7.4</w:t>
            </w:r>
          </w:p>
        </w:tc>
        <w:tc>
          <w:tcPr>
            <w:tcW w:w="1644" w:type="dxa"/>
            <w:vMerge w:val="restart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0.63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44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LA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(x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F0B1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s,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mm)</w:t>
            </w:r>
          </w:p>
        </w:tc>
        <w:tc>
          <w:tcPr>
            <w:tcW w:w="1327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733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1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1327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008</w:t>
            </w:r>
          </w:p>
        </w:tc>
        <w:tc>
          <w:tcPr>
            <w:tcW w:w="733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0.000</w:t>
            </w:r>
          </w:p>
        </w:tc>
        <w:tc>
          <w:tcPr>
            <w:tcW w:w="1644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*Paired T-test</w:t>
      </w:r>
    </w:p>
    <w:p>
      <w:pPr>
        <w:bidi w:val="0"/>
        <w:ind w:firstLine="240" w:firstLineChars="10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✝Two-sample T-test</w:t>
      </w:r>
    </w:p>
    <w:p>
      <w:pPr>
        <w:tabs>
          <w:tab w:val="left" w:pos="86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tabs>
          <w:tab w:val="left" w:pos="963"/>
        </w:tabs>
        <w:bidi w:val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 S2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Treatment effects of sacubitril/valsartan on selected vital signs and laboratory values across two SBP categories from baseline to month 6.</w:t>
      </w:r>
    </w:p>
    <w:p>
      <w:pPr>
        <w:rPr>
          <w:rFonts w:hint="default"/>
          <w:b w:val="0"/>
          <w:bCs w:val="0"/>
          <w:vertAlign w:val="baseline"/>
          <w:lang w:val="en-US" w:eastAsia="zh-CN"/>
        </w:rPr>
      </w:pPr>
    </w:p>
    <w:tbl>
      <w:tblPr>
        <w:tblStyle w:val="5"/>
        <w:tblpPr w:leftFromText="180" w:rightFromText="180" w:vertAnchor="text" w:horzAnchor="page" w:tblpX="1879" w:tblpY="244"/>
        <w:tblOverlap w:val="never"/>
        <w:tblW w:w="1177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220"/>
        <w:gridCol w:w="2070"/>
        <w:gridCol w:w="270"/>
        <w:gridCol w:w="2155"/>
        <w:gridCol w:w="1989"/>
        <w:gridCol w:w="83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290" w:type="dxa"/>
            <w:gridSpan w:val="2"/>
            <w:tcBorders>
              <w:bottom w:val="single" w:color="auto" w:sz="12" w:space="0"/>
            </w:tcBorders>
          </w:tcPr>
          <w:p>
            <w:pPr>
              <w:spacing w:after="120" w:line="264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SBP &lt;100 mmHg (N=47)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4144" w:type="dxa"/>
            <w:gridSpan w:val="2"/>
            <w:tcBorders>
              <w:bottom w:val="single" w:color="auto" w:sz="12" w:space="0"/>
            </w:tcBorders>
          </w:tcPr>
          <w:p>
            <w:pPr>
              <w:spacing w:after="120" w:line="264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SBP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≥100mmHg (N=70)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</w:rPr>
              <w:t>P</w:t>
            </w:r>
            <w:r>
              <w:rPr>
                <w:rFonts w:hint="default" w:ascii="Times New Roman" w:hAnsi="Times New Roman" w:eastAsia="宋体" w:cs="Times New Roman"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sz w:val="21"/>
                <w:szCs w:val="21"/>
                <w:lang w:val="en-US" w:eastAsia="zh-CN"/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Parameter</w:t>
            </w:r>
          </w:p>
        </w:tc>
        <w:tc>
          <w:tcPr>
            <w:tcW w:w="2220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baseline</w:t>
            </w:r>
          </w:p>
        </w:tc>
        <w:tc>
          <w:tcPr>
            <w:tcW w:w="2070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6month</w:t>
            </w:r>
          </w:p>
        </w:tc>
        <w:tc>
          <w:tcPr>
            <w:tcW w:w="270" w:type="dxa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55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baseline</w:t>
            </w:r>
          </w:p>
        </w:tc>
        <w:tc>
          <w:tcPr>
            <w:tcW w:w="1989" w:type="dxa"/>
            <w:tcBorders>
              <w:top w:val="single" w:color="auto" w:sz="12" w:space="0"/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6month</w:t>
            </w:r>
          </w:p>
        </w:tc>
        <w:tc>
          <w:tcPr>
            <w:tcW w:w="836" w:type="dxa"/>
            <w:vMerge w:val="continue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NT-proBNP (pg/mL)</w:t>
            </w:r>
          </w:p>
        </w:tc>
        <w:tc>
          <w:tcPr>
            <w:tcW w:w="2220" w:type="dxa"/>
            <w:tcBorders>
              <w:top w:val="single" w:color="auto" w:sz="4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1452.0(600.6, 3172.0)</w:t>
            </w:r>
          </w:p>
        </w:tc>
        <w:tc>
          <w:tcPr>
            <w:tcW w:w="2070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549.8 (185.0, 1235.5)</w:t>
            </w:r>
          </w:p>
        </w:tc>
        <w:tc>
          <w:tcPr>
            <w:tcW w:w="270" w:type="dxa"/>
            <w:tcBorders>
              <w:top w:val="single" w:color="auto" w:sz="4" w:space="0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55" w:type="dxa"/>
            <w:tcBorders>
              <w:top w:val="single" w:color="auto" w:sz="4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1690.0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(384.1,3582.5)</w:t>
            </w:r>
          </w:p>
        </w:tc>
        <w:tc>
          <w:tcPr>
            <w:tcW w:w="1989" w:type="dxa"/>
            <w:tcBorders>
              <w:top w:val="single" w:color="auto" w:sz="4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371.1 (101.7, 753.8)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Change from baseline</w:t>
            </w:r>
          </w:p>
        </w:tc>
        <w:tc>
          <w:tcPr>
            <w:tcW w:w="2220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-1069.1</w:t>
            </w:r>
          </w:p>
        </w:tc>
        <w:tc>
          <w:tcPr>
            <w:tcW w:w="270" w:type="dxa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-1340.1</w:t>
            </w:r>
          </w:p>
        </w:tc>
        <w:tc>
          <w:tcPr>
            <w:tcW w:w="836" w:type="dxa"/>
            <w:vMerge w:val="continue"/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230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#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2220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0.000</w:t>
            </w:r>
          </w:p>
        </w:tc>
        <w:tc>
          <w:tcPr>
            <w:tcW w:w="270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9" w:type="dxa"/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0.000</w:t>
            </w:r>
          </w:p>
        </w:tc>
        <w:tc>
          <w:tcPr>
            <w:tcW w:w="836" w:type="dxa"/>
            <w:vMerge w:val="continue"/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eGFR (ml/min/1.73m²)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90.7 ± 21.5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92.7 ± 25.3</w:t>
            </w:r>
          </w:p>
        </w:tc>
        <w:tc>
          <w:tcPr>
            <w:tcW w:w="270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84.1 ± 26.9</w:t>
            </w:r>
          </w:p>
        </w:tc>
        <w:tc>
          <w:tcPr>
            <w:tcW w:w="1989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96.6 ± 27.4</w:t>
            </w:r>
          </w:p>
        </w:tc>
        <w:tc>
          <w:tcPr>
            <w:tcW w:w="836" w:type="dxa"/>
            <w:vMerge w:val="restart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0.69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Change from baseline</w:t>
            </w:r>
          </w:p>
        </w:tc>
        <w:tc>
          <w:tcPr>
            <w:tcW w:w="2220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+7.5</w:t>
            </w:r>
          </w:p>
        </w:tc>
        <w:tc>
          <w:tcPr>
            <w:tcW w:w="270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55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+7.6</w:t>
            </w:r>
          </w:p>
        </w:tc>
        <w:tc>
          <w:tcPr>
            <w:tcW w:w="836" w:type="dxa"/>
            <w:vMerge w:val="continue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2220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0.059</w:t>
            </w:r>
          </w:p>
        </w:tc>
        <w:tc>
          <w:tcPr>
            <w:tcW w:w="270" w:type="dxa"/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155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0.015</w:t>
            </w:r>
          </w:p>
        </w:tc>
        <w:tc>
          <w:tcPr>
            <w:tcW w:w="836" w:type="dxa"/>
            <w:vMerge w:val="continue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Serium potassium(mmol/L)</w:t>
            </w:r>
          </w:p>
        </w:tc>
        <w:tc>
          <w:tcPr>
            <w:tcW w:w="22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4.3 ± 0.3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4.4 ± 0.3</w:t>
            </w:r>
          </w:p>
        </w:tc>
        <w:tc>
          <w:tcPr>
            <w:tcW w:w="270" w:type="dxa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155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4.3 ± 0.4</w:t>
            </w:r>
          </w:p>
        </w:tc>
        <w:tc>
          <w:tcPr>
            <w:tcW w:w="1989" w:type="dxa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4.3 ± 0.3</w:t>
            </w:r>
          </w:p>
        </w:tc>
        <w:tc>
          <w:tcPr>
            <w:tcW w:w="836" w:type="dxa"/>
            <w:vMerge w:val="restart"/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0.04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Change from baseline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+0.1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-0.1</w:t>
            </w: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0.095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0.203</w:t>
            </w: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SBP(mmHg)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90.6 ± 5.1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98.3 ± 13.2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121.6 ± 15.9</w:t>
            </w: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110.4 ± 14.3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0.00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✝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Change from baseline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+7.5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-11.5</w:t>
            </w: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0.001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0.000</w:t>
            </w: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superscript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DBP(mmHg)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60.0 (55.0, 65.0)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60.0 (53.0, 65.0)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74.0 (66.0, 82.3)</w:t>
            </w: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69.0 (63.0, 75.0)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0.02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Change from baseline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-2.0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-7.0</w:t>
            </w: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perscript"/>
                <w:lang w:val="en-US" w:eastAsia="zh-CN"/>
              </w:rPr>
              <w:t>#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0.134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0.000</w:t>
            </w: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Heart rate (b.p.m.) 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71.0 (64.0, 83.0)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63.0 (60.0, 72.0)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80.0 (71.8, 90.5)</w:t>
            </w: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60.0 (57.5, 66.0)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0.15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superscript"/>
                <w:lang w:val="en-US" w:eastAsia="zh-CN"/>
              </w:rPr>
              <w:t>☨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Change from baseline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-10.5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-16.5</w:t>
            </w: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i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vertAlign w:val="superscript"/>
                <w:lang w:val="en-US" w:eastAsia="zh-CN"/>
              </w:rPr>
              <w:t>#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1"/>
                <w:szCs w:val="21"/>
                <w:lang w:val="en-US" w:eastAsia="zh-CN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value</w:t>
            </w:r>
          </w:p>
        </w:tc>
        <w:tc>
          <w:tcPr>
            <w:tcW w:w="2220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0.025</w:t>
            </w:r>
          </w:p>
        </w:tc>
        <w:tc>
          <w:tcPr>
            <w:tcW w:w="270" w:type="dxa"/>
            <w:tcBorders>
              <w:tl2br w:val="nil"/>
              <w:tr2bl w:val="nil"/>
            </w:tcBorders>
          </w:tcPr>
          <w:p>
            <w:pPr>
              <w:widowControl w:val="0"/>
              <w:spacing w:after="120" w:line="264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0.000</w:t>
            </w: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default"/>
          <w:vertAlign w:val="baseline"/>
          <w:lang w:val="en-US" w:eastAsia="zh-CN"/>
        </w:rPr>
      </w:pPr>
    </w:p>
    <w:p>
      <w:pPr>
        <w:tabs>
          <w:tab w:val="left" w:pos="679"/>
        </w:tabs>
        <w:bidi w:val="0"/>
        <w:ind w:firstLine="240" w:firstLine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*Paired T-test</w:t>
      </w:r>
    </w:p>
    <w:p>
      <w:pPr>
        <w:bidi w:val="0"/>
        <w:ind w:left="239" w:leftChars="114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#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Wilcoxon signed rank test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✝Two-sample T-test</w:t>
      </w:r>
    </w:p>
    <w:p>
      <w:pPr>
        <w:bidi w:val="0"/>
        <w:ind w:firstLine="240" w:firstLineChars="1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☨Wilcoxon rank sum test</w:t>
      </w: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The change of NYHA functional classification across the two SBP categories.</w:t>
      </w:r>
    </w:p>
    <w:p>
      <w:pPr>
        <w:bidi w:val="0"/>
        <w:rPr>
          <w:rFonts w:hint="default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949" w:tblpY="134"/>
        <w:tblOverlap w:val="never"/>
        <w:tblW w:w="980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2506"/>
        <w:gridCol w:w="1328"/>
        <w:gridCol w:w="1328"/>
        <w:gridCol w:w="1328"/>
        <w:gridCol w:w="133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06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NYHA classification</w:t>
            </w:r>
          </w:p>
        </w:tc>
        <w:tc>
          <w:tcPr>
            <w:tcW w:w="1328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</w:t>
            </w:r>
          </w:p>
        </w:tc>
        <w:tc>
          <w:tcPr>
            <w:tcW w:w="1328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II</w:t>
            </w:r>
          </w:p>
        </w:tc>
        <w:tc>
          <w:tcPr>
            <w:tcW w:w="1328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III</w:t>
            </w:r>
          </w:p>
        </w:tc>
        <w:tc>
          <w:tcPr>
            <w:tcW w:w="1331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IV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4" w:colFirst="2" w:colLast="5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SBP &lt;100 mmHg</w:t>
            </w:r>
          </w:p>
        </w:tc>
        <w:tc>
          <w:tcPr>
            <w:tcW w:w="2506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baseline (n=47)</w:t>
            </w:r>
          </w:p>
        </w:tc>
        <w:tc>
          <w:tcPr>
            <w:tcW w:w="1328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328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53.2%</w:t>
            </w:r>
          </w:p>
        </w:tc>
        <w:tc>
          <w:tcPr>
            <w:tcW w:w="1328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36.2%</w:t>
            </w:r>
          </w:p>
        </w:tc>
        <w:tc>
          <w:tcPr>
            <w:tcW w:w="1331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month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(n=42)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16.7%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76.2%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≥100mmHg</w:t>
            </w:r>
          </w:p>
        </w:tc>
        <w:tc>
          <w:tcPr>
            <w:tcW w:w="2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baseline (n=70)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month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(n=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7.1%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bookmarkEnd w:id="0"/>
    </w:tbl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ind w:firstLine="379" w:firstLineChars="0"/>
        <w:jc w:val="left"/>
        <w:rPr>
          <w:rFonts w:hint="default"/>
          <w:szCs w:val="24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  <w:bookmarkStart w:id="4" w:name="_GoBack"/>
      <w:bookmarkEnd w:id="4"/>
    </w:p>
    <w:p>
      <w:pPr>
        <w:tabs>
          <w:tab w:val="left" w:pos="861"/>
        </w:tabs>
        <w:bidi w:val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Dose changes of sacubitril/valsartan across the two SBP categories.</w:t>
      </w:r>
    </w:p>
    <w:tbl>
      <w:tblPr>
        <w:tblStyle w:val="4"/>
        <w:tblpPr w:leftFromText="180" w:rightFromText="180" w:vertAnchor="text" w:horzAnchor="page" w:tblpX="1714" w:tblpY="306"/>
        <w:tblOverlap w:val="never"/>
        <w:tblW w:w="8544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956"/>
        <w:gridCol w:w="1050"/>
        <w:gridCol w:w="1154"/>
        <w:gridCol w:w="1154"/>
        <w:gridCol w:w="115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6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56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Dose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(mg bid)  </w:t>
            </w:r>
          </w:p>
        </w:tc>
        <w:tc>
          <w:tcPr>
            <w:tcW w:w="1050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＜50</w:t>
            </w:r>
          </w:p>
        </w:tc>
        <w:tc>
          <w:tcPr>
            <w:tcW w:w="1154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50-100</w:t>
            </w:r>
          </w:p>
        </w:tc>
        <w:tc>
          <w:tcPr>
            <w:tcW w:w="1154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100-200</w:t>
            </w:r>
          </w:p>
        </w:tc>
        <w:tc>
          <w:tcPr>
            <w:tcW w:w="1154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6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2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SBP &lt;100 mmHg</w:t>
            </w:r>
          </w:p>
        </w:tc>
        <w:tc>
          <w:tcPr>
            <w:tcW w:w="1956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Baseline (n=47)</w:t>
            </w:r>
          </w:p>
        </w:tc>
        <w:tc>
          <w:tcPr>
            <w:tcW w:w="1050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44.7%</w:t>
            </w:r>
          </w:p>
        </w:tc>
        <w:tc>
          <w:tcPr>
            <w:tcW w:w="1154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48.9%</w:t>
            </w:r>
          </w:p>
        </w:tc>
        <w:tc>
          <w:tcPr>
            <w:tcW w:w="1154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6.4%</w:t>
            </w:r>
          </w:p>
        </w:tc>
        <w:tc>
          <w:tcPr>
            <w:tcW w:w="1154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month (n=42)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≥100mmHg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baseline（n=70)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47.1%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0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month (n=70)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20.0%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70.0%</w:t>
            </w:r>
          </w:p>
        </w:tc>
      </w:tr>
      <w:bookmarkEnd w:id="1"/>
    </w:tbl>
    <w:p>
      <w:pPr>
        <w:tabs>
          <w:tab w:val="left" w:pos="861"/>
        </w:tabs>
        <w:bidi w:val="0"/>
        <w:jc w:val="left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tabs>
          <w:tab w:val="left" w:pos="648"/>
        </w:tabs>
        <w:bidi w:val="0"/>
        <w:jc w:val="left"/>
        <w:rPr>
          <w:rFonts w:hint="eastAsia"/>
          <w:szCs w:val="24"/>
          <w:lang w:val="en-US" w:eastAsia="zh-CN"/>
        </w:rPr>
      </w:pPr>
      <w:r>
        <w:rPr>
          <w:rFonts w:hint="eastAsia" w:asciiTheme="minorHAnsi" w:eastAsiaTheme="minorEastAsia"/>
          <w:szCs w:val="24"/>
          <w:lang w:val="en-US" w:eastAsia="zh-CN"/>
        </w:rPr>
        <w:tab/>
      </w:r>
    </w:p>
    <w:p>
      <w:pPr>
        <w:tabs>
          <w:tab w:val="left" w:pos="861"/>
        </w:tabs>
        <w:bidi w:val="0"/>
        <w:jc w:val="left"/>
        <w:rPr>
          <w:rFonts w:hint="eastAsia" w:asciiTheme="minorHAnsi" w:eastAsiaTheme="minorEastAsia"/>
          <w:b/>
          <w:bCs/>
          <w:szCs w:val="24"/>
          <w:lang w:val="en-US" w:eastAsia="zh-CN"/>
        </w:rPr>
      </w:pPr>
    </w:p>
    <w:p>
      <w:pPr>
        <w:tabs>
          <w:tab w:val="left" w:pos="861"/>
        </w:tabs>
        <w:bidi w:val="0"/>
        <w:jc w:val="left"/>
        <w:rPr>
          <w:rFonts w:hint="eastAsia" w:asciiTheme="minorHAnsi" w:eastAsiaTheme="minorEastAsia"/>
          <w:b/>
          <w:bCs/>
          <w:szCs w:val="24"/>
          <w:lang w:val="en-US" w:eastAsia="zh-CN"/>
        </w:rPr>
      </w:pPr>
    </w:p>
    <w:p>
      <w:pPr>
        <w:tabs>
          <w:tab w:val="left" w:pos="861"/>
        </w:tabs>
        <w:bidi w:val="0"/>
        <w:jc w:val="left"/>
        <w:rPr>
          <w:rFonts w:hint="eastAsia" w:asciiTheme="minorHAnsi" w:eastAsiaTheme="minorEastAsia"/>
          <w:b/>
          <w:bCs/>
          <w:szCs w:val="24"/>
          <w:lang w:val="en-US" w:eastAsia="zh-CN"/>
        </w:rPr>
      </w:pPr>
    </w:p>
    <w:p>
      <w:pPr>
        <w:tabs>
          <w:tab w:val="left" w:pos="861"/>
        </w:tabs>
        <w:bidi w:val="0"/>
        <w:jc w:val="left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</w:p>
    <w:p>
      <w:pPr>
        <w:tabs>
          <w:tab w:val="left" w:pos="861"/>
        </w:tabs>
        <w:bidi w:val="0"/>
        <w:jc w:val="left"/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Dose changes of beta-blocker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 across the two SBP categories.</w:t>
      </w:r>
    </w:p>
    <w:p>
      <w:pPr>
        <w:tabs>
          <w:tab w:val="left" w:pos="861"/>
        </w:tabs>
        <w:bidi w:val="0"/>
        <w:jc w:val="left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695" w:tblpY="120"/>
        <w:tblOverlap w:val="never"/>
        <w:tblW w:w="980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946"/>
        <w:gridCol w:w="1339"/>
        <w:gridCol w:w="1402"/>
        <w:gridCol w:w="1589"/>
        <w:gridCol w:w="154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2" w:name="OLE_LINK1" w:colFirst="2" w:colLast="5"/>
          </w:p>
        </w:tc>
        <w:tc>
          <w:tcPr>
            <w:tcW w:w="1946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Dose</w:t>
            </w:r>
          </w:p>
        </w:tc>
        <w:tc>
          <w:tcPr>
            <w:tcW w:w="1339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25 % TD</w:t>
            </w:r>
          </w:p>
        </w:tc>
        <w:tc>
          <w:tcPr>
            <w:tcW w:w="1402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25-50 % TD</w:t>
            </w:r>
          </w:p>
        </w:tc>
        <w:tc>
          <w:tcPr>
            <w:tcW w:w="1589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50-100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TD</w:t>
            </w:r>
          </w:p>
        </w:tc>
        <w:tc>
          <w:tcPr>
            <w:tcW w:w="1545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 TD</w:t>
            </w:r>
          </w:p>
        </w:tc>
      </w:tr>
      <w:bookmarkEnd w:id="2"/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OLE_LINK3" w:colFirst="2" w:colLast="5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SBP &lt;100 mmHg</w:t>
            </w:r>
          </w:p>
        </w:tc>
        <w:tc>
          <w:tcPr>
            <w:tcW w:w="1946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baseline (n=47)</w:t>
            </w:r>
          </w:p>
        </w:tc>
        <w:tc>
          <w:tcPr>
            <w:tcW w:w="1339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29.8%</w:t>
            </w:r>
          </w:p>
        </w:tc>
        <w:tc>
          <w:tcPr>
            <w:tcW w:w="1402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51.1%</w:t>
            </w:r>
          </w:p>
        </w:tc>
        <w:tc>
          <w:tcPr>
            <w:tcW w:w="1589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17.0%</w:t>
            </w:r>
          </w:p>
        </w:tc>
        <w:tc>
          <w:tcPr>
            <w:tcW w:w="1545" w:type="dxa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month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(n=42)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2.4%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19.0%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28.6%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≥100mmHg</w:t>
            </w: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baseline (n=70)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month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(n=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4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</w:tr>
      <w:bookmarkEnd w:id="3"/>
    </w:tbl>
    <w:p>
      <w:pPr>
        <w:tabs>
          <w:tab w:val="left" w:pos="861"/>
        </w:tabs>
        <w:bidi w:val="0"/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tabs>
          <w:tab w:val="left" w:pos="648"/>
        </w:tabs>
        <w:bidi w:val="0"/>
        <w:jc w:val="left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TD, targeted dose</w:t>
      </w:r>
    </w:p>
    <w:p>
      <w:pPr>
        <w:rPr>
          <w:rFonts w:hint="eastAsia" w:asciiTheme="minorHAnsi" w:eastAsia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HAnsi" w:eastAsia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 xml:space="preserve">The proportion of 1/2 targeted and targeted ARNI and beta-blocker across the two SBP categories during the titration. </w:t>
      </w:r>
    </w:p>
    <w:p>
      <w:pPr>
        <w:bidi w:val="0"/>
        <w:jc w:val="left"/>
        <w:rPr>
          <w:rFonts w:hint="default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714" w:tblpY="87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4"/>
        <w:gridCol w:w="2811"/>
        <w:gridCol w:w="2996"/>
        <w:gridCol w:w="149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4" w:type="dxa"/>
            <w:tcBorders>
              <w:bottom w:val="single" w:color="auto" w:sz="6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811" w:type="dxa"/>
            <w:tcBorders>
              <w:bottom w:val="single" w:color="auto" w:sz="6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SBP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＜100mmHg (N=42)</w:t>
            </w:r>
          </w:p>
        </w:tc>
        <w:tc>
          <w:tcPr>
            <w:tcW w:w="2996" w:type="dxa"/>
            <w:tcBorders>
              <w:bottom w:val="single" w:color="auto" w:sz="6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SBP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≥100 mmHg (N=70)</w:t>
            </w:r>
          </w:p>
        </w:tc>
        <w:tc>
          <w:tcPr>
            <w:tcW w:w="1495" w:type="dxa"/>
            <w:tcBorders>
              <w:bottom w:val="single" w:color="auto" w:sz="6" w:space="0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sz w:val="24"/>
                <w:szCs w:val="24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-value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4" w:type="dxa"/>
            <w:tcBorders>
              <w:top w:val="single" w:color="auto" w:sz="6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TD of ARNI (%)</w:t>
            </w:r>
          </w:p>
        </w:tc>
        <w:tc>
          <w:tcPr>
            <w:tcW w:w="2811" w:type="dxa"/>
            <w:tcBorders>
              <w:top w:val="single" w:color="auto" w:sz="6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22（52.4%）</w:t>
            </w:r>
          </w:p>
        </w:tc>
        <w:tc>
          <w:tcPr>
            <w:tcW w:w="2996" w:type="dxa"/>
            <w:tcBorders>
              <w:top w:val="single" w:color="auto" w:sz="6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49（70.0%）</w:t>
            </w:r>
          </w:p>
        </w:tc>
        <w:tc>
          <w:tcPr>
            <w:tcW w:w="1495" w:type="dxa"/>
            <w:tcBorders>
              <w:top w:val="single" w:color="auto" w:sz="6" w:space="0"/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0.061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4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1/2 TD of ARNI (%)</w:t>
            </w:r>
          </w:p>
        </w:tc>
        <w:tc>
          <w:tcPr>
            <w:tcW w:w="2811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32（76.2%）</w:t>
            </w:r>
          </w:p>
        </w:tc>
        <w:tc>
          <w:tcPr>
            <w:tcW w:w="2996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63（90.0%）</w:t>
            </w:r>
          </w:p>
        </w:tc>
        <w:tc>
          <w:tcPr>
            <w:tcW w:w="149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0.049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4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Median targeted time of ARNI (month)</w:t>
            </w:r>
          </w:p>
        </w:tc>
        <w:tc>
          <w:tcPr>
            <w:tcW w:w="2811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96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95" w:type="dxa"/>
            <w:tcBorders>
              <w:tl2br w:val="nil"/>
              <w:tr2bl w:val="nil"/>
            </w:tcBorders>
          </w:tcPr>
          <w:p>
            <w:pPr>
              <w:bidi w:val="0"/>
              <w:spacing w:after="120" w:line="264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0.209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4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TD of β-blocker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(%)</w:t>
            </w:r>
          </w:p>
        </w:tc>
        <w:tc>
          <w:tcPr>
            <w:tcW w:w="2811" w:type="dxa"/>
            <w:tcBorders>
              <w:tl2br w:val="nil"/>
              <w:tr2bl w:val="nil"/>
            </w:tcBorders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21（50.0%）</w:t>
            </w:r>
          </w:p>
        </w:tc>
        <w:tc>
          <w:tcPr>
            <w:tcW w:w="2996" w:type="dxa"/>
            <w:tcBorders>
              <w:tl2br w:val="nil"/>
              <w:tr2bl w:val="nil"/>
            </w:tcBorders>
            <w:vAlign w:val="top"/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39（55.7%）</w:t>
            </w:r>
          </w:p>
        </w:tc>
        <w:tc>
          <w:tcPr>
            <w:tcW w:w="149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0.557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4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1/2 TD of β-blocker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(%)</w:t>
            </w:r>
          </w:p>
        </w:tc>
        <w:tc>
          <w:tcPr>
            <w:tcW w:w="2811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33（78.6%）</w:t>
            </w:r>
          </w:p>
        </w:tc>
        <w:tc>
          <w:tcPr>
            <w:tcW w:w="2996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54（77.1%）</w:t>
            </w:r>
          </w:p>
        </w:tc>
        <w:tc>
          <w:tcPr>
            <w:tcW w:w="1495" w:type="dxa"/>
            <w:tcBorders>
              <w:tl2br w:val="nil"/>
              <w:tr2bl w:val="nil"/>
            </w:tcBorders>
          </w:tcPr>
          <w:p>
            <w:pPr>
              <w:spacing w:after="120" w:line="264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0.860</w:t>
            </w:r>
          </w:p>
        </w:tc>
      </w:tr>
    </w:tbl>
    <w:p>
      <w:pPr>
        <w:bidi w:val="0"/>
        <w:jc w:val="left"/>
        <w:rPr>
          <w:rFonts w:hint="default"/>
          <w:szCs w:val="24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861"/>
        </w:tabs>
        <w:bidi w:val="0"/>
        <w:jc w:val="left"/>
        <w:rPr>
          <w:rFonts w:hint="eastAsia"/>
          <w:b/>
          <w:bCs/>
          <w:szCs w:val="24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p>
      <w:pPr>
        <w:rPr>
          <w:rFonts w:hint="default"/>
          <w:vertAlign w:val="baseline"/>
          <w:lang w:val="en-US" w:eastAsia="zh-CN"/>
        </w:rPr>
      </w:pPr>
    </w:p>
    <w:sectPr>
      <w:pgSz w:w="14740" w:h="2086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I2NjRkZDA4NTViMjQzZmZmM2Y1ZTJmZGQzMzYifQ=="/>
    <w:docVar w:name="KY_MEDREF_DOCUID" w:val="{EC0E30A8-B3EA-419D-A92D-197AD26CB5A9}"/>
    <w:docVar w:name="KY_MEDREF_VERSION" w:val="3"/>
  </w:docVars>
  <w:rsids>
    <w:rsidRoot w:val="00000000"/>
    <w:rsid w:val="0DFD3A31"/>
    <w:rsid w:val="290A1B37"/>
    <w:rsid w:val="36EF6165"/>
    <w:rsid w:val="5FF2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39"/>
    <w:pPr>
      <w:spacing w:after="120" w:line="264" w:lineRule="auto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570</Words>
  <Characters>2666</Characters>
  <Lines>0</Lines>
  <Paragraphs>0</Paragraphs>
  <TotalTime>1</TotalTime>
  <ScaleCrop>false</ScaleCrop>
  <LinksUpToDate>false</LinksUpToDate>
  <CharactersWithSpaces>3359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2023-01-11T13:47:00Z</dcterms:created>
  <dc:creator>Administrator</dc:creator>
  <cp:lastModifiedBy>吴安虎</cp:lastModifiedBy>
  <dcterms:modified xsi:type="dcterms:W3CDTF">2023-01-12T12:50:12Z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CD3421F57D7F472CB6F23BED9D9BECD6</vt:lpwstr>
  </property>
</Properties>
</file>